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1817" w:firstLineChars="568"/>
        <w:jc w:val="left"/>
        <w:rPr>
          <w:rFonts w:ascii="仿宋_GB2312" w:hAnsi="宋体" w:eastAsia="仿宋_GB2312"/>
          <w:color w:val="000000" w:themeColor="text1"/>
          <w:sz w:val="32"/>
          <w:szCs w:val="32"/>
          <w:highlight w:val="none"/>
          <w14:textFill>
            <w14:solidFill>
              <w14:schemeClr w14:val="tx1"/>
            </w14:solidFill>
          </w14:textFill>
        </w:rPr>
      </w:pPr>
    </w:p>
    <w:p>
      <w:pPr>
        <w:spacing w:line="360" w:lineRule="auto"/>
        <w:rPr>
          <w:rFonts w:eastAsia="仿宋_GB2312"/>
          <w:color w:val="000000" w:themeColor="text1"/>
          <w:sz w:val="28"/>
          <w:szCs w:val="28"/>
          <w:highlight w:val="none"/>
          <w14:textFill>
            <w14:solidFill>
              <w14:schemeClr w14:val="tx1"/>
            </w14:solidFill>
          </w14:textFill>
        </w:rPr>
      </w:pPr>
    </w:p>
    <w:p>
      <w:pPr>
        <w:spacing w:line="360" w:lineRule="auto"/>
        <w:rPr>
          <w:color w:val="000000" w:themeColor="text1"/>
          <w:highlight w:val="none"/>
          <w14:textFill>
            <w14:solidFill>
              <w14:schemeClr w14:val="tx1"/>
            </w14:solidFill>
          </w14:textFill>
        </w:rPr>
      </w:pPr>
    </w:p>
    <w:p>
      <w:pPr>
        <w:pStyle w:val="41"/>
        <w:spacing w:line="360" w:lineRule="auto"/>
        <w:rPr>
          <w:color w:val="000000" w:themeColor="text1"/>
          <w:highlight w:val="none"/>
          <w14:textFill>
            <w14:solidFill>
              <w14:schemeClr w14:val="tx1"/>
            </w14:solidFill>
          </w14:textFill>
        </w:rPr>
      </w:pPr>
    </w:p>
    <w:p>
      <w:pPr>
        <w:spacing w:line="360" w:lineRule="auto"/>
        <w:rPr>
          <w:color w:val="000000" w:themeColor="text1"/>
          <w:highlight w:val="none"/>
          <w14:textFill>
            <w14:solidFill>
              <w14:schemeClr w14:val="tx1"/>
            </w14:solidFill>
          </w14:textFill>
        </w:rPr>
      </w:pPr>
    </w:p>
    <w:p>
      <w:pPr>
        <w:pStyle w:val="41"/>
        <w:spacing w:line="360" w:lineRule="auto"/>
        <w:rPr>
          <w:color w:val="000000" w:themeColor="text1"/>
          <w:highlight w:val="none"/>
          <w14:textFill>
            <w14:solidFill>
              <w14:schemeClr w14:val="tx1"/>
            </w14:solidFill>
          </w14:textFill>
        </w:rPr>
      </w:pPr>
    </w:p>
    <w:p>
      <w:pPr>
        <w:pStyle w:val="41"/>
        <w:spacing w:line="360" w:lineRule="auto"/>
        <w:rPr>
          <w:color w:val="000000" w:themeColor="text1"/>
          <w:highlight w:val="none"/>
          <w14:textFill>
            <w14:solidFill>
              <w14:schemeClr w14:val="tx1"/>
            </w14:solidFill>
          </w14:textFill>
        </w:rPr>
      </w:pPr>
    </w:p>
    <w:p>
      <w:pPr>
        <w:spacing w:line="360" w:lineRule="auto"/>
        <w:jc w:val="center"/>
        <w:rPr>
          <w:rFonts w:hint="eastAsia"/>
          <w:b/>
          <w:color w:val="000000" w:themeColor="text1"/>
          <w:sz w:val="48"/>
          <w:szCs w:val="48"/>
          <w:highlight w:val="none"/>
          <w:lang w:eastAsia="zh-CN"/>
          <w14:textFill>
            <w14:solidFill>
              <w14:schemeClr w14:val="tx1"/>
            </w14:solidFill>
          </w14:textFill>
        </w:rPr>
      </w:pPr>
      <w:r>
        <w:rPr>
          <w:rFonts w:hint="eastAsia"/>
          <w:b/>
          <w:color w:val="000000" w:themeColor="text1"/>
          <w:sz w:val="48"/>
          <w:szCs w:val="48"/>
          <w:highlight w:val="none"/>
          <w:lang w:eastAsia="zh-CN"/>
          <w14:textFill>
            <w14:solidFill>
              <w14:schemeClr w14:val="tx1"/>
            </w14:solidFill>
          </w14:textFill>
        </w:rPr>
        <w:t>创维视芯电子（宜春)有限公司</w:t>
      </w:r>
    </w:p>
    <w:p>
      <w:pPr>
        <w:spacing w:line="360" w:lineRule="auto"/>
        <w:jc w:val="center"/>
        <w:rPr>
          <w:b/>
          <w:color w:val="000000" w:themeColor="text1"/>
          <w:sz w:val="48"/>
          <w:szCs w:val="48"/>
          <w:highlight w:val="none"/>
          <w14:textFill>
            <w14:solidFill>
              <w14:schemeClr w14:val="tx1"/>
            </w14:solidFill>
          </w14:textFill>
        </w:rPr>
      </w:pPr>
      <w:r>
        <w:rPr>
          <w:b/>
          <w:color w:val="000000" w:themeColor="text1"/>
          <w:sz w:val="48"/>
          <w:szCs w:val="48"/>
          <w:highlight w:val="none"/>
          <w14:textFill>
            <w14:solidFill>
              <w14:schemeClr w14:val="tx1"/>
            </w14:solidFill>
          </w14:textFill>
        </w:rPr>
        <w:t>突发环境事件应急预案</w:t>
      </w:r>
    </w:p>
    <w:p>
      <w:pPr>
        <w:spacing w:line="360" w:lineRule="auto"/>
        <w:rPr>
          <w:rFonts w:eastAsia="仿宋_GB2312"/>
          <w:color w:val="000000" w:themeColor="text1"/>
          <w:sz w:val="52"/>
          <w:szCs w:val="52"/>
          <w:highlight w:val="none"/>
          <w14:textFill>
            <w14:solidFill>
              <w14:schemeClr w14:val="tx1"/>
            </w14:solidFill>
          </w14:textFill>
        </w:rPr>
      </w:pPr>
    </w:p>
    <w:p>
      <w:pPr>
        <w:spacing w:line="360" w:lineRule="auto"/>
        <w:rPr>
          <w:color w:val="000000" w:themeColor="text1"/>
          <w:highlight w:val="none"/>
          <w14:textFill>
            <w14:solidFill>
              <w14:schemeClr w14:val="tx1"/>
            </w14:solidFill>
          </w14:textFill>
        </w:rPr>
      </w:pPr>
    </w:p>
    <w:p>
      <w:pPr>
        <w:pStyle w:val="41"/>
        <w:spacing w:line="360" w:lineRule="auto"/>
        <w:rPr>
          <w:color w:val="000000" w:themeColor="text1"/>
          <w:highlight w:val="none"/>
          <w14:textFill>
            <w14:solidFill>
              <w14:schemeClr w14:val="tx1"/>
            </w14:solidFill>
          </w14:textFill>
        </w:rPr>
      </w:pPr>
    </w:p>
    <w:p>
      <w:pPr>
        <w:pStyle w:val="41"/>
        <w:spacing w:line="360" w:lineRule="auto"/>
        <w:rPr>
          <w:color w:val="000000" w:themeColor="text1"/>
          <w:highlight w:val="none"/>
          <w14:textFill>
            <w14:solidFill>
              <w14:schemeClr w14:val="tx1"/>
            </w14:solidFill>
          </w14:textFill>
        </w:rPr>
      </w:pPr>
    </w:p>
    <w:p>
      <w:pPr>
        <w:spacing w:line="360" w:lineRule="auto"/>
        <w:rPr>
          <w:color w:val="000000" w:themeColor="text1"/>
          <w:highlight w:val="none"/>
          <w14:textFill>
            <w14:solidFill>
              <w14:schemeClr w14:val="tx1"/>
            </w14:solidFill>
          </w14:textFill>
        </w:rPr>
      </w:pPr>
    </w:p>
    <w:p>
      <w:pPr>
        <w:pStyle w:val="41"/>
        <w:spacing w:line="360" w:lineRule="auto"/>
        <w:rPr>
          <w:color w:val="000000" w:themeColor="text1"/>
          <w:highlight w:val="none"/>
          <w14:textFill>
            <w14:solidFill>
              <w14:schemeClr w14:val="tx1"/>
            </w14:solidFill>
          </w14:textFill>
        </w:rPr>
      </w:pPr>
    </w:p>
    <w:p>
      <w:pPr>
        <w:spacing w:line="360" w:lineRule="auto"/>
        <w:rPr>
          <w:color w:val="000000" w:themeColor="text1"/>
          <w:highlight w:val="none"/>
          <w14:textFill>
            <w14:solidFill>
              <w14:schemeClr w14:val="tx1"/>
            </w14:solidFill>
          </w14:textFill>
        </w:rPr>
      </w:pPr>
    </w:p>
    <w:p>
      <w:pPr>
        <w:spacing w:line="360" w:lineRule="auto"/>
        <w:rPr>
          <w:rFonts w:eastAsia="仿宋_GB2312"/>
          <w:color w:val="000000" w:themeColor="text1"/>
          <w:sz w:val="52"/>
          <w:szCs w:val="52"/>
          <w:highlight w:val="none"/>
          <w14:textFill>
            <w14:solidFill>
              <w14:schemeClr w14:val="tx1"/>
            </w14:solidFill>
          </w14:textFill>
        </w:rPr>
      </w:pPr>
    </w:p>
    <w:p>
      <w:pPr>
        <w:spacing w:line="360" w:lineRule="auto"/>
        <w:ind w:firstLine="2579" w:firstLineChars="806"/>
        <w:rPr>
          <w:rFonts w:ascii="仿宋_GB2312" w:hAnsi="宋体" w:eastAsia="仿宋_GB2312"/>
          <w:color w:val="FF0000"/>
          <w:sz w:val="32"/>
          <w:szCs w:val="32"/>
          <w:highlight w:val="none"/>
        </w:rPr>
      </w:pPr>
      <w:r>
        <w:rPr>
          <w:rFonts w:hint="eastAsia" w:ascii="仿宋_GB2312" w:hAnsi="宋体" w:eastAsia="仿宋_GB2312"/>
          <w:color w:val="000000" w:themeColor="text1"/>
          <w:sz w:val="32"/>
          <w:szCs w:val="32"/>
          <w:highlight w:val="none"/>
          <w14:textFill>
            <w14:solidFill>
              <w14:schemeClr w14:val="tx1"/>
            </w14:solidFill>
          </w14:textFill>
        </w:rPr>
        <w:t>预案版本号：</w:t>
      </w:r>
      <w:r>
        <w:rPr>
          <w:rFonts w:hint="eastAsia" w:ascii="仿宋_GB2312" w:hAnsi="宋体" w:eastAsia="仿宋_GB2312"/>
          <w:color w:val="FF0000"/>
          <w:sz w:val="32"/>
          <w:szCs w:val="32"/>
          <w:highlight w:val="none"/>
          <w:lang w:val="en-US" w:eastAsia="zh-CN"/>
        </w:rPr>
        <w:t>CV</w:t>
      </w:r>
      <w:r>
        <w:rPr>
          <w:rFonts w:hint="default" w:ascii="仿宋_GB2312" w:hAnsi="宋体" w:eastAsia="仿宋_GB2312"/>
          <w:color w:val="FF0000"/>
          <w:sz w:val="32"/>
          <w:szCs w:val="32"/>
          <w:highlight w:val="none"/>
        </w:rPr>
        <w:t>(20</w:t>
      </w:r>
      <w:r>
        <w:rPr>
          <w:rFonts w:hint="eastAsia" w:ascii="仿宋_GB2312" w:hAnsi="宋体" w:eastAsia="仿宋_GB2312"/>
          <w:color w:val="FF0000"/>
          <w:sz w:val="32"/>
          <w:szCs w:val="32"/>
          <w:highlight w:val="none"/>
          <w:lang w:val="en-US" w:eastAsia="zh-CN"/>
        </w:rPr>
        <w:t>23</w:t>
      </w:r>
      <w:r>
        <w:rPr>
          <w:rFonts w:hint="default" w:ascii="仿宋_GB2312" w:hAnsi="宋体" w:eastAsia="仿宋_GB2312"/>
          <w:color w:val="FF0000"/>
          <w:sz w:val="32"/>
          <w:szCs w:val="32"/>
          <w:highlight w:val="none"/>
        </w:rPr>
        <w:t>)第一版</w:t>
      </w:r>
    </w:p>
    <w:p>
      <w:pPr>
        <w:spacing w:line="360" w:lineRule="auto"/>
        <w:ind w:firstLine="2579" w:firstLineChars="806"/>
        <w:rPr>
          <w:rFonts w:hint="eastAsia" w:ascii="仿宋_GB2312" w:hAnsi="宋体" w:eastAsia="仿宋_GB2312"/>
          <w:color w:val="000000" w:themeColor="text1"/>
          <w:sz w:val="32"/>
          <w:szCs w:val="32"/>
          <w:highlight w:val="none"/>
          <w:lang w:eastAsia="zh-CN"/>
          <w14:textFill>
            <w14:solidFill>
              <w14:schemeClr w14:val="tx1"/>
            </w14:solidFill>
          </w14:textFill>
        </w:rPr>
      </w:pPr>
      <w:r>
        <w:rPr>
          <w:rFonts w:hint="eastAsia" w:ascii="仿宋_GB2312" w:hAnsi="宋体" w:eastAsia="仿宋_GB2312"/>
          <w:color w:val="000000" w:themeColor="text1"/>
          <w:sz w:val="32"/>
          <w:szCs w:val="32"/>
          <w:highlight w:val="none"/>
          <w14:textFill>
            <w14:solidFill>
              <w14:schemeClr w14:val="tx1"/>
            </w14:solidFill>
          </w14:textFill>
        </w:rPr>
        <w:t>审      核：</w:t>
      </w:r>
      <w:r>
        <w:rPr>
          <w:rFonts w:hint="eastAsia" w:ascii="仿宋_GB2312" w:hAnsi="宋体" w:eastAsia="仿宋_GB2312"/>
          <w:color w:val="000000" w:themeColor="text1"/>
          <w:sz w:val="32"/>
          <w:szCs w:val="32"/>
          <w:highlight w:val="none"/>
          <w:lang w:eastAsia="zh-CN"/>
          <w14:textFill>
            <w14:solidFill>
              <w14:schemeClr w14:val="tx1"/>
            </w14:solidFill>
          </w14:textFill>
        </w:rPr>
        <w:t>俞刚</w:t>
      </w:r>
    </w:p>
    <w:p>
      <w:pPr>
        <w:spacing w:line="360" w:lineRule="auto"/>
        <w:ind w:firstLine="2579" w:firstLineChars="806"/>
        <w:rPr>
          <w:rFonts w:hint="eastAsia" w:ascii="仿宋_GB2312" w:hAnsi="宋体" w:eastAsia="仿宋_GB2312"/>
          <w:color w:val="000000" w:themeColor="text1"/>
          <w:sz w:val="32"/>
          <w:szCs w:val="32"/>
          <w:highlight w:val="none"/>
          <w:lang w:eastAsia="zh-CN"/>
          <w14:textFill>
            <w14:solidFill>
              <w14:schemeClr w14:val="tx1"/>
            </w14:solidFill>
          </w14:textFill>
        </w:rPr>
      </w:pPr>
      <w:r>
        <w:rPr>
          <w:rFonts w:hint="eastAsia" w:ascii="仿宋_GB2312" w:hAnsi="宋体" w:eastAsia="仿宋_GB2312"/>
          <w:color w:val="000000" w:themeColor="text1"/>
          <w:sz w:val="32"/>
          <w:szCs w:val="32"/>
          <w:highlight w:val="none"/>
          <w14:textFill>
            <w14:solidFill>
              <w14:schemeClr w14:val="tx1"/>
            </w14:solidFill>
          </w14:textFill>
        </w:rPr>
        <w:t>批      准：</w:t>
      </w:r>
      <w:r>
        <w:rPr>
          <w:rFonts w:hint="eastAsia" w:ascii="仿宋_GB2312" w:hAnsi="宋体" w:eastAsia="仿宋_GB2312"/>
          <w:color w:val="000000" w:themeColor="text1"/>
          <w:sz w:val="32"/>
          <w:szCs w:val="32"/>
          <w:highlight w:val="none"/>
          <w:lang w:eastAsia="zh-CN"/>
          <w14:textFill>
            <w14:solidFill>
              <w14:schemeClr w14:val="tx1"/>
            </w14:solidFill>
          </w14:textFill>
        </w:rPr>
        <w:t>俞刚</w:t>
      </w:r>
    </w:p>
    <w:p>
      <w:pPr>
        <w:spacing w:line="360" w:lineRule="auto"/>
        <w:rPr>
          <w:rFonts w:ascii="仿宋_GB2312" w:hAnsi="宋体" w:eastAsia="仿宋_GB2312"/>
          <w:color w:val="000000" w:themeColor="text1"/>
          <w:sz w:val="32"/>
          <w:szCs w:val="32"/>
          <w:highlight w:val="none"/>
          <w14:textFill>
            <w14:solidFill>
              <w14:schemeClr w14:val="tx1"/>
            </w14:solidFill>
          </w14:textFill>
        </w:rPr>
      </w:pPr>
    </w:p>
    <w:p>
      <w:pPr>
        <w:pStyle w:val="41"/>
        <w:rPr>
          <w:color w:val="000000" w:themeColor="text1"/>
          <w:highlight w:val="none"/>
          <w14:textFill>
            <w14:solidFill>
              <w14:schemeClr w14:val="tx1"/>
            </w14:solidFill>
          </w14:textFill>
        </w:rPr>
      </w:pPr>
    </w:p>
    <w:p>
      <w:pPr>
        <w:spacing w:line="360" w:lineRule="auto"/>
        <w:rPr>
          <w:rFonts w:ascii="仿宋_GB2312" w:hAnsi="宋体" w:eastAsia="仿宋_GB2312"/>
          <w:color w:val="000000" w:themeColor="text1"/>
          <w:sz w:val="32"/>
          <w:szCs w:val="32"/>
          <w:highlight w:val="none"/>
          <w14:textFill>
            <w14:solidFill>
              <w14:schemeClr w14:val="tx1"/>
            </w14:solidFill>
          </w14:textFill>
        </w:rPr>
      </w:pPr>
    </w:p>
    <w:p>
      <w:pPr>
        <w:spacing w:line="360" w:lineRule="auto"/>
        <w:jc w:val="center"/>
        <w:rPr>
          <w:rFonts w:hint="eastAsia" w:ascii="仿宋_GB2312" w:hAnsi="宋体" w:eastAsia="仿宋_GB2312"/>
          <w:color w:val="000000" w:themeColor="text1"/>
          <w:sz w:val="32"/>
          <w:szCs w:val="32"/>
          <w:highlight w:val="none"/>
          <w:lang w:eastAsia="zh-CN"/>
          <w14:textFill>
            <w14:solidFill>
              <w14:schemeClr w14:val="tx1"/>
            </w14:solidFill>
          </w14:textFill>
        </w:rPr>
      </w:pPr>
      <w:r>
        <w:rPr>
          <w:rFonts w:hint="eastAsia" w:ascii="仿宋_GB2312" w:hAnsi="宋体" w:eastAsia="仿宋_GB2312"/>
          <w:color w:val="000000" w:themeColor="text1"/>
          <w:sz w:val="32"/>
          <w:szCs w:val="32"/>
          <w:highlight w:val="none"/>
          <w14:textFill>
            <w14:solidFill>
              <w14:schemeClr w14:val="tx1"/>
            </w14:solidFill>
          </w14:textFill>
        </w:rPr>
        <w:t>编制单位：</w:t>
      </w:r>
      <w:r>
        <w:rPr>
          <w:rFonts w:hint="eastAsia" w:ascii="仿宋_GB2312" w:hAnsi="宋体" w:eastAsia="仿宋_GB2312"/>
          <w:color w:val="000000" w:themeColor="text1"/>
          <w:sz w:val="32"/>
          <w:szCs w:val="32"/>
          <w:highlight w:val="none"/>
          <w:lang w:eastAsia="zh-CN"/>
          <w14:textFill>
            <w14:solidFill>
              <w14:schemeClr w14:val="tx1"/>
            </w14:solidFill>
          </w14:textFill>
        </w:rPr>
        <w:t>创维视芯电子（宜春)有限公司</w:t>
      </w:r>
    </w:p>
    <w:p>
      <w:pPr>
        <w:spacing w:line="360" w:lineRule="auto"/>
        <w:jc w:val="center"/>
        <w:rPr>
          <w:rFonts w:ascii="仿宋_GB2312" w:hAnsi="宋体" w:eastAsia="仿宋_GB2312"/>
          <w:color w:val="000000" w:themeColor="text1"/>
          <w:sz w:val="32"/>
          <w:szCs w:val="32"/>
          <w:highlight w:val="none"/>
          <w14:textFill>
            <w14:solidFill>
              <w14:schemeClr w14:val="tx1"/>
            </w14:solidFill>
          </w14:textFill>
        </w:rPr>
      </w:pPr>
      <w:r>
        <w:rPr>
          <w:rFonts w:hint="eastAsia" w:ascii="仿宋_GB2312" w:hAnsi="宋体" w:eastAsia="仿宋_GB2312"/>
          <w:color w:val="000000" w:themeColor="text1"/>
          <w:sz w:val="32"/>
          <w:szCs w:val="32"/>
          <w:highlight w:val="none"/>
          <w14:textFill>
            <w14:solidFill>
              <w14:schemeClr w14:val="tx1"/>
            </w14:solidFill>
          </w14:textFill>
        </w:rPr>
        <w:t>颁布日期：20</w:t>
      </w:r>
      <w:r>
        <w:rPr>
          <w:rFonts w:hint="eastAsia" w:ascii="仿宋_GB2312" w:hAnsi="宋体" w:eastAsia="仿宋_GB2312"/>
          <w:color w:val="000000" w:themeColor="text1"/>
          <w:sz w:val="32"/>
          <w:szCs w:val="32"/>
          <w:highlight w:val="none"/>
          <w:lang w:val="en-US" w:eastAsia="zh-CN"/>
          <w14:textFill>
            <w14:solidFill>
              <w14:schemeClr w14:val="tx1"/>
            </w14:solidFill>
          </w14:textFill>
        </w:rPr>
        <w:t>22</w:t>
      </w:r>
      <w:r>
        <w:rPr>
          <w:rFonts w:hint="eastAsia" w:ascii="仿宋_GB2312" w:hAnsi="宋体" w:eastAsia="仿宋_GB2312"/>
          <w:color w:val="000000" w:themeColor="text1"/>
          <w:sz w:val="32"/>
          <w:szCs w:val="32"/>
          <w:highlight w:val="none"/>
          <w14:textFill>
            <w14:solidFill>
              <w14:schemeClr w14:val="tx1"/>
            </w14:solidFill>
          </w14:textFill>
        </w:rPr>
        <w:t>年</w:t>
      </w:r>
      <w:r>
        <w:rPr>
          <w:rFonts w:hint="eastAsia" w:ascii="仿宋_GB2312" w:hAnsi="宋体" w:eastAsia="仿宋_GB2312"/>
          <w:color w:val="000000" w:themeColor="text1"/>
          <w:sz w:val="32"/>
          <w:szCs w:val="32"/>
          <w:highlight w:val="none"/>
          <w:lang w:val="en-US" w:eastAsia="zh-CN"/>
          <w14:textFill>
            <w14:solidFill>
              <w14:schemeClr w14:val="tx1"/>
            </w14:solidFill>
          </w14:textFill>
        </w:rPr>
        <w:t>7</w:t>
      </w:r>
      <w:r>
        <w:rPr>
          <w:rFonts w:hint="eastAsia" w:ascii="仿宋_GB2312" w:hAnsi="宋体" w:eastAsia="仿宋_GB2312"/>
          <w:color w:val="000000" w:themeColor="text1"/>
          <w:sz w:val="32"/>
          <w:szCs w:val="32"/>
          <w:highlight w:val="none"/>
          <w14:textFill>
            <w14:solidFill>
              <w14:schemeClr w14:val="tx1"/>
            </w14:solidFill>
          </w14:textFill>
        </w:rPr>
        <w:t>月</w:t>
      </w:r>
    </w:p>
    <w:p>
      <w:pPr>
        <w:adjustRightInd w:val="0"/>
        <w:snapToGrid w:val="0"/>
        <w:spacing w:line="360" w:lineRule="auto"/>
        <w:ind w:left="-359" w:leftChars="-171" w:right="-153" w:rightChars="-73"/>
        <w:jc w:val="center"/>
        <w:rPr>
          <w:rFonts w:ascii="仿宋_GB2312" w:eastAsia="仿宋_GB2312"/>
          <w:b/>
          <w:color w:val="000000" w:themeColor="text1"/>
          <w:sz w:val="32"/>
          <w:szCs w:val="32"/>
          <w:highlight w:val="none"/>
          <w14:textFill>
            <w14:solidFill>
              <w14:schemeClr w14:val="tx1"/>
            </w14:solidFill>
          </w14:textFill>
        </w:rPr>
      </w:pPr>
    </w:p>
    <w:p>
      <w:pPr>
        <w:tabs>
          <w:tab w:val="center" w:pos="4422"/>
        </w:tabs>
        <w:spacing w:line="360" w:lineRule="auto"/>
        <w:jc w:val="center"/>
        <w:rPr>
          <w:rFonts w:ascii="宋体" w:hAnsi="宋体"/>
          <w:color w:val="000000" w:themeColor="text1"/>
          <w:sz w:val="48"/>
          <w:szCs w:val="48"/>
          <w:highlight w:val="none"/>
          <w:u w:val="thick"/>
          <w14:textFill>
            <w14:solidFill>
              <w14:schemeClr w14:val="tx1"/>
            </w14:solidFill>
          </w14:textFill>
        </w:rPr>
        <w:sectPr>
          <w:headerReference r:id="rId7" w:type="first"/>
          <w:headerReference r:id="rId5" w:type="default"/>
          <w:footerReference r:id="rId8" w:type="default"/>
          <w:headerReference r:id="rId6" w:type="even"/>
          <w:footerReference r:id="rId9" w:type="even"/>
          <w:pgSz w:w="11906" w:h="16838"/>
          <w:pgMar w:top="1418" w:right="1418" w:bottom="1418" w:left="1418" w:header="851" w:footer="992" w:gutter="0"/>
          <w:pgNumType w:fmt="upperRoman" w:start="1"/>
          <w:cols w:space="425" w:num="1"/>
          <w:titlePg/>
          <w:docGrid w:type="linesAndChars" w:linePitch="312" w:charSpace="0"/>
        </w:sectPr>
      </w:pPr>
    </w:p>
    <w:p>
      <w:pPr>
        <w:tabs>
          <w:tab w:val="center" w:pos="4422"/>
        </w:tabs>
        <w:spacing w:line="360" w:lineRule="auto"/>
        <w:jc w:val="center"/>
        <w:rPr>
          <w:rFonts w:ascii="宋体" w:hAnsi="宋体"/>
          <w:color w:val="000000" w:themeColor="text1"/>
          <w:sz w:val="48"/>
          <w:szCs w:val="48"/>
          <w:highlight w:val="none"/>
          <w14:textFill>
            <w14:solidFill>
              <w14:schemeClr w14:val="tx1"/>
            </w14:solidFill>
          </w14:textFill>
        </w:rPr>
      </w:pPr>
      <w:r>
        <w:rPr>
          <w:rFonts w:hint="eastAsia" w:ascii="宋体" w:hAnsi="宋体"/>
          <w:color w:val="000000" w:themeColor="text1"/>
          <w:sz w:val="48"/>
          <w:szCs w:val="48"/>
          <w:highlight w:val="none"/>
          <w14:textFill>
            <w14:solidFill>
              <w14:schemeClr w14:val="tx1"/>
            </w14:solidFill>
          </w14:textFill>
        </w:rPr>
        <w:t>批 准 页</w:t>
      </w:r>
    </w:p>
    <w:p>
      <w:pPr>
        <w:spacing w:line="360" w:lineRule="auto"/>
        <w:ind w:right="201" w:rightChars="96"/>
        <w:jc w:val="center"/>
        <w:rPr>
          <w:color w:val="000000" w:themeColor="text1"/>
          <w:sz w:val="24"/>
          <w:highlight w:val="none"/>
          <w14:textFill>
            <w14:solidFill>
              <w14:schemeClr w14:val="tx1"/>
            </w14:solidFill>
          </w14:textFill>
        </w:rPr>
      </w:pPr>
    </w:p>
    <w:p>
      <w:pPr>
        <w:spacing w:line="360" w:lineRule="auto"/>
        <w:ind w:firstLine="560" w:firstLineChars="200"/>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为贯彻落实《中华人民共和国环境保护法》、《企业事业单位突发环境事件应急预案备案管理办法(试行)》、《突发环境事件应急管理办法》等法律、法规有关规定，建立健全</w:t>
      </w:r>
      <w:r>
        <w:rPr>
          <w:rFonts w:hint="eastAsia" w:ascii="宋体" w:hAnsi="宋体"/>
          <w:color w:val="000000" w:themeColor="text1"/>
          <w:sz w:val="28"/>
          <w:szCs w:val="28"/>
          <w:highlight w:val="none"/>
          <w:lang w:eastAsia="zh-CN"/>
          <w14:textFill>
            <w14:solidFill>
              <w14:schemeClr w14:val="tx1"/>
            </w14:solidFill>
          </w14:textFill>
        </w:rPr>
        <w:t>创维视芯电子（宜春)有限公司</w:t>
      </w:r>
      <w:r>
        <w:rPr>
          <w:rFonts w:ascii="宋体" w:hAnsi="宋体"/>
          <w:color w:val="000000" w:themeColor="text1"/>
          <w:sz w:val="28"/>
          <w:szCs w:val="28"/>
          <w:highlight w:val="none"/>
          <w14:textFill>
            <w14:solidFill>
              <w14:schemeClr w14:val="tx1"/>
            </w14:solidFill>
          </w14:textFill>
        </w:rPr>
        <w:t>环境应急体系，确保</w:t>
      </w:r>
      <w:r>
        <w:rPr>
          <w:rFonts w:hint="eastAsia" w:ascii="宋体" w:hAnsi="宋体"/>
          <w:color w:val="000000" w:themeColor="text1"/>
          <w:sz w:val="28"/>
          <w:szCs w:val="28"/>
          <w:highlight w:val="none"/>
          <w:lang w:eastAsia="zh-CN"/>
          <w14:textFill>
            <w14:solidFill>
              <w14:schemeClr w14:val="tx1"/>
            </w14:solidFill>
          </w14:textFill>
        </w:rPr>
        <w:t>创维视芯电子（宜春)有限公司</w:t>
      </w:r>
      <w:r>
        <w:rPr>
          <w:rFonts w:ascii="宋体" w:hAnsi="宋体"/>
          <w:color w:val="000000" w:themeColor="text1"/>
          <w:sz w:val="28"/>
          <w:szCs w:val="28"/>
          <w:highlight w:val="none"/>
          <w14:textFill>
            <w14:solidFill>
              <w14:schemeClr w14:val="tx1"/>
            </w14:solidFill>
          </w14:textFill>
        </w:rPr>
        <w:t>在发生突发环境事件时，各项应急工作能够高效有序地快速启动，避免和最大限度地减轻突发环境事件对环境造成的损失和危害，结合</w:t>
      </w:r>
      <w:r>
        <w:rPr>
          <w:rFonts w:hint="eastAsia" w:ascii="宋体" w:hAnsi="宋体"/>
          <w:color w:val="000000" w:themeColor="text1"/>
          <w:sz w:val="28"/>
          <w:szCs w:val="28"/>
          <w:highlight w:val="none"/>
          <w:lang w:eastAsia="zh-CN"/>
          <w14:textFill>
            <w14:solidFill>
              <w14:schemeClr w14:val="tx1"/>
            </w14:solidFill>
          </w14:textFill>
        </w:rPr>
        <w:t>创维视芯电子（宜春)有限公司</w:t>
      </w:r>
      <w:r>
        <w:rPr>
          <w:rFonts w:ascii="宋体" w:hAnsi="宋体"/>
          <w:color w:val="000000" w:themeColor="text1"/>
          <w:sz w:val="28"/>
          <w:szCs w:val="28"/>
          <w:highlight w:val="none"/>
          <w14:textFill>
            <w14:solidFill>
              <w14:schemeClr w14:val="tx1"/>
            </w14:solidFill>
          </w14:textFill>
        </w:rPr>
        <w:t>实际情况，制定了《</w:t>
      </w:r>
      <w:r>
        <w:rPr>
          <w:rFonts w:hint="eastAsia" w:ascii="宋体" w:hAnsi="宋体"/>
          <w:color w:val="000000" w:themeColor="text1"/>
          <w:sz w:val="28"/>
          <w:szCs w:val="28"/>
          <w:highlight w:val="none"/>
          <w:lang w:eastAsia="zh-CN"/>
          <w14:textFill>
            <w14:solidFill>
              <w14:schemeClr w14:val="tx1"/>
            </w14:solidFill>
          </w14:textFill>
        </w:rPr>
        <w:t>创维视芯电子（宜春)有限公司</w:t>
      </w:r>
      <w:r>
        <w:rPr>
          <w:rFonts w:ascii="宋体" w:hAnsi="宋体"/>
          <w:color w:val="000000" w:themeColor="text1"/>
          <w:sz w:val="28"/>
          <w:szCs w:val="28"/>
          <w:highlight w:val="none"/>
          <w14:textFill>
            <w14:solidFill>
              <w14:schemeClr w14:val="tx1"/>
            </w14:solidFill>
          </w14:textFill>
        </w:rPr>
        <w:t>突发环境事件应急预案》。</w:t>
      </w:r>
    </w:p>
    <w:p>
      <w:pPr>
        <w:spacing w:line="360" w:lineRule="auto"/>
        <w:ind w:firstLine="560" w:firstLineChars="200"/>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本预案结合</w:t>
      </w:r>
      <w:r>
        <w:rPr>
          <w:rFonts w:hint="eastAsia" w:ascii="宋体" w:hAnsi="宋体"/>
          <w:color w:val="000000" w:themeColor="text1"/>
          <w:sz w:val="28"/>
          <w:szCs w:val="28"/>
          <w:highlight w:val="none"/>
          <w:lang w:eastAsia="zh-CN"/>
          <w14:textFill>
            <w14:solidFill>
              <w14:schemeClr w14:val="tx1"/>
            </w14:solidFill>
          </w14:textFill>
        </w:rPr>
        <w:t>创维视芯电子（宜春)有限公司</w:t>
      </w:r>
      <w:r>
        <w:rPr>
          <w:rFonts w:ascii="宋体" w:hAnsi="宋体"/>
          <w:color w:val="000000" w:themeColor="text1"/>
          <w:sz w:val="28"/>
          <w:szCs w:val="28"/>
          <w:highlight w:val="none"/>
          <w14:textFill>
            <w14:solidFill>
              <w14:schemeClr w14:val="tx1"/>
            </w14:solidFill>
          </w14:textFill>
        </w:rPr>
        <w:t>实际生产经营情况、存在的环境风险和区域环境特征进行编制，内容包含环境风险评估、突发环境事件应急组织机构和职责、预防与预警、应急响应、信息报送和后期处置等内容。</w:t>
      </w:r>
    </w:p>
    <w:p>
      <w:pPr>
        <w:spacing w:line="360" w:lineRule="auto"/>
        <w:ind w:firstLine="560" w:firstLineChars="200"/>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w:t>
      </w:r>
      <w:r>
        <w:rPr>
          <w:rFonts w:hint="eastAsia" w:ascii="宋体" w:hAnsi="宋体"/>
          <w:color w:val="000000" w:themeColor="text1"/>
          <w:sz w:val="28"/>
          <w:szCs w:val="28"/>
          <w:highlight w:val="none"/>
          <w:lang w:eastAsia="zh-CN"/>
          <w14:textFill>
            <w14:solidFill>
              <w14:schemeClr w14:val="tx1"/>
            </w14:solidFill>
          </w14:textFill>
        </w:rPr>
        <w:t>创维视芯电子（宜春)有限公司</w:t>
      </w:r>
      <w:r>
        <w:rPr>
          <w:rFonts w:ascii="宋体" w:hAnsi="宋体"/>
          <w:color w:val="000000" w:themeColor="text1"/>
          <w:sz w:val="28"/>
          <w:szCs w:val="28"/>
          <w:highlight w:val="none"/>
          <w14:textFill>
            <w14:solidFill>
              <w14:schemeClr w14:val="tx1"/>
            </w14:solidFill>
          </w14:textFill>
        </w:rPr>
        <w:t>突发环境事件应急预案》经</w:t>
      </w:r>
      <w:r>
        <w:rPr>
          <w:rFonts w:hint="eastAsia" w:ascii="宋体" w:hAnsi="宋体"/>
          <w:color w:val="000000" w:themeColor="text1"/>
          <w:sz w:val="28"/>
          <w:szCs w:val="28"/>
          <w:highlight w:val="none"/>
          <w:lang w:eastAsia="zh-CN"/>
          <w14:textFill>
            <w14:solidFill>
              <w14:schemeClr w14:val="tx1"/>
            </w14:solidFill>
          </w14:textFill>
        </w:rPr>
        <w:t>创维视芯电子（宜春)有限公司</w:t>
      </w:r>
      <w:r>
        <w:rPr>
          <w:rFonts w:ascii="宋体" w:hAnsi="宋体"/>
          <w:color w:val="000000" w:themeColor="text1"/>
          <w:sz w:val="28"/>
          <w:szCs w:val="28"/>
          <w:highlight w:val="none"/>
          <w14:textFill>
            <w14:solidFill>
              <w14:schemeClr w14:val="tx1"/>
            </w14:solidFill>
          </w14:textFill>
        </w:rPr>
        <w:t>突发环境事件应急救援指挥部审核通过，现正式发布。</w:t>
      </w:r>
    </w:p>
    <w:p>
      <w:pPr>
        <w:spacing w:line="360" w:lineRule="auto"/>
        <w:jc w:val="left"/>
        <w:rPr>
          <w:color w:val="000000" w:themeColor="text1"/>
          <w:sz w:val="30"/>
          <w:szCs w:val="30"/>
          <w:highlight w:val="none"/>
          <w14:textFill>
            <w14:solidFill>
              <w14:schemeClr w14:val="tx1"/>
            </w14:solidFill>
          </w14:textFill>
        </w:rPr>
      </w:pPr>
    </w:p>
    <w:p>
      <w:pPr>
        <w:spacing w:line="360" w:lineRule="auto"/>
        <w:rPr>
          <w:color w:val="000000" w:themeColor="text1"/>
          <w:sz w:val="30"/>
          <w:szCs w:val="30"/>
          <w:highlight w:val="none"/>
          <w14:textFill>
            <w14:solidFill>
              <w14:schemeClr w14:val="tx1"/>
            </w14:solidFill>
          </w14:textFill>
        </w:rPr>
      </w:pPr>
    </w:p>
    <w:p>
      <w:pPr>
        <w:spacing w:line="360" w:lineRule="auto"/>
        <w:rPr>
          <w:color w:val="000000" w:themeColor="text1"/>
          <w:sz w:val="30"/>
          <w:szCs w:val="30"/>
          <w:highlight w:val="none"/>
          <w14:textFill>
            <w14:solidFill>
              <w14:schemeClr w14:val="tx1"/>
            </w14:solidFill>
          </w14:textFill>
        </w:rPr>
      </w:pPr>
    </w:p>
    <w:p>
      <w:pPr>
        <w:spacing w:line="360" w:lineRule="auto"/>
        <w:ind w:firstLine="560" w:firstLineChars="200"/>
        <w:jc w:val="right"/>
        <w:rPr>
          <w:rFonts w:hint="eastAsia" w:ascii="宋体" w:hAnsi="宋体" w:cs="Times New Roman"/>
          <w:color w:val="000000" w:themeColor="text1"/>
          <w:sz w:val="28"/>
          <w:szCs w:val="28"/>
          <w:highlight w:val="none"/>
          <w:lang w:eastAsia="zh-CN"/>
          <w14:textFill>
            <w14:solidFill>
              <w14:schemeClr w14:val="tx1"/>
            </w14:solidFill>
          </w14:textFill>
        </w:rPr>
      </w:pPr>
      <w:r>
        <w:rPr>
          <w:rFonts w:hint="eastAsia" w:ascii="宋体" w:hAnsi="宋体" w:cs="Times New Roman"/>
          <w:color w:val="000000" w:themeColor="text1"/>
          <w:sz w:val="28"/>
          <w:szCs w:val="28"/>
          <w:highlight w:val="none"/>
          <w:lang w:eastAsia="zh-CN"/>
          <w14:textFill>
            <w14:solidFill>
              <w14:schemeClr w14:val="tx1"/>
            </w14:solidFill>
          </w14:textFill>
        </w:rPr>
        <w:t>创维视芯电子（宜春)有限公司</w:t>
      </w:r>
      <w:r>
        <w:rPr>
          <w:rFonts w:ascii="宋体" w:hAnsi="宋体" w:cs="Times New Roman"/>
          <w:color w:val="000000" w:themeColor="text1"/>
          <w:sz w:val="28"/>
          <w:szCs w:val="28"/>
          <w:highlight w:val="none"/>
          <w14:textFill>
            <w14:solidFill>
              <w14:schemeClr w14:val="tx1"/>
            </w14:solidFill>
          </w14:textFill>
        </w:rPr>
        <w:t>总经理：</w:t>
      </w:r>
      <w:r>
        <w:rPr>
          <w:rFonts w:hint="eastAsia" w:ascii="宋体" w:hAnsi="宋体" w:cs="Times New Roman"/>
          <w:color w:val="000000" w:themeColor="text1"/>
          <w:sz w:val="28"/>
          <w:szCs w:val="28"/>
          <w:highlight w:val="none"/>
          <w:lang w:eastAsia="zh-CN"/>
          <w14:textFill>
            <w14:solidFill>
              <w14:schemeClr w14:val="tx1"/>
            </w14:solidFill>
          </w14:textFill>
        </w:rPr>
        <w:t>俞刚</w:t>
      </w:r>
    </w:p>
    <w:p>
      <w:pPr>
        <w:spacing w:line="360" w:lineRule="auto"/>
        <w:ind w:firstLine="560" w:firstLineChars="200"/>
        <w:jc w:val="right"/>
        <w:rPr>
          <w:rFonts w:ascii="宋体" w:hAnsi="宋体" w:cs="Times New Roman"/>
          <w:color w:val="000000" w:themeColor="text1"/>
          <w:sz w:val="28"/>
          <w:szCs w:val="28"/>
          <w:highlight w:val="none"/>
          <w14:textFill>
            <w14:solidFill>
              <w14:schemeClr w14:val="tx1"/>
            </w14:solidFill>
          </w14:textFill>
        </w:rPr>
        <w:sectPr>
          <w:headerReference r:id="rId10" w:type="first"/>
          <w:footerReference r:id="rId12" w:type="first"/>
          <w:footerReference r:id="rId11" w:type="default"/>
          <w:pgSz w:w="11906" w:h="16838"/>
          <w:pgMar w:top="1418" w:right="1418" w:bottom="1418" w:left="1418" w:header="851" w:footer="992" w:gutter="0"/>
          <w:pgNumType w:fmt="upperRoman" w:start="1"/>
          <w:cols w:space="425" w:num="1"/>
          <w:titlePg/>
          <w:docGrid w:type="linesAndChars" w:linePitch="312" w:charSpace="0"/>
        </w:sectPr>
      </w:pPr>
      <w:r>
        <w:rPr>
          <w:rFonts w:hint="eastAsia" w:ascii="宋体" w:hAnsi="宋体" w:cs="Times New Roman"/>
          <w:color w:val="000000" w:themeColor="text1"/>
          <w:sz w:val="28"/>
          <w:szCs w:val="28"/>
          <w:highlight w:val="none"/>
          <w14:textFill>
            <w14:solidFill>
              <w14:schemeClr w14:val="tx1"/>
            </w14:solidFill>
          </w14:textFill>
        </w:rPr>
        <w:t>20</w:t>
      </w:r>
      <w:r>
        <w:rPr>
          <w:rFonts w:hint="eastAsia" w:ascii="宋体" w:hAnsi="宋体" w:cs="Times New Roman"/>
          <w:color w:val="000000" w:themeColor="text1"/>
          <w:sz w:val="28"/>
          <w:szCs w:val="28"/>
          <w:highlight w:val="none"/>
          <w:lang w:val="en-US" w:eastAsia="zh-CN"/>
          <w14:textFill>
            <w14:solidFill>
              <w14:schemeClr w14:val="tx1"/>
            </w14:solidFill>
          </w14:textFill>
        </w:rPr>
        <w:t>22</w:t>
      </w:r>
      <w:r>
        <w:rPr>
          <w:rFonts w:hint="eastAsia" w:ascii="宋体" w:hAnsi="宋体" w:cs="Times New Roman"/>
          <w:color w:val="000000" w:themeColor="text1"/>
          <w:sz w:val="28"/>
          <w:szCs w:val="28"/>
          <w:highlight w:val="none"/>
          <w14:textFill>
            <w14:solidFill>
              <w14:schemeClr w14:val="tx1"/>
            </w14:solidFill>
          </w14:textFill>
        </w:rPr>
        <w:t>年</w:t>
      </w:r>
      <w:r>
        <w:rPr>
          <w:rFonts w:hint="eastAsia" w:ascii="宋体" w:hAnsi="宋体" w:cs="Times New Roman"/>
          <w:color w:val="000000" w:themeColor="text1"/>
          <w:sz w:val="28"/>
          <w:szCs w:val="28"/>
          <w:highlight w:val="none"/>
          <w:lang w:val="en-US" w:eastAsia="zh-CN"/>
          <w14:textFill>
            <w14:solidFill>
              <w14:schemeClr w14:val="tx1"/>
            </w14:solidFill>
          </w14:textFill>
        </w:rPr>
        <w:t>9</w:t>
      </w:r>
      <w:r>
        <w:rPr>
          <w:rFonts w:hint="eastAsia" w:ascii="宋体" w:hAnsi="宋体" w:cs="Times New Roman"/>
          <w:color w:val="000000" w:themeColor="text1"/>
          <w:sz w:val="28"/>
          <w:szCs w:val="28"/>
          <w:highlight w:val="none"/>
          <w14:textFill>
            <w14:solidFill>
              <w14:schemeClr w14:val="tx1"/>
            </w14:solidFill>
          </w14:textFill>
        </w:rPr>
        <w:t>月</w:t>
      </w:r>
    </w:p>
    <w:p>
      <w:pPr>
        <w:pStyle w:val="2"/>
        <w:spacing w:before="120" w:after="0" w:line="360" w:lineRule="auto"/>
        <w:jc w:val="center"/>
        <w:rPr>
          <w:color w:val="000000" w:themeColor="text1"/>
          <w:highlight w:val="none"/>
          <w14:textFill>
            <w14:solidFill>
              <w14:schemeClr w14:val="tx1"/>
            </w14:solidFill>
          </w14:textFill>
        </w:rPr>
      </w:pPr>
      <w:bookmarkStart w:id="0" w:name="_Toc43202911"/>
      <w:bookmarkStart w:id="1" w:name="_Toc12596"/>
      <w:bookmarkStart w:id="2" w:name="_Toc46857499"/>
      <w:bookmarkStart w:id="3" w:name="_Toc45742155"/>
      <w:bookmarkStart w:id="4" w:name="_Toc160532462"/>
      <w:bookmarkStart w:id="5" w:name="_Toc408502996"/>
      <w:bookmarkStart w:id="6" w:name="_Toc161808434"/>
      <w:bookmarkStart w:id="7" w:name="_Toc20371_WPSOffice_Level1"/>
      <w:bookmarkStart w:id="8" w:name="_Toc27447_WPSOffice_Level1"/>
      <w:r>
        <w:rPr>
          <w:rFonts w:hint="eastAsia"/>
          <w:color w:val="000000" w:themeColor="text1"/>
          <w:highlight w:val="none"/>
          <w14:textFill>
            <w14:solidFill>
              <w14:schemeClr w14:val="tx1"/>
            </w14:solidFill>
          </w14:textFill>
        </w:rPr>
        <w:t>目录</w:t>
      </w:r>
      <w:bookmarkEnd w:id="0"/>
      <w:bookmarkEnd w:id="1"/>
      <w:bookmarkEnd w:id="2"/>
      <w:bookmarkEnd w:id="3"/>
    </w:p>
    <w:p>
      <w:pPr>
        <w:pStyle w:val="36"/>
        <w:tabs>
          <w:tab w:val="right" w:leader="dot" w:pos="9070"/>
          <w:tab w:val="clear" w:pos="900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TOC \o "1-2" \h \u </w:instrText>
      </w:r>
      <w:r>
        <w:rPr>
          <w:rFonts w:ascii="宋体" w:hAnsi="宋体" w:eastAsia="宋体" w:cs="宋体"/>
          <w:color w:val="000000" w:themeColor="text1"/>
          <w:highlight w:val="none"/>
          <w14:textFill>
            <w14:solidFill>
              <w14:schemeClr w14:val="tx1"/>
            </w14:solidFill>
          </w14:textFill>
        </w:rPr>
        <w:fldChar w:fldCharType="separate"/>
      </w: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_Toc12596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目录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_Toc12596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36"/>
        <w:tabs>
          <w:tab w:val="right" w:leader="dot" w:pos="9070"/>
          <w:tab w:val="clear" w:pos="900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_Toc11401 </w:instrText>
      </w:r>
      <w:r>
        <w:rPr>
          <w:rFonts w:ascii="宋体" w:hAnsi="宋体" w:eastAsia="宋体" w:cs="宋体"/>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第一</w:t>
      </w:r>
      <w:r>
        <w:rPr>
          <w:rFonts w:hint="eastAsia"/>
          <w:color w:val="000000" w:themeColor="text1"/>
          <w:highlight w:val="none"/>
          <w14:textFill>
            <w14:solidFill>
              <w14:schemeClr w14:val="tx1"/>
            </w14:solidFill>
          </w14:textFill>
        </w:rPr>
        <w:t>章</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总则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_Toc11401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_Toc7393 </w:instrText>
      </w:r>
      <w:r>
        <w:rPr>
          <w:rFonts w:ascii="宋体" w:hAnsi="宋体" w:eastAsia="宋体" w:cs="宋体"/>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编制目的</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_Toc7393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_Toc32644 </w:instrText>
      </w:r>
      <w:r>
        <w:rPr>
          <w:rFonts w:ascii="宋体" w:hAnsi="宋体" w:eastAsia="宋体" w:cs="宋体"/>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编制依据</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_Toc32644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_Toc27785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1.3适用范围</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_Toc27785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_Toc5854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1.4 应急预案编制程序和内容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_Toc5854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_Toc29473 </w:instrText>
      </w:r>
      <w:r>
        <w:rPr>
          <w:rFonts w:ascii="宋体" w:hAnsi="宋体" w:eastAsia="宋体" w:cs="宋体"/>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5突发环境事件分级标准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_Toc29473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_Toc32326 </w:instrText>
      </w:r>
      <w:r>
        <w:rPr>
          <w:rFonts w:ascii="宋体" w:hAnsi="宋体" w:eastAsia="宋体" w:cs="宋体"/>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6</w:t>
      </w:r>
      <w:r>
        <w:rPr>
          <w:color w:val="000000" w:themeColor="text1"/>
          <w:highlight w:val="none"/>
          <w14:textFill>
            <w14:solidFill>
              <w14:schemeClr w14:val="tx1"/>
            </w14:solidFill>
          </w14:textFill>
        </w:rPr>
        <w:t>工作原则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_Toc32326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_Toc10236 </w:instrText>
      </w:r>
      <w:r>
        <w:rPr>
          <w:rFonts w:ascii="宋体" w:hAnsi="宋体" w:eastAsia="宋体" w:cs="宋体"/>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7</w:t>
      </w:r>
      <w:r>
        <w:rPr>
          <w:color w:val="000000" w:themeColor="text1"/>
          <w:highlight w:val="none"/>
          <w14:textFill>
            <w14:solidFill>
              <w14:schemeClr w14:val="tx1"/>
            </w14:solidFill>
          </w14:textFill>
        </w:rPr>
        <w:t>突发环境事件应急预案的启动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_Toc10236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_Toc2202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1.8 事故基本处置程序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_Toc2202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36"/>
        <w:tabs>
          <w:tab w:val="right" w:leader="dot" w:pos="9070"/>
          <w:tab w:val="clear" w:pos="900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_Toc20470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第二章</w:t>
      </w:r>
      <w:r>
        <w:rPr>
          <w:rFonts w:hint="default"/>
          <w:color w:val="000000" w:themeColor="text1"/>
          <w:highlight w:val="none"/>
          <w:lang w:val="en-US" w:eastAsia="zh-CN"/>
          <w14:textFill>
            <w14:solidFill>
              <w14:schemeClr w14:val="tx1"/>
            </w14:solidFill>
          </w14:textFill>
        </w:rPr>
        <w:t xml:space="preserve"> 公司的基本情况</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_Toc20470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10</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_Toc30446 </w:instrText>
      </w:r>
      <w:r>
        <w:rPr>
          <w:rFonts w:ascii="宋体" w:hAnsi="宋体" w:eastAsia="宋体" w:cs="宋体"/>
          <w:color w:val="000000" w:themeColor="text1"/>
          <w:highlight w:val="none"/>
          <w14:textFill>
            <w14:solidFill>
              <w14:schemeClr w14:val="tx1"/>
            </w14:solidFill>
          </w14:textFill>
        </w:rPr>
        <w:fldChar w:fldCharType="separate"/>
      </w:r>
      <w:r>
        <w:rPr>
          <w:rFonts w:hint="default"/>
          <w:color w:val="000000" w:themeColor="text1"/>
          <w:highlight w:val="none"/>
          <w:lang w:val="en-US" w:eastAsia="zh-CN"/>
          <w14:textFill>
            <w14:solidFill>
              <w14:schemeClr w14:val="tx1"/>
            </w14:solidFill>
          </w14:textFill>
        </w:rPr>
        <w:t>2.1 企</w:t>
      </w:r>
      <w:r>
        <w:rPr>
          <w:rFonts w:hint="eastAsia"/>
          <w:color w:val="000000" w:themeColor="text1"/>
          <w:highlight w:val="none"/>
          <w:lang w:val="en-US" w:eastAsia="zh-CN"/>
          <w14:textFill>
            <w14:solidFill>
              <w14:schemeClr w14:val="tx1"/>
            </w14:solidFill>
          </w14:textFill>
        </w:rPr>
        <w:t>业基本信息</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_Toc30446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10</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_Toc8398 </w:instrText>
      </w:r>
      <w:r>
        <w:rPr>
          <w:rFonts w:ascii="宋体" w:hAnsi="宋体" w:eastAsia="宋体" w:cs="宋体"/>
          <w:color w:val="000000" w:themeColor="text1"/>
          <w:highlight w:val="none"/>
          <w14:textFill>
            <w14:solidFill>
              <w14:schemeClr w14:val="tx1"/>
            </w14:solidFill>
          </w14:textFill>
        </w:rPr>
        <w:fldChar w:fldCharType="separate"/>
      </w:r>
      <w:r>
        <w:rPr>
          <w:rFonts w:hint="default"/>
          <w:color w:val="000000" w:themeColor="text1"/>
          <w:highlight w:val="none"/>
          <w:lang w:val="en-US" w:eastAsia="zh-CN"/>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2</w:t>
      </w:r>
      <w:r>
        <w:rPr>
          <w:rFonts w:hint="default"/>
          <w:color w:val="000000" w:themeColor="text1"/>
          <w:highlight w:val="none"/>
          <w:lang w:val="en-US" w:eastAsia="zh-CN"/>
          <w14:textFill>
            <w14:solidFill>
              <w14:schemeClr w14:val="tx1"/>
            </w14:solidFill>
          </w14:textFill>
        </w:rPr>
        <w:t xml:space="preserve"> 环境功能区划</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_Toc8398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19</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_Toc17665 </w:instrText>
      </w:r>
      <w:r>
        <w:rPr>
          <w:rFonts w:ascii="宋体" w:hAnsi="宋体" w:eastAsia="宋体" w:cs="宋体"/>
          <w:color w:val="000000" w:themeColor="text1"/>
          <w:highlight w:val="none"/>
          <w14:textFill>
            <w14:solidFill>
              <w14:schemeClr w14:val="tx1"/>
            </w14:solidFill>
          </w14:textFill>
        </w:rPr>
        <w:fldChar w:fldCharType="separate"/>
      </w:r>
      <w:r>
        <w:rPr>
          <w:rFonts w:hint="default"/>
          <w:color w:val="000000" w:themeColor="text1"/>
          <w:highlight w:val="none"/>
          <w:lang w:val="en-US" w:eastAsia="zh-CN"/>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3</w:t>
      </w:r>
      <w:r>
        <w:rPr>
          <w:rFonts w:hint="default"/>
          <w:color w:val="000000" w:themeColor="text1"/>
          <w:highlight w:val="none"/>
          <w:lang w:val="en-US" w:eastAsia="zh-CN"/>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自然环境概况</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_Toc17665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19</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_Toc14431 </w:instrText>
      </w:r>
      <w:r>
        <w:rPr>
          <w:rFonts w:ascii="宋体" w:hAnsi="宋体" w:eastAsia="宋体" w:cs="宋体"/>
          <w:color w:val="000000" w:themeColor="text1"/>
          <w:highlight w:val="none"/>
          <w14:textFill>
            <w14:solidFill>
              <w14:schemeClr w14:val="tx1"/>
            </w14:solidFill>
          </w14:textFill>
        </w:rPr>
        <w:fldChar w:fldCharType="separate"/>
      </w:r>
      <w:r>
        <w:rPr>
          <w:rFonts w:hint="default"/>
          <w:color w:val="000000" w:themeColor="text1"/>
          <w:highlight w:val="none"/>
          <w:lang w:val="en-US" w:eastAsia="zh-CN"/>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4</w:t>
      </w:r>
      <w:r>
        <w:rPr>
          <w:rFonts w:hint="default"/>
          <w:color w:val="000000" w:themeColor="text1"/>
          <w:highlight w:val="none"/>
          <w:lang w:val="en-US" w:eastAsia="zh-CN"/>
          <w14:textFill>
            <w14:solidFill>
              <w14:schemeClr w14:val="tx1"/>
            </w14:solidFill>
          </w14:textFill>
        </w:rPr>
        <w:t xml:space="preserve"> 生产工艺</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_Toc14431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23</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_Toc11789 </w:instrText>
      </w:r>
      <w:r>
        <w:rPr>
          <w:rFonts w:ascii="宋体" w:hAnsi="宋体" w:eastAsia="宋体" w:cs="宋体"/>
          <w:color w:val="000000" w:themeColor="text1"/>
          <w:highlight w:val="none"/>
          <w14:textFill>
            <w14:solidFill>
              <w14:schemeClr w14:val="tx1"/>
            </w14:solidFill>
          </w14:textFill>
        </w:rPr>
        <w:fldChar w:fldCharType="separate"/>
      </w:r>
      <w:r>
        <w:rPr>
          <w:rFonts w:hint="default"/>
          <w:color w:val="000000" w:themeColor="text1"/>
          <w:highlight w:val="none"/>
          <w:lang w:val="en-US" w:eastAsia="zh-CN"/>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5</w:t>
      </w:r>
      <w:r>
        <w:rPr>
          <w:rFonts w:hint="default"/>
          <w:color w:val="000000" w:themeColor="text1"/>
          <w:highlight w:val="none"/>
          <w:lang w:val="en-US" w:eastAsia="zh-CN"/>
          <w14:textFill>
            <w14:solidFill>
              <w14:schemeClr w14:val="tx1"/>
            </w14:solidFill>
          </w14:textFill>
        </w:rPr>
        <w:t xml:space="preserve"> 污染源分析</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_Toc11789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29</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_Toc20126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2.6 主要环境影响和保护措施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_Toc20126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31</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_Toc21839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2.7</w:t>
      </w:r>
      <w:r>
        <w:rPr>
          <w:rFonts w:hint="default"/>
          <w:color w:val="000000" w:themeColor="text1"/>
          <w:highlight w:val="none"/>
          <w:lang w:val="en-US" w:eastAsia="zh-CN"/>
          <w14:textFill>
            <w14:solidFill>
              <w14:schemeClr w14:val="tx1"/>
            </w14:solidFill>
          </w14:textFill>
        </w:rPr>
        <w:t>环境风险识别</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_Toc21839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37</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36"/>
        <w:tabs>
          <w:tab w:val="right" w:leader="dot" w:pos="9070"/>
          <w:tab w:val="clear" w:pos="900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_Toc129 </w:instrText>
      </w:r>
      <w:r>
        <w:rPr>
          <w:rFonts w:ascii="宋体" w:hAnsi="宋体" w:eastAsia="宋体" w:cs="宋体"/>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第</w:t>
      </w:r>
      <w:r>
        <w:rPr>
          <w:rFonts w:hint="eastAsia"/>
          <w:color w:val="000000" w:themeColor="text1"/>
          <w:highlight w:val="none"/>
          <w:lang w:val="en-US" w:eastAsia="zh-CN"/>
          <w14:textFill>
            <w14:solidFill>
              <w14:schemeClr w14:val="tx1"/>
            </w14:solidFill>
          </w14:textFill>
        </w:rPr>
        <w:t>三</w:t>
      </w:r>
      <w:r>
        <w:rPr>
          <w:rFonts w:hint="eastAsia"/>
          <w:color w:val="000000" w:themeColor="text1"/>
          <w:highlight w:val="none"/>
          <w14:textFill>
            <w14:solidFill>
              <w14:schemeClr w14:val="tx1"/>
            </w14:solidFill>
          </w14:textFill>
        </w:rPr>
        <w:t>章</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组织机构与职责</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41</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_Toc6090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.1企业应急组织体系</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_Toc6090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41</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_Toc17220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.2指挥部与应急小组职责</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_Toc17220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42</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_Toc30980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.3其他制度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_Toc30980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45</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36"/>
        <w:tabs>
          <w:tab w:val="right" w:leader="dot" w:pos="9070"/>
          <w:tab w:val="clear" w:pos="900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_Toc19108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第</w:t>
      </w:r>
      <w:r>
        <w:rPr>
          <w:rFonts w:hint="eastAsia"/>
          <w:color w:val="000000" w:themeColor="text1"/>
          <w:highlight w:val="none"/>
          <w:lang w:val="en-US" w:eastAsia="zh-CN"/>
          <w14:textFill>
            <w14:solidFill>
              <w14:schemeClr w14:val="tx1"/>
            </w14:solidFill>
          </w14:textFill>
        </w:rPr>
        <w:t>四</w:t>
      </w:r>
      <w:r>
        <w:rPr>
          <w:rFonts w:hint="eastAsia"/>
          <w:color w:val="000000" w:themeColor="text1"/>
          <w:highlight w:val="none"/>
          <w14:textFill>
            <w14:solidFill>
              <w14:schemeClr w14:val="tx1"/>
            </w14:solidFill>
          </w14:textFill>
        </w:rPr>
        <w:t>章</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预防与预警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_Toc19108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47</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_Toc27350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14:textFill>
            <w14:solidFill>
              <w14:schemeClr w14:val="tx1"/>
            </w14:solidFill>
          </w14:textFill>
        </w:rPr>
        <w:t>.1建立健全预案体系</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_Toc27350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47</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_Toc16894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4</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2环境危险源监控</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_Toc16894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47</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_Toc28800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4</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3</w:t>
      </w:r>
      <w:r>
        <w:rPr>
          <w:color w:val="000000" w:themeColor="text1"/>
          <w:highlight w:val="none"/>
          <w14:textFill>
            <w14:solidFill>
              <w14:schemeClr w14:val="tx1"/>
            </w14:solidFill>
          </w14:textFill>
        </w:rPr>
        <w:t>事故预防措施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_Toc28800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48</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_Toc30591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14:textFill>
            <w14:solidFill>
              <w14:schemeClr w14:val="tx1"/>
            </w14:solidFill>
          </w14:textFill>
        </w:rPr>
        <w:t>.4预警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_Toc30591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49</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36"/>
        <w:tabs>
          <w:tab w:val="right" w:leader="dot" w:pos="9070"/>
          <w:tab w:val="clear" w:pos="900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_Toc24482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第</w:t>
      </w:r>
      <w:r>
        <w:rPr>
          <w:rFonts w:hint="eastAsia"/>
          <w:color w:val="000000" w:themeColor="text1"/>
          <w:highlight w:val="none"/>
          <w:lang w:val="en-US" w:eastAsia="zh-CN"/>
          <w14:textFill>
            <w14:solidFill>
              <w14:schemeClr w14:val="tx1"/>
            </w14:solidFill>
          </w14:textFill>
        </w:rPr>
        <w:t>五</w:t>
      </w:r>
      <w:r>
        <w:rPr>
          <w:rFonts w:hint="eastAsia"/>
          <w:color w:val="000000" w:themeColor="text1"/>
          <w:highlight w:val="none"/>
          <w14:textFill>
            <w14:solidFill>
              <w14:schemeClr w14:val="tx1"/>
            </w14:solidFill>
          </w14:textFill>
        </w:rPr>
        <w:t>章</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应急响应</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_Toc24482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52</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_Toc20938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.1应急响应流程</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_Toc20938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52</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_Toc21967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.2 应急分级响应机制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_Toc21967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52</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_Toc27573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.3 启动条件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_Toc27573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55</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_Toc28623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.4信息报告与通报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_Toc28623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55</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_Toc20242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.5 应急准备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_Toc20242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57</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_Toc30662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.6 现场应急措施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_Toc30662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58</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_Toc20127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.7 人员紧急撤离和疏散</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_Toc20127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64</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_Toc10726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.8现场救援、防护措施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_Toc10726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65</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_Toc16526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.9应急监测</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_Toc16526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66</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_Toc27471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.10现场洗消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_Toc27471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68</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_Toc9804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.11</w:t>
      </w:r>
      <w:r>
        <w:rPr>
          <w:color w:val="000000" w:themeColor="text1"/>
          <w:highlight w:val="none"/>
          <w14:textFill>
            <w14:solidFill>
              <w14:schemeClr w14:val="tx1"/>
            </w14:solidFill>
          </w14:textFill>
        </w:rPr>
        <w:t>次生灾害防范</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_Toc9804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70</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_Toc27977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ascii="Times New Roman" w:hAnsi="Times New Roman" w:eastAsia="仿宋_GB2312"/>
          <w:color w:val="000000" w:themeColor="text1"/>
          <w:highlight w:val="none"/>
          <w:lang w:val="en-US" w:eastAsia="zh-CN"/>
          <w14:textFill>
            <w14:solidFill>
              <w14:schemeClr w14:val="tx1"/>
            </w14:solidFill>
          </w14:textFill>
        </w:rPr>
        <w:t>5</w:t>
      </w:r>
      <w:r>
        <w:rPr>
          <w:rFonts w:hint="eastAsia" w:ascii="Times New Roman" w:hAnsi="Times New Roman" w:eastAsia="仿宋_GB2312"/>
          <w:color w:val="000000" w:themeColor="text1"/>
          <w:highlight w:val="none"/>
          <w14:textFill>
            <w14:solidFill>
              <w14:schemeClr w14:val="tx1"/>
            </w14:solidFill>
          </w14:textFill>
        </w:rPr>
        <w:t>.12</w:t>
      </w:r>
      <w:r>
        <w:rPr>
          <w:rFonts w:ascii="Times New Roman" w:hAnsi="仿宋_GB2312" w:eastAsia="仿宋_GB2312"/>
          <w:color w:val="000000" w:themeColor="text1"/>
          <w:highlight w:val="none"/>
          <w14:textFill>
            <w14:solidFill>
              <w14:schemeClr w14:val="tx1"/>
            </w14:solidFill>
          </w14:textFill>
        </w:rPr>
        <w:t>事故应急终止</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_Toc27977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70</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36"/>
        <w:tabs>
          <w:tab w:val="right" w:leader="dot" w:pos="9070"/>
          <w:tab w:val="clear" w:pos="900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_Toc29543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第</w:t>
      </w:r>
      <w:r>
        <w:rPr>
          <w:rFonts w:hint="eastAsia"/>
          <w:color w:val="000000" w:themeColor="text1"/>
          <w:highlight w:val="none"/>
          <w:lang w:val="en-US" w:eastAsia="zh-CN"/>
          <w14:textFill>
            <w14:solidFill>
              <w14:schemeClr w14:val="tx1"/>
            </w14:solidFill>
          </w14:textFill>
        </w:rPr>
        <w:t>六</w:t>
      </w:r>
      <w:r>
        <w:rPr>
          <w:rFonts w:hint="eastAsia"/>
          <w:color w:val="000000" w:themeColor="text1"/>
          <w:highlight w:val="none"/>
          <w14:textFill>
            <w14:solidFill>
              <w14:schemeClr w14:val="tx1"/>
            </w14:solidFill>
          </w14:textFill>
        </w:rPr>
        <w:t>章</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后期处置</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_Toc29543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72</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_Toc18177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.1  现场恢复</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_Toc18177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72</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_Toc29894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.2  善后处置</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_Toc29894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73</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_Toc8809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.3  事件调查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_Toc8809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74</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36"/>
        <w:tabs>
          <w:tab w:val="right" w:leader="dot" w:pos="9070"/>
          <w:tab w:val="clear" w:pos="900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_Toc8856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第</w:t>
      </w:r>
      <w:r>
        <w:rPr>
          <w:rFonts w:hint="eastAsia"/>
          <w:color w:val="000000" w:themeColor="text1"/>
          <w:highlight w:val="none"/>
          <w:lang w:val="en-US" w:eastAsia="zh-CN"/>
          <w14:textFill>
            <w14:solidFill>
              <w14:schemeClr w14:val="tx1"/>
            </w14:solidFill>
          </w14:textFill>
        </w:rPr>
        <w:t>七</w:t>
      </w:r>
      <w:r>
        <w:rPr>
          <w:rFonts w:hint="eastAsia"/>
          <w:color w:val="000000" w:themeColor="text1"/>
          <w:highlight w:val="none"/>
          <w14:textFill>
            <w14:solidFill>
              <w14:schemeClr w14:val="tx1"/>
            </w14:solidFill>
          </w14:textFill>
        </w:rPr>
        <w:t>章</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应急保障措施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_Toc8856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75</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_Toc15604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.1应急安全保障</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_Toc15604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75</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_Toc14999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.2应急交通保障</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_Toc14999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76</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_Toc17210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.3通信与信息保障</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_Toc17210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76</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_Toc11674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.4人力资源保障</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_Toc11674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76</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_Toc1747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.5资金保障</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_Toc1747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78</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_Toc652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.6物资装备保障</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_Toc652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78</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36"/>
        <w:tabs>
          <w:tab w:val="right" w:leader="dot" w:pos="9070"/>
          <w:tab w:val="clear" w:pos="900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_Toc18404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第</w:t>
      </w:r>
      <w:r>
        <w:rPr>
          <w:rFonts w:hint="eastAsia"/>
          <w:color w:val="000000" w:themeColor="text1"/>
          <w:highlight w:val="none"/>
          <w:lang w:val="en-US" w:eastAsia="zh-CN"/>
          <w14:textFill>
            <w14:solidFill>
              <w14:schemeClr w14:val="tx1"/>
            </w14:solidFill>
          </w14:textFill>
        </w:rPr>
        <w:t>八</w:t>
      </w:r>
      <w:r>
        <w:rPr>
          <w:rFonts w:hint="eastAsia"/>
          <w:color w:val="000000" w:themeColor="text1"/>
          <w:highlight w:val="none"/>
          <w14:textFill>
            <w14:solidFill>
              <w14:schemeClr w14:val="tx1"/>
            </w14:solidFill>
          </w14:textFill>
        </w:rPr>
        <w:t>章</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应急培训与演练</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_Toc18404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81</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_Toc8768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8</w:t>
      </w:r>
      <w:r>
        <w:rPr>
          <w:color w:val="000000" w:themeColor="text1"/>
          <w:highlight w:val="none"/>
          <w14:textFill>
            <w14:solidFill>
              <w14:schemeClr w14:val="tx1"/>
            </w14:solidFill>
          </w14:textFill>
        </w:rPr>
        <w:t>.1培训</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_Toc8768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81</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_Toc22578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8</w:t>
      </w:r>
      <w:r>
        <w:rPr>
          <w:color w:val="000000" w:themeColor="text1"/>
          <w:highlight w:val="none"/>
          <w14:textFill>
            <w14:solidFill>
              <w14:schemeClr w14:val="tx1"/>
            </w14:solidFill>
          </w14:textFill>
        </w:rPr>
        <w:t>.2演练</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_Toc22578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82</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36"/>
        <w:tabs>
          <w:tab w:val="right" w:leader="dot" w:pos="9070"/>
          <w:tab w:val="clear" w:pos="900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_Toc23225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第</w:t>
      </w:r>
      <w:r>
        <w:rPr>
          <w:rFonts w:hint="eastAsia"/>
          <w:color w:val="000000" w:themeColor="text1"/>
          <w:highlight w:val="none"/>
          <w:lang w:val="en-US" w:eastAsia="zh-CN"/>
          <w14:textFill>
            <w14:solidFill>
              <w14:schemeClr w14:val="tx1"/>
            </w14:solidFill>
          </w14:textFill>
        </w:rPr>
        <w:t>九</w:t>
      </w:r>
      <w:r>
        <w:rPr>
          <w:rFonts w:hint="eastAsia"/>
          <w:color w:val="000000" w:themeColor="text1"/>
          <w:highlight w:val="none"/>
          <w14:textFill>
            <w14:solidFill>
              <w14:schemeClr w14:val="tx1"/>
            </w14:solidFill>
          </w14:textFill>
        </w:rPr>
        <w:t>章</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奖惩</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_Toc23225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84</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_Toc19388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9</w:t>
      </w:r>
      <w:r>
        <w:rPr>
          <w:color w:val="000000" w:themeColor="text1"/>
          <w:highlight w:val="none"/>
          <w14:textFill>
            <w14:solidFill>
              <w14:schemeClr w14:val="tx1"/>
            </w14:solidFill>
          </w14:textFill>
        </w:rPr>
        <w:t>.1奖励</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_Toc19388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84</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_Toc7648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9</w:t>
      </w:r>
      <w:r>
        <w:rPr>
          <w:rFonts w:hint="eastAsia"/>
          <w:color w:val="000000" w:themeColor="text1"/>
          <w:highlight w:val="none"/>
          <w14:textFill>
            <w14:solidFill>
              <w14:schemeClr w14:val="tx1"/>
            </w14:solidFill>
          </w14:textFill>
        </w:rPr>
        <w:t>.2责任追究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_Toc7648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84</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36"/>
        <w:tabs>
          <w:tab w:val="right" w:leader="dot" w:pos="9070"/>
          <w:tab w:val="clear" w:pos="900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_Toc19234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第</w:t>
      </w:r>
      <w:r>
        <w:rPr>
          <w:rFonts w:hint="eastAsia"/>
          <w:color w:val="000000" w:themeColor="text1"/>
          <w:highlight w:val="none"/>
          <w:lang w:val="en-US" w:eastAsia="zh-CN"/>
          <w14:textFill>
            <w14:solidFill>
              <w14:schemeClr w14:val="tx1"/>
            </w14:solidFill>
          </w14:textFill>
        </w:rPr>
        <w:t>十</w:t>
      </w:r>
      <w:r>
        <w:rPr>
          <w:rFonts w:hint="eastAsia"/>
          <w:color w:val="000000" w:themeColor="text1"/>
          <w:highlight w:val="none"/>
          <w14:textFill>
            <w14:solidFill>
              <w14:schemeClr w14:val="tx1"/>
            </w14:solidFill>
          </w14:textFill>
        </w:rPr>
        <w:t>章</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预案评审、发布和更新</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_Toc19234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85</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_Toc24253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10</w:t>
      </w: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预案评审</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_Toc24253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85</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_Toc32370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lang w:val="en-US" w:eastAsia="zh-CN"/>
          <w14:textFill>
            <w14:solidFill>
              <w14:schemeClr w14:val="tx1"/>
            </w14:solidFill>
          </w14:textFill>
        </w:rPr>
        <w:t>10</w:t>
      </w: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预案备案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_Toc32370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85</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41"/>
        <w:tabs>
          <w:tab w:val="right" w:leader="dot" w:pos="907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_Toc18867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9.3</w:t>
      </w:r>
      <w:r>
        <w:rPr>
          <w:color w:val="000000" w:themeColor="text1"/>
          <w:highlight w:val="none"/>
          <w14:textFill>
            <w14:solidFill>
              <w14:schemeClr w14:val="tx1"/>
            </w14:solidFill>
          </w14:textFill>
        </w:rPr>
        <w:t>预案更新</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_Toc18867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85</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36"/>
        <w:tabs>
          <w:tab w:val="right" w:leader="dot" w:pos="9070"/>
          <w:tab w:val="clear" w:pos="900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_Toc31491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ascii="仿宋_GB2312" w:eastAsia="仿宋_GB2312"/>
          <w:color w:val="000000" w:themeColor="text1"/>
          <w:szCs w:val="36"/>
          <w:highlight w:val="none"/>
          <w14:textFill>
            <w14:solidFill>
              <w14:schemeClr w14:val="tx1"/>
            </w14:solidFill>
          </w14:textFill>
        </w:rPr>
        <w:t>附  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_Toc31491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86</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36"/>
        <w:tabs>
          <w:tab w:val="right" w:leader="dot" w:pos="9070"/>
          <w:tab w:val="clear" w:pos="900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_Toc14152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ascii="宋体" w:hAnsi="宋体" w:cs="宋体"/>
          <w:bCs/>
          <w:color w:val="000000" w:themeColor="text1"/>
          <w:kern w:val="0"/>
          <w:highlight w:val="none"/>
          <w14:textFill>
            <w14:solidFill>
              <w14:schemeClr w14:val="tx1"/>
            </w14:solidFill>
          </w14:textFill>
        </w:rPr>
        <w:t>一、预案的签署和解释</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_Toc14152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86</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36"/>
        <w:tabs>
          <w:tab w:val="right" w:leader="dot" w:pos="9070"/>
          <w:tab w:val="clear" w:pos="9000"/>
        </w:tabs>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begin"/>
      </w:r>
      <w:r>
        <w:rPr>
          <w:rFonts w:ascii="宋体" w:hAnsi="宋体" w:eastAsia="宋体" w:cs="宋体"/>
          <w:color w:val="000000" w:themeColor="text1"/>
          <w:highlight w:val="none"/>
          <w14:textFill>
            <w14:solidFill>
              <w14:schemeClr w14:val="tx1"/>
            </w14:solidFill>
          </w14:textFill>
        </w:rPr>
        <w:instrText xml:space="preserve"> HYPERLINK \l _Toc13707 </w:instrText>
      </w:r>
      <w:r>
        <w:rPr>
          <w:rFonts w:ascii="宋体" w:hAnsi="宋体" w:eastAsia="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二、</w:t>
      </w:r>
      <w:r>
        <w:rPr>
          <w:rFonts w:hint="eastAsia" w:ascii="宋体" w:hAnsi="宋体" w:cs="宋体"/>
          <w:bCs/>
          <w:color w:val="000000" w:themeColor="text1"/>
          <w:kern w:val="0"/>
          <w:highlight w:val="none"/>
          <w14:textFill>
            <w14:solidFill>
              <w14:schemeClr w14:val="tx1"/>
            </w14:solidFill>
          </w14:textFill>
        </w:rPr>
        <w:t>预案的实施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_Toc13707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86</w:t>
      </w:r>
      <w:r>
        <w:rPr>
          <w:color w:val="000000" w:themeColor="text1"/>
          <w:highlight w:val="none"/>
          <w14:textFill>
            <w14:solidFill>
              <w14:schemeClr w14:val="tx1"/>
            </w14:solidFill>
          </w14:textFill>
        </w:rPr>
        <w:fldChar w:fldCharType="end"/>
      </w:r>
      <w:r>
        <w:rPr>
          <w:rFonts w:ascii="宋体" w:hAnsi="宋体" w:eastAsia="宋体" w:cs="宋体"/>
          <w:color w:val="000000" w:themeColor="text1"/>
          <w:highlight w:val="none"/>
          <w14:textFill>
            <w14:solidFill>
              <w14:schemeClr w14:val="tx1"/>
            </w14:solidFill>
          </w14:textFill>
        </w:rPr>
        <w:fldChar w:fldCharType="end"/>
      </w:r>
    </w:p>
    <w:p>
      <w:pPr>
        <w:pStyle w:val="58"/>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fldChar w:fldCharType="end"/>
      </w:r>
    </w:p>
    <w:p>
      <w:pPr>
        <w:pStyle w:val="2"/>
        <w:spacing w:line="360" w:lineRule="auto"/>
        <w:jc w:val="center"/>
        <w:rPr>
          <w:rFonts w:ascii="宋体" w:hAnsi="宋体"/>
          <w:color w:val="000000" w:themeColor="text1"/>
          <w:sz w:val="24"/>
          <w:szCs w:val="24"/>
          <w:highlight w:val="none"/>
          <w14:textFill>
            <w14:solidFill>
              <w14:schemeClr w14:val="tx1"/>
            </w14:solidFill>
          </w14:textFill>
        </w:rPr>
        <w:sectPr>
          <w:footerReference r:id="rId13" w:type="default"/>
          <w:pgSz w:w="11906" w:h="16838"/>
          <w:pgMar w:top="1418" w:right="1418" w:bottom="1418" w:left="1418" w:header="850" w:footer="1021" w:gutter="0"/>
          <w:pgNumType w:start="1"/>
          <w:cols w:space="720" w:num="1"/>
          <w:docGrid w:linePitch="312" w:charSpace="0"/>
        </w:sectPr>
      </w:pPr>
      <w:bookmarkStart w:id="9" w:name="_Toc43202912"/>
    </w:p>
    <w:p>
      <w:pPr>
        <w:pStyle w:val="2"/>
        <w:jc w:val="center"/>
        <w:rPr>
          <w:color w:val="000000" w:themeColor="text1"/>
          <w:highlight w:val="none"/>
          <w14:textFill>
            <w14:solidFill>
              <w14:schemeClr w14:val="tx1"/>
            </w14:solidFill>
          </w14:textFill>
        </w:rPr>
      </w:pPr>
      <w:bookmarkStart w:id="10" w:name="_Toc11401"/>
      <w:bookmarkStart w:id="11" w:name="_Toc46857500"/>
      <w:r>
        <w:rPr>
          <w:color w:val="000000" w:themeColor="text1"/>
          <w:highlight w:val="none"/>
          <w14:textFill>
            <w14:solidFill>
              <w14:schemeClr w14:val="tx1"/>
            </w14:solidFill>
          </w14:textFill>
        </w:rPr>
        <w:t>第一</w:t>
      </w:r>
      <w:r>
        <w:rPr>
          <w:rFonts w:hint="eastAsia"/>
          <w:color w:val="000000" w:themeColor="text1"/>
          <w:highlight w:val="none"/>
          <w14:textFill>
            <w14:solidFill>
              <w14:schemeClr w14:val="tx1"/>
            </w14:solidFill>
          </w14:textFill>
        </w:rPr>
        <w:t>章</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总则</w:t>
      </w:r>
      <w:bookmarkEnd w:id="4"/>
      <w:bookmarkEnd w:id="5"/>
      <w:bookmarkEnd w:id="6"/>
      <w:bookmarkEnd w:id="7"/>
      <w:bookmarkEnd w:id="8"/>
      <w:bookmarkEnd w:id="9"/>
      <w:bookmarkEnd w:id="10"/>
      <w:bookmarkEnd w:id="11"/>
    </w:p>
    <w:p>
      <w:pPr>
        <w:pStyle w:val="3"/>
        <w:rPr>
          <w:color w:val="000000" w:themeColor="text1"/>
          <w:highlight w:val="none"/>
          <w14:textFill>
            <w14:solidFill>
              <w14:schemeClr w14:val="tx1"/>
            </w14:solidFill>
          </w14:textFill>
        </w:rPr>
      </w:pPr>
      <w:bookmarkStart w:id="12" w:name="_Toc7393"/>
      <w:bookmarkStart w:id="13" w:name="_Toc1483_WPSOffice_Level2"/>
      <w:bookmarkStart w:id="14" w:name="_Toc43202913"/>
      <w:bookmarkStart w:id="15" w:name="_Toc46857501"/>
      <w:bookmarkStart w:id="16" w:name="_Toc12030_WPSOffice_Level2"/>
      <w:bookmarkStart w:id="17" w:name="_Toc408502997"/>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编制目的</w:t>
      </w:r>
      <w:bookmarkEnd w:id="12"/>
      <w:bookmarkEnd w:id="13"/>
      <w:bookmarkEnd w:id="14"/>
      <w:bookmarkEnd w:id="15"/>
      <w:bookmarkEnd w:id="16"/>
      <w:bookmarkEnd w:id="17"/>
    </w:p>
    <w:p>
      <w:pPr>
        <w:adjustRightInd w:val="0"/>
        <w:snapToGrid w:val="0"/>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本次突发环境事件应急预案编制主要目的如下：</w:t>
      </w:r>
    </w:p>
    <w:p>
      <w:pPr>
        <w:adjustRightInd w:val="0"/>
        <w:snapToGrid w:val="0"/>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1、通过调查了解企业突发环境事件类型、环境危险源的基本情况以及可能产生的环境危害后果及严重程度，全面分析企业环境风险情况；</w:t>
      </w:r>
    </w:p>
    <w:p>
      <w:pPr>
        <w:adjustRightInd w:val="0"/>
        <w:snapToGrid w:val="0"/>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2、全面评估企业突发环境事件的应急能力，加强企业对突发环境事件的管理能力，全面预防突发环境事件的发生；</w:t>
      </w:r>
    </w:p>
    <w:p>
      <w:pPr>
        <w:adjustRightInd w:val="0"/>
        <w:snapToGrid w:val="0"/>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3、建立健全环境污染事件应急机制，提高企业应对公共危机的突发环境事件的能力，确保事故发生时能够及时、有效处理事故源，控制事故扩大，减小事故造成的损失；</w:t>
      </w:r>
    </w:p>
    <w:p>
      <w:pPr>
        <w:adjustRightInd w:val="0"/>
        <w:snapToGrid w:val="0"/>
        <w:spacing w:line="360" w:lineRule="auto"/>
        <w:ind w:firstLine="482"/>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4、降低企业突发环境事件所造成的环境危害。通过突发环境事件的应急处理、环境应急监测、事故信息的及时发布、受影响人员迅速转移等措施，将事故所造成的危害降至最低。</w:t>
      </w:r>
    </w:p>
    <w:p>
      <w:pPr>
        <w:adjustRightInd w:val="0"/>
        <w:snapToGrid w:val="0"/>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5、通过应急预案的编制，促进企业提高环境风险意识，并通过应急物资、设备的落实和环境管理制度的完善，降低企业环境风险发生概率。</w:t>
      </w:r>
    </w:p>
    <w:p>
      <w:pPr>
        <w:pStyle w:val="3"/>
        <w:rPr>
          <w:color w:val="000000" w:themeColor="text1"/>
          <w:highlight w:val="none"/>
          <w14:textFill>
            <w14:solidFill>
              <w14:schemeClr w14:val="tx1"/>
            </w14:solidFill>
          </w14:textFill>
        </w:rPr>
      </w:pPr>
      <w:bookmarkStart w:id="18" w:name="_Toc3172_WPSOffice_Level2"/>
      <w:bookmarkStart w:id="19" w:name="_Toc32644"/>
      <w:bookmarkStart w:id="20" w:name="_Toc160532464"/>
      <w:bookmarkStart w:id="21" w:name="_Toc43202914"/>
      <w:bookmarkStart w:id="22" w:name="_Toc408502998"/>
      <w:bookmarkStart w:id="23" w:name="_Toc46857502"/>
      <w:bookmarkStart w:id="24" w:name="_Toc161808436"/>
      <w:bookmarkStart w:id="25" w:name="_Toc27055_WPSOffice_Level2"/>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编制依据</w:t>
      </w:r>
      <w:bookmarkEnd w:id="18"/>
      <w:bookmarkEnd w:id="19"/>
      <w:bookmarkEnd w:id="20"/>
      <w:bookmarkEnd w:id="21"/>
      <w:bookmarkEnd w:id="22"/>
      <w:bookmarkEnd w:id="23"/>
      <w:bookmarkEnd w:id="24"/>
      <w:bookmarkEnd w:id="25"/>
    </w:p>
    <w:p>
      <w:pPr>
        <w:pStyle w:val="4"/>
        <w:rPr>
          <w:color w:val="000000" w:themeColor="text1"/>
          <w:highlight w:val="none"/>
          <w14:textFill>
            <w14:solidFill>
              <w14:schemeClr w14:val="tx1"/>
            </w14:solidFill>
          </w14:textFill>
        </w:rPr>
      </w:pPr>
      <w:bookmarkStart w:id="26" w:name="_Toc345416677"/>
      <w:bookmarkStart w:id="27" w:name="_Toc43202915"/>
      <w:bookmarkStart w:id="28" w:name="_Toc408502999"/>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.1法律法规</w:t>
      </w:r>
      <w:bookmarkEnd w:id="26"/>
      <w:bookmarkEnd w:id="27"/>
      <w:bookmarkEnd w:id="28"/>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1、《中华人民共和国环境保护法》（2014年4月24日修订）；</w:t>
      </w:r>
    </w:p>
    <w:p>
      <w:pPr>
        <w:widowControl/>
        <w:spacing w:line="360" w:lineRule="auto"/>
        <w:ind w:firstLine="480" w:firstLineChars="20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2、《中华人民共和国大气污染防治法》（</w:t>
      </w:r>
      <w:r>
        <w:rPr>
          <w:color w:val="000000" w:themeColor="text1"/>
          <w:sz w:val="24"/>
          <w:highlight w:val="none"/>
          <w14:textFill>
            <w14:solidFill>
              <w14:schemeClr w14:val="tx1"/>
            </w14:solidFill>
          </w14:textFill>
        </w:rPr>
        <w:t>2015年8月29日修订</w:t>
      </w:r>
      <w:r>
        <w:rPr>
          <w:color w:val="000000" w:themeColor="text1"/>
          <w:kern w:val="0"/>
          <w:sz w:val="24"/>
          <w:highlight w:val="none"/>
          <w14:textFill>
            <w14:solidFill>
              <w14:schemeClr w14:val="tx1"/>
            </w14:solidFill>
          </w14:textFill>
        </w:rPr>
        <w:t>）；</w:t>
      </w:r>
    </w:p>
    <w:p>
      <w:pPr>
        <w:widowControl/>
        <w:spacing w:line="360" w:lineRule="auto"/>
        <w:ind w:firstLine="480" w:firstLineChars="20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3、《中华人民共和国水污染防治法》（</w:t>
      </w:r>
      <w:r>
        <w:rPr>
          <w:color w:val="000000" w:themeColor="text1"/>
          <w:sz w:val="24"/>
          <w:highlight w:val="none"/>
          <w14:textFill>
            <w14:solidFill>
              <w14:schemeClr w14:val="tx1"/>
            </w14:solidFill>
          </w14:textFill>
        </w:rPr>
        <w:t>2018年修订</w:t>
      </w:r>
      <w:r>
        <w:rPr>
          <w:color w:val="000000" w:themeColor="text1"/>
          <w:kern w:val="0"/>
          <w:sz w:val="24"/>
          <w:highlight w:val="none"/>
          <w14:textFill>
            <w14:solidFill>
              <w14:schemeClr w14:val="tx1"/>
            </w14:solidFill>
          </w14:textFill>
        </w:rPr>
        <w:t>）；</w:t>
      </w:r>
    </w:p>
    <w:p>
      <w:pPr>
        <w:widowControl/>
        <w:spacing w:line="360" w:lineRule="auto"/>
        <w:ind w:firstLine="480" w:firstLineChars="20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4、《中华人民共和国固体废物污染环境防治法》（</w:t>
      </w:r>
      <w:r>
        <w:rPr>
          <w:color w:val="000000" w:themeColor="text1"/>
          <w:sz w:val="24"/>
          <w:highlight w:val="none"/>
          <w14:textFill>
            <w14:solidFill>
              <w14:schemeClr w14:val="tx1"/>
            </w14:solidFill>
          </w14:textFill>
        </w:rPr>
        <w:t>20</w:t>
      </w:r>
      <w:r>
        <w:rPr>
          <w:rFonts w:hint="eastAsia"/>
          <w:color w:val="000000" w:themeColor="text1"/>
          <w:sz w:val="24"/>
          <w:highlight w:val="none"/>
          <w:lang w:val="en-US" w:eastAsia="zh-CN"/>
          <w14:textFill>
            <w14:solidFill>
              <w14:schemeClr w14:val="tx1"/>
            </w14:solidFill>
          </w14:textFill>
        </w:rPr>
        <w:t>20</w:t>
      </w:r>
      <w:r>
        <w:rPr>
          <w:color w:val="000000" w:themeColor="text1"/>
          <w:sz w:val="24"/>
          <w:highlight w:val="none"/>
          <w14:textFill>
            <w14:solidFill>
              <w14:schemeClr w14:val="tx1"/>
            </w14:solidFill>
          </w14:textFill>
        </w:rPr>
        <w:t>年</w:t>
      </w:r>
      <w:r>
        <w:rPr>
          <w:rFonts w:hint="eastAsia"/>
          <w:color w:val="000000" w:themeColor="text1"/>
          <w:sz w:val="24"/>
          <w:highlight w:val="none"/>
          <w:lang w:val="en-US" w:eastAsia="zh-CN"/>
          <w14:textFill>
            <w14:solidFill>
              <w14:schemeClr w14:val="tx1"/>
            </w14:solidFill>
          </w14:textFill>
        </w:rPr>
        <w:t>12</w:t>
      </w:r>
      <w:r>
        <w:rPr>
          <w:rFonts w:hint="eastAsia"/>
          <w:color w:val="000000" w:themeColor="text1"/>
          <w:sz w:val="24"/>
          <w:highlight w:val="none"/>
          <w14:textFill>
            <w14:solidFill>
              <w14:schemeClr w14:val="tx1"/>
            </w14:solidFill>
          </w14:textFill>
        </w:rPr>
        <w:t>月</w:t>
      </w:r>
      <w:r>
        <w:rPr>
          <w:rFonts w:hint="eastAsia"/>
          <w:color w:val="000000" w:themeColor="text1"/>
          <w:sz w:val="24"/>
          <w:highlight w:val="none"/>
          <w:lang w:val="en-US" w:eastAsia="zh-CN"/>
          <w14:textFill>
            <w14:solidFill>
              <w14:schemeClr w14:val="tx1"/>
            </w14:solidFill>
          </w14:textFill>
        </w:rPr>
        <w:t>8</w:t>
      </w:r>
      <w:r>
        <w:rPr>
          <w:rFonts w:hint="eastAsia"/>
          <w:color w:val="000000" w:themeColor="text1"/>
          <w:sz w:val="24"/>
          <w:highlight w:val="none"/>
          <w14:textFill>
            <w14:solidFill>
              <w14:schemeClr w14:val="tx1"/>
            </w14:solidFill>
          </w14:textFill>
        </w:rPr>
        <w:t>发布</w:t>
      </w:r>
      <w:r>
        <w:rPr>
          <w:color w:val="000000" w:themeColor="text1"/>
          <w:kern w:val="0"/>
          <w:sz w:val="24"/>
          <w:highlight w:val="none"/>
          <w14:textFill>
            <w14:solidFill>
              <w14:schemeClr w14:val="tx1"/>
            </w14:solidFill>
          </w14:textFill>
        </w:rPr>
        <w:t>）；</w:t>
      </w:r>
    </w:p>
    <w:p>
      <w:pPr>
        <w:widowControl/>
        <w:spacing w:line="360" w:lineRule="auto"/>
        <w:ind w:firstLine="480" w:firstLineChars="200"/>
        <w:rPr>
          <w:color w:val="000000" w:themeColor="text1"/>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5、《中华人民共和国安全生产法》（</w:t>
      </w:r>
      <w:r>
        <w:rPr>
          <w:rFonts w:hint="eastAsia"/>
          <w:color w:val="000000" w:themeColor="text1"/>
          <w:kern w:val="0"/>
          <w:sz w:val="24"/>
          <w:highlight w:val="none"/>
          <w:lang w:val="en-US" w:eastAsia="zh-CN"/>
          <w14:textFill>
            <w14:solidFill>
              <w14:schemeClr w14:val="tx1"/>
            </w14:solidFill>
          </w14:textFill>
        </w:rPr>
        <w:t>2021年修订，</w:t>
      </w:r>
      <w:r>
        <w:rPr>
          <w:color w:val="000000" w:themeColor="text1"/>
          <w:kern w:val="0"/>
          <w:sz w:val="24"/>
          <w:highlight w:val="none"/>
          <w14:textFill>
            <w14:solidFill>
              <w14:schemeClr w14:val="tx1"/>
            </w14:solidFill>
          </w14:textFill>
        </w:rPr>
        <w:t>20</w:t>
      </w:r>
      <w:r>
        <w:rPr>
          <w:rFonts w:hint="eastAsia"/>
          <w:color w:val="000000" w:themeColor="text1"/>
          <w:kern w:val="0"/>
          <w:sz w:val="24"/>
          <w:highlight w:val="none"/>
          <w:lang w:val="en-US" w:eastAsia="zh-CN"/>
          <w14:textFill>
            <w14:solidFill>
              <w14:schemeClr w14:val="tx1"/>
            </w14:solidFill>
          </w14:textFill>
        </w:rPr>
        <w:t>21</w:t>
      </w:r>
      <w:r>
        <w:rPr>
          <w:color w:val="000000" w:themeColor="text1"/>
          <w:kern w:val="0"/>
          <w:sz w:val="24"/>
          <w:highlight w:val="none"/>
          <w14:textFill>
            <w14:solidFill>
              <w14:schemeClr w14:val="tx1"/>
            </w14:solidFill>
          </w14:textFill>
        </w:rPr>
        <w:t>.</w:t>
      </w:r>
      <w:r>
        <w:rPr>
          <w:rFonts w:hint="eastAsia"/>
          <w:color w:val="000000" w:themeColor="text1"/>
          <w:kern w:val="0"/>
          <w:sz w:val="24"/>
          <w:highlight w:val="none"/>
          <w:lang w:val="en-US" w:eastAsia="zh-CN"/>
          <w14:textFill>
            <w14:solidFill>
              <w14:schemeClr w14:val="tx1"/>
            </w14:solidFill>
          </w14:textFill>
        </w:rPr>
        <w:t>6</w:t>
      </w:r>
      <w:r>
        <w:rPr>
          <w:color w:val="000000" w:themeColor="text1"/>
          <w:kern w:val="0"/>
          <w:sz w:val="24"/>
          <w:highlight w:val="none"/>
          <w14:textFill>
            <w14:solidFill>
              <w14:schemeClr w14:val="tx1"/>
            </w14:solidFill>
          </w14:textFill>
        </w:rPr>
        <w:t>.1</w:t>
      </w:r>
      <w:r>
        <w:rPr>
          <w:rFonts w:hint="eastAsia"/>
          <w:color w:val="000000" w:themeColor="text1"/>
          <w:kern w:val="0"/>
          <w:sz w:val="24"/>
          <w:highlight w:val="none"/>
          <w:lang w:val="en-US" w:eastAsia="zh-CN"/>
          <w14:textFill>
            <w14:solidFill>
              <w14:schemeClr w14:val="tx1"/>
            </w14:solidFill>
          </w14:textFill>
        </w:rPr>
        <w:t>0</w:t>
      </w:r>
      <w:r>
        <w:rPr>
          <w:color w:val="000000" w:themeColor="text1"/>
          <w:kern w:val="0"/>
          <w:sz w:val="24"/>
          <w:highlight w:val="none"/>
          <w14:textFill>
            <w14:solidFill>
              <w14:schemeClr w14:val="tx1"/>
            </w14:solidFill>
          </w14:textFill>
        </w:rPr>
        <w:t>施行）；</w:t>
      </w:r>
    </w:p>
    <w:p>
      <w:pPr>
        <w:widowControl/>
        <w:spacing w:line="360" w:lineRule="auto"/>
        <w:ind w:firstLine="480" w:firstLineChars="200"/>
        <w:rPr>
          <w:color w:val="000000" w:themeColor="text1"/>
          <w:sz w:val="24"/>
          <w:highlight w:val="none"/>
          <w14:textFill>
            <w14:solidFill>
              <w14:schemeClr w14:val="tx1"/>
            </w14:solidFill>
          </w14:textFill>
        </w:rPr>
      </w:pPr>
      <w:bookmarkStart w:id="29" w:name="_Toc403659284"/>
      <w:bookmarkStart w:id="30" w:name="_Toc396934276"/>
      <w:bookmarkStart w:id="31" w:name="_Toc402875617"/>
      <w:bookmarkStart w:id="32" w:name="_Toc395804883"/>
      <w:bookmarkStart w:id="33" w:name="_Toc383172912"/>
      <w:bookmarkStart w:id="34" w:name="_Toc399352106"/>
      <w:bookmarkStart w:id="35" w:name="_Toc408503002"/>
      <w:bookmarkStart w:id="36" w:name="_Toc396934052"/>
      <w:bookmarkStart w:id="37" w:name="_Toc383072705"/>
      <w:bookmarkStart w:id="38" w:name="_Toc405384450"/>
      <w:bookmarkStart w:id="39" w:name="_Toc378105578"/>
      <w:bookmarkStart w:id="40" w:name="_Toc405881460"/>
      <w:bookmarkStart w:id="41" w:name="_Toc396237142"/>
      <w:r>
        <w:rPr>
          <w:color w:val="000000" w:themeColor="text1"/>
          <w:sz w:val="24"/>
          <w:highlight w:val="none"/>
          <w14:textFill>
            <w14:solidFill>
              <w14:schemeClr w14:val="tx1"/>
            </w14:solidFill>
          </w14:textFill>
        </w:rPr>
        <w:t>6、</w:t>
      </w:r>
      <w:bookmarkEnd w:id="29"/>
      <w:bookmarkEnd w:id="30"/>
      <w:bookmarkEnd w:id="31"/>
      <w:bookmarkEnd w:id="32"/>
      <w:bookmarkEnd w:id="33"/>
      <w:bookmarkEnd w:id="34"/>
      <w:bookmarkEnd w:id="35"/>
      <w:bookmarkEnd w:id="36"/>
      <w:bookmarkEnd w:id="37"/>
      <w:bookmarkEnd w:id="38"/>
      <w:bookmarkEnd w:id="39"/>
      <w:bookmarkEnd w:id="40"/>
      <w:bookmarkEnd w:id="41"/>
      <w:r>
        <w:rPr>
          <w:color w:val="000000" w:themeColor="text1"/>
          <w:sz w:val="24"/>
          <w:highlight w:val="none"/>
          <w14:textFill>
            <w14:solidFill>
              <w14:schemeClr w14:val="tx1"/>
            </w14:solidFill>
          </w14:textFill>
        </w:rPr>
        <w:t>《中华人民共和国消防法》（中华人民共和国主席令第83号），20</w:t>
      </w:r>
      <w:r>
        <w:rPr>
          <w:rFonts w:hint="eastAsia"/>
          <w:color w:val="000000" w:themeColor="text1"/>
          <w:sz w:val="24"/>
          <w:highlight w:val="none"/>
          <w:lang w:val="en-US" w:eastAsia="zh-CN"/>
          <w14:textFill>
            <w14:solidFill>
              <w14:schemeClr w14:val="tx1"/>
            </w14:solidFill>
          </w14:textFill>
        </w:rPr>
        <w:t>21</w:t>
      </w:r>
      <w:r>
        <w:rPr>
          <w:color w:val="000000" w:themeColor="text1"/>
          <w:sz w:val="24"/>
          <w:highlight w:val="none"/>
          <w14:textFill>
            <w14:solidFill>
              <w14:schemeClr w14:val="tx1"/>
            </w14:solidFill>
          </w14:textFill>
        </w:rPr>
        <w:t>.</w:t>
      </w:r>
      <w:r>
        <w:rPr>
          <w:rFonts w:hint="eastAsia"/>
          <w:color w:val="000000" w:themeColor="text1"/>
          <w:sz w:val="24"/>
          <w:highlight w:val="none"/>
          <w:lang w:val="en-US" w:eastAsia="zh-CN"/>
          <w14:textFill>
            <w14:solidFill>
              <w14:schemeClr w14:val="tx1"/>
            </w14:solidFill>
          </w14:textFill>
        </w:rPr>
        <w:t>4</w:t>
      </w:r>
      <w:r>
        <w:rPr>
          <w:color w:val="000000" w:themeColor="text1"/>
          <w:sz w:val="24"/>
          <w:highlight w:val="none"/>
          <w14:textFill>
            <w14:solidFill>
              <w14:schemeClr w14:val="tx1"/>
            </w14:solidFill>
          </w14:textFill>
        </w:rPr>
        <w:t>.2</w:t>
      </w:r>
      <w:r>
        <w:rPr>
          <w:rFonts w:hint="eastAsia"/>
          <w:color w:val="000000" w:themeColor="text1"/>
          <w:sz w:val="24"/>
          <w:highlight w:val="none"/>
          <w:lang w:val="en-US" w:eastAsia="zh-CN"/>
          <w14:textFill>
            <w14:solidFill>
              <w14:schemeClr w14:val="tx1"/>
            </w14:solidFill>
          </w14:textFill>
        </w:rPr>
        <w:t>9</w:t>
      </w:r>
      <w:r>
        <w:rPr>
          <w:color w:val="000000" w:themeColor="text1"/>
          <w:sz w:val="24"/>
          <w:highlight w:val="none"/>
          <w14:textFill>
            <w14:solidFill>
              <w14:schemeClr w14:val="tx1"/>
            </w14:solidFill>
          </w14:textFill>
        </w:rPr>
        <w:t>；</w:t>
      </w:r>
    </w:p>
    <w:p>
      <w:pPr>
        <w:widowControl/>
        <w:spacing w:line="360" w:lineRule="auto"/>
        <w:ind w:firstLine="480" w:firstLineChars="200"/>
        <w:rPr>
          <w:color w:val="000000" w:themeColor="text1"/>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7、</w:t>
      </w:r>
      <w:r>
        <w:rPr>
          <w:color w:val="000000" w:themeColor="text1"/>
          <w:sz w:val="24"/>
          <w:highlight w:val="none"/>
          <w14:textFill>
            <w14:solidFill>
              <w14:schemeClr w14:val="tx1"/>
            </w14:solidFill>
          </w14:textFill>
        </w:rPr>
        <w:t>《</w:t>
      </w:r>
      <w:r>
        <w:rPr>
          <w:color w:val="000000" w:themeColor="text1"/>
          <w:kern w:val="0"/>
          <w:sz w:val="24"/>
          <w:highlight w:val="none"/>
          <w14:textFill>
            <w14:solidFill>
              <w14:schemeClr w14:val="tx1"/>
            </w14:solidFill>
          </w14:textFill>
        </w:rPr>
        <w:t>中华人民共和国突发事件应对法》（</w:t>
      </w:r>
      <w:r>
        <w:rPr>
          <w:color w:val="000000" w:themeColor="text1"/>
          <w:sz w:val="24"/>
          <w:highlight w:val="none"/>
          <w14:textFill>
            <w14:solidFill>
              <w14:schemeClr w14:val="tx1"/>
            </w14:solidFill>
          </w14:textFill>
        </w:rPr>
        <w:t>2007年）；</w:t>
      </w:r>
    </w:p>
    <w:p>
      <w:pPr>
        <w:widowControl/>
        <w:spacing w:line="360" w:lineRule="auto"/>
        <w:ind w:firstLine="480" w:firstLineChars="200"/>
        <w:rPr>
          <w:color w:val="000000" w:themeColor="text1"/>
          <w:kern w:val="0"/>
          <w:sz w:val="24"/>
          <w:highlight w:val="none"/>
          <w14:textFill>
            <w14:solidFill>
              <w14:schemeClr w14:val="tx1"/>
            </w14:solidFill>
          </w14:textFill>
        </w:rPr>
      </w:pPr>
      <w:r>
        <w:rPr>
          <w:color w:val="000000" w:themeColor="text1"/>
          <w:kern w:val="0"/>
          <w:sz w:val="24"/>
          <w:highlight w:val="none"/>
          <w14:textFill>
            <w14:solidFill>
              <w14:schemeClr w14:val="tx1"/>
            </w14:solidFill>
          </w14:textFill>
        </w:rPr>
        <w:t>8、《国家突发环境事件应急预案》（国办函〔2014〕119号）；</w:t>
      </w:r>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9、《国务院办公厅关于印发国家突发环境事件应急预案的通知》（国办函[2014]119号）；</w:t>
      </w:r>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11、《突发环境事件信息报告办法》（环保部17号令，</w:t>
      </w:r>
      <w:r>
        <w:rPr>
          <w:color w:val="000000" w:themeColor="text1"/>
          <w:kern w:val="0"/>
          <w:sz w:val="24"/>
          <w:highlight w:val="none"/>
          <w14:textFill>
            <w14:solidFill>
              <w14:schemeClr w14:val="tx1"/>
            </w14:solidFill>
          </w14:textFill>
        </w:rPr>
        <w:t>2011.04.18</w:t>
      </w:r>
      <w:r>
        <w:rPr>
          <w:color w:val="000000" w:themeColor="text1"/>
          <w:sz w:val="24"/>
          <w:highlight w:val="none"/>
          <w14:textFill>
            <w14:solidFill>
              <w14:schemeClr w14:val="tx1"/>
            </w14:solidFill>
          </w14:textFill>
        </w:rPr>
        <w:t>）；</w:t>
      </w:r>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12、《国务院关于加强环境保护重点工作的意见》（国发[2011]35号）；</w:t>
      </w:r>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13、《危险化学品建设项目安全监督管理办法》安监总局第45号令</w:t>
      </w:r>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14、《国务院安委会办公室关于进一步加强危险化学品安全生产工作的指导意见》（安委办〔2008〕26号），2008.11.3；</w:t>
      </w:r>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15、《国务院关于进一步加强企业安全生产工作的通知》（国发〔2010〕23号），2010.7.23；</w:t>
      </w:r>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17、《危险化学品安全管理条例》（国务院令第591号），2011.3.2；</w:t>
      </w:r>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18、《首批重点监管的危险化学品名录》（国家安全监管总局安监总管三〔2011〕95号），2011.6.22；</w:t>
      </w:r>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19、《危险化学品生产企业安全生产许可证实施办法》（国家安全监管总局令第41号），2011.7.22；</w:t>
      </w:r>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20、《危险化学品重大危险源监督管理暂行规定》（国家安全监管总局令第40号），2011.7.22；</w:t>
      </w:r>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21、《突发环境事件应急管理办法》（部令第34号2015.6.5施行）；</w:t>
      </w:r>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22、《突发环境事件调查处理办法》（2015.3.1施行）；</w:t>
      </w:r>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23、《关于进一步加强环境影响评价管理防范环境风险的通知》，环发〔2012〕77号，2012.7.3；</w:t>
      </w:r>
    </w:p>
    <w:p>
      <w:pPr>
        <w:spacing w:line="360" w:lineRule="auto"/>
        <w:ind w:firstLine="480" w:firstLineChars="200"/>
        <w:rPr>
          <w:color w:val="000000" w:themeColor="text1"/>
          <w:sz w:val="24"/>
          <w:highlight w:val="none"/>
          <w14:textFill>
            <w14:solidFill>
              <w14:schemeClr w14:val="tx1"/>
            </w14:solidFill>
          </w14:textFill>
        </w:rPr>
      </w:pPr>
      <w:bookmarkStart w:id="42" w:name="_Toc403659285"/>
      <w:bookmarkStart w:id="43" w:name="_Toc395804884"/>
      <w:bookmarkStart w:id="44" w:name="_Toc402875618"/>
      <w:bookmarkStart w:id="45" w:name="_Toc405384451"/>
      <w:bookmarkStart w:id="46" w:name="_Toc399352107"/>
      <w:bookmarkStart w:id="47" w:name="_Toc405881461"/>
      <w:bookmarkStart w:id="48" w:name="_Toc396934277"/>
      <w:bookmarkStart w:id="49" w:name="_Toc396237143"/>
      <w:bookmarkStart w:id="50" w:name="_Toc383172913"/>
      <w:bookmarkStart w:id="51" w:name="_Toc378105579"/>
      <w:bookmarkStart w:id="52" w:name="_Toc383072706"/>
      <w:bookmarkStart w:id="53" w:name="_Toc408503003"/>
      <w:bookmarkStart w:id="54" w:name="_Toc396934053"/>
      <w:r>
        <w:rPr>
          <w:color w:val="000000" w:themeColor="text1"/>
          <w:sz w:val="24"/>
          <w:highlight w:val="none"/>
          <w14:textFill>
            <w14:solidFill>
              <w14:schemeClr w14:val="tx1"/>
            </w14:solidFill>
          </w14:textFill>
        </w:rPr>
        <w:t>24、《关于切实加强风险防范严格环境影响评价管理的通知》（环发〔2012〕98号）；</w:t>
      </w:r>
      <w:bookmarkEnd w:id="42"/>
      <w:bookmarkEnd w:id="43"/>
      <w:bookmarkEnd w:id="44"/>
      <w:bookmarkEnd w:id="45"/>
      <w:bookmarkEnd w:id="46"/>
      <w:bookmarkEnd w:id="47"/>
      <w:bookmarkEnd w:id="48"/>
      <w:bookmarkEnd w:id="49"/>
      <w:bookmarkEnd w:id="50"/>
      <w:bookmarkEnd w:id="51"/>
      <w:bookmarkEnd w:id="52"/>
      <w:bookmarkEnd w:id="53"/>
      <w:bookmarkEnd w:id="54"/>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25、《安全生产事故应急预案管理办法》安监总局第88号令；</w:t>
      </w:r>
    </w:p>
    <w:p>
      <w:pPr>
        <w:spacing w:line="360" w:lineRule="auto"/>
        <w:ind w:firstLine="480" w:firstLineChars="200"/>
        <w:rPr>
          <w:color w:val="FF0000"/>
          <w:sz w:val="24"/>
          <w:highlight w:val="none"/>
        </w:rPr>
      </w:pPr>
      <w:r>
        <w:rPr>
          <w:color w:val="FF0000"/>
          <w:sz w:val="24"/>
          <w:highlight w:val="none"/>
        </w:rPr>
        <w:t>26、《国家危险废物名录》（</w:t>
      </w:r>
      <w:r>
        <w:rPr>
          <w:rFonts w:hint="eastAsia"/>
          <w:color w:val="FF0000"/>
          <w:sz w:val="24"/>
          <w:highlight w:val="none"/>
          <w:lang w:val="en-US" w:eastAsia="zh-CN"/>
        </w:rPr>
        <w:t>2021</w:t>
      </w:r>
      <w:r>
        <w:rPr>
          <w:color w:val="FF0000"/>
          <w:sz w:val="24"/>
          <w:highlight w:val="none"/>
        </w:rPr>
        <w:t>年</w:t>
      </w:r>
      <w:r>
        <w:rPr>
          <w:rFonts w:hint="eastAsia"/>
          <w:color w:val="FF0000"/>
          <w:sz w:val="24"/>
          <w:highlight w:val="none"/>
          <w:lang w:val="en-US" w:eastAsia="zh-CN"/>
        </w:rPr>
        <w:t>1</w:t>
      </w:r>
      <w:r>
        <w:rPr>
          <w:color w:val="FF0000"/>
          <w:sz w:val="24"/>
          <w:highlight w:val="none"/>
        </w:rPr>
        <w:t>月1日起施行）；</w:t>
      </w:r>
    </w:p>
    <w:p>
      <w:pPr>
        <w:spacing w:line="360" w:lineRule="auto"/>
        <w:ind w:firstLine="480" w:firstLineChars="200"/>
        <w:rPr>
          <w:color w:val="000000" w:themeColor="text1"/>
          <w:sz w:val="24"/>
          <w:highlight w:val="none"/>
          <w14:textFill>
            <w14:solidFill>
              <w14:schemeClr w14:val="tx1"/>
            </w14:solidFill>
          </w14:textFill>
        </w:rPr>
      </w:pPr>
      <w:bookmarkStart w:id="55" w:name="_Toc378105580"/>
      <w:bookmarkStart w:id="56" w:name="_Toc405881462"/>
      <w:bookmarkStart w:id="57" w:name="_Toc402875619"/>
      <w:bookmarkStart w:id="58" w:name="_Toc408503004"/>
      <w:bookmarkStart w:id="59" w:name="_Toc396934054"/>
      <w:bookmarkStart w:id="60" w:name="_Toc405384452"/>
      <w:bookmarkStart w:id="61" w:name="_Toc399352108"/>
      <w:bookmarkStart w:id="62" w:name="_Toc396934278"/>
      <w:bookmarkStart w:id="63" w:name="_Toc395804885"/>
      <w:bookmarkStart w:id="64" w:name="_Toc383072707"/>
      <w:bookmarkStart w:id="65" w:name="_Toc383172914"/>
      <w:bookmarkStart w:id="66" w:name="_Toc396237144"/>
      <w:bookmarkStart w:id="67" w:name="_Toc403659286"/>
      <w:r>
        <w:rPr>
          <w:color w:val="000000" w:themeColor="text1"/>
          <w:sz w:val="24"/>
          <w:highlight w:val="none"/>
          <w14:textFill>
            <w14:solidFill>
              <w14:schemeClr w14:val="tx1"/>
            </w14:solidFill>
          </w14:textFill>
        </w:rPr>
        <w:t>27、《危险化学品名录》（2015年5月1日起施行）；</w:t>
      </w:r>
      <w:bookmarkEnd w:id="55"/>
      <w:bookmarkEnd w:id="56"/>
      <w:bookmarkEnd w:id="57"/>
      <w:bookmarkEnd w:id="58"/>
      <w:bookmarkEnd w:id="59"/>
      <w:bookmarkEnd w:id="60"/>
      <w:bookmarkEnd w:id="61"/>
      <w:bookmarkEnd w:id="62"/>
      <w:bookmarkEnd w:id="63"/>
      <w:bookmarkEnd w:id="64"/>
      <w:bookmarkEnd w:id="65"/>
      <w:bookmarkEnd w:id="66"/>
      <w:bookmarkEnd w:id="67"/>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28、《突发事件应急预案管理办法》（国办函〔2013〕101号）；</w:t>
      </w:r>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29、《国家安全监管总局、工业和信息化部关于危险化学品企业贯彻落实&lt;国务院关于进一步加强企业安全生产工作的通知&gt;》（国家安全生产监督管理总局，安监总管三〔2010〕23号）；</w:t>
      </w:r>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30、《国家安全监管总局关于公布首批重点监管的危险化工工艺目录的通知》（国家安全生产监督管理总局，安监总管三〔2009〕116号）；</w:t>
      </w:r>
    </w:p>
    <w:p>
      <w:pPr>
        <w:spacing w:line="360" w:lineRule="auto"/>
        <w:ind w:firstLine="480" w:firstLineChars="200"/>
        <w:rPr>
          <w:color w:val="000000" w:themeColor="text1"/>
          <w:sz w:val="24"/>
          <w:highlight w:val="none"/>
          <w14:textFill>
            <w14:solidFill>
              <w14:schemeClr w14:val="tx1"/>
            </w14:solidFill>
          </w14:textFill>
        </w:rPr>
      </w:pPr>
      <w:bookmarkStart w:id="68" w:name="_Toc63091780"/>
      <w:bookmarkStart w:id="69" w:name="_Toc63142633"/>
      <w:bookmarkStart w:id="70" w:name="_Toc63142456"/>
      <w:bookmarkStart w:id="71" w:name="_Toc62302637"/>
      <w:bookmarkStart w:id="72" w:name="_Toc63671558"/>
      <w:bookmarkStart w:id="73" w:name="_Toc63217917"/>
      <w:bookmarkStart w:id="74" w:name="_Toc63671352"/>
      <w:bookmarkStart w:id="75" w:name="_Toc63671053"/>
      <w:bookmarkStart w:id="76" w:name="_Toc63668490"/>
      <w:bookmarkStart w:id="77" w:name="_Toc63087538"/>
      <w:bookmarkStart w:id="78" w:name="_Toc63667299"/>
      <w:r>
        <w:rPr>
          <w:color w:val="000000" w:themeColor="text1"/>
          <w:sz w:val="24"/>
          <w:highlight w:val="none"/>
          <w14:textFill>
            <w14:solidFill>
              <w14:schemeClr w14:val="tx1"/>
            </w14:solidFill>
          </w14:textFill>
        </w:rPr>
        <w:t>31、《关于公布第二批重点监管危险化工工艺目录和调整首批重点监管危险化工工艺中部分典型工艺的通知》（国家安全生产监督管理总局，安监总管三〔2013〕3号）；</w:t>
      </w:r>
    </w:p>
    <w:p>
      <w:pPr>
        <w:spacing w:line="360" w:lineRule="auto"/>
        <w:ind w:firstLine="480" w:firstLineChars="200"/>
        <w:rPr>
          <w:color w:val="000000" w:themeColor="text1"/>
          <w:sz w:val="24"/>
          <w:highlight w:val="none"/>
          <w14:textFill>
            <w14:solidFill>
              <w14:schemeClr w14:val="tx1"/>
            </w14:solidFill>
          </w14:textFill>
        </w:rPr>
      </w:pPr>
      <w:bookmarkStart w:id="79" w:name="_Toc396237145"/>
      <w:bookmarkStart w:id="80" w:name="_Toc378105581"/>
      <w:bookmarkStart w:id="81" w:name="_Toc402875620"/>
      <w:bookmarkStart w:id="82" w:name="_Toc383072708"/>
      <w:bookmarkStart w:id="83" w:name="_Toc405384453"/>
      <w:bookmarkStart w:id="84" w:name="_Toc383172915"/>
      <w:bookmarkStart w:id="85" w:name="_Toc399352109"/>
      <w:bookmarkStart w:id="86" w:name="_Toc405881463"/>
      <w:bookmarkStart w:id="87" w:name="_Toc403659287"/>
      <w:bookmarkStart w:id="88" w:name="_Toc396934279"/>
      <w:bookmarkStart w:id="89" w:name="_Toc396934055"/>
      <w:bookmarkStart w:id="90" w:name="_Toc395804886"/>
      <w:bookmarkStart w:id="91" w:name="_Toc408503005"/>
      <w:r>
        <w:rPr>
          <w:color w:val="000000" w:themeColor="text1"/>
          <w:sz w:val="24"/>
          <w:highlight w:val="none"/>
          <w14:textFill>
            <w14:solidFill>
              <w14:schemeClr w14:val="tx1"/>
            </w14:solidFill>
          </w14:textFill>
        </w:rPr>
        <w:t>32、《关于公布第二批重点监管危险化学品名录的通知》（国家安全生产监督管理总局，安监总管三〔2013〕12号）；</w:t>
      </w:r>
      <w:bookmarkEnd w:id="79"/>
      <w:bookmarkEnd w:id="80"/>
      <w:bookmarkEnd w:id="81"/>
      <w:bookmarkEnd w:id="82"/>
      <w:bookmarkEnd w:id="83"/>
      <w:bookmarkEnd w:id="84"/>
      <w:bookmarkEnd w:id="85"/>
      <w:bookmarkEnd w:id="86"/>
      <w:bookmarkEnd w:id="87"/>
      <w:bookmarkEnd w:id="88"/>
      <w:bookmarkEnd w:id="89"/>
      <w:bookmarkEnd w:id="90"/>
      <w:bookmarkEnd w:id="91"/>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、《江西省环境保护条例》（江西省人大，2008年修订）；</w:t>
      </w:r>
    </w:p>
    <w:p>
      <w:pPr>
        <w:spacing w:line="360" w:lineRule="auto"/>
        <w:ind w:firstLine="480" w:firstLineChars="200"/>
        <w:rPr>
          <w:rFonts w:hint="eastAsia"/>
          <w:color w:val="000000" w:themeColor="text1"/>
          <w:sz w:val="24"/>
          <w:highlight w:val="none"/>
          <w:lang w:val="en-US" w:eastAsia="zh-CN"/>
          <w14:textFill>
            <w14:solidFill>
              <w14:schemeClr w14:val="tx1"/>
            </w14:solidFill>
          </w14:textFill>
        </w:rPr>
      </w:pP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、《江西省突发环境事件应急预案》（赣府厅字[2016]14号）</w:t>
      </w:r>
      <w:r>
        <w:rPr>
          <w:rFonts w:hint="eastAsia"/>
          <w:color w:val="000000" w:themeColor="text1"/>
          <w:sz w:val="24"/>
          <w:highlight w:val="none"/>
          <w:lang w:val="en-US" w:eastAsia="zh-CN"/>
          <w14:textFill>
            <w14:solidFill>
              <w14:schemeClr w14:val="tx1"/>
            </w14:solidFill>
          </w14:textFill>
        </w:rPr>
        <w:t>;</w:t>
      </w:r>
    </w:p>
    <w:p>
      <w:pPr>
        <w:spacing w:line="360" w:lineRule="auto"/>
        <w:ind w:firstLine="480" w:firstLineChars="200"/>
        <w:rPr>
          <w:rFonts w:ascii="仿宋" w:hAnsi="仿宋" w:eastAsia="仿宋" w:cs="仿宋"/>
          <w:color w:val="FF0000"/>
          <w:sz w:val="24"/>
          <w:highlight w:val="none"/>
        </w:rPr>
      </w:pPr>
      <w:r>
        <w:rPr>
          <w:rFonts w:hint="eastAsia"/>
          <w:color w:val="FF0000"/>
          <w:sz w:val="24"/>
          <w:highlight w:val="none"/>
          <w:lang w:val="en-US" w:eastAsia="zh-CN"/>
        </w:rPr>
        <w:t>35、</w:t>
      </w:r>
      <w:r>
        <w:rPr>
          <w:color w:val="FF0000"/>
          <w:sz w:val="24"/>
          <w:highlight w:val="none"/>
        </w:rPr>
        <w:t>《突发环境</w:t>
      </w:r>
      <w:r>
        <w:rPr>
          <w:rFonts w:hint="eastAsia"/>
          <w:color w:val="FF0000"/>
          <w:sz w:val="24"/>
          <w:highlight w:val="none"/>
          <w:lang w:val="en-US" w:eastAsia="zh-CN"/>
        </w:rPr>
        <w:t>事件</w:t>
      </w:r>
      <w:r>
        <w:rPr>
          <w:color w:val="FF0000"/>
          <w:sz w:val="24"/>
          <w:highlight w:val="none"/>
        </w:rPr>
        <w:t>应急</w:t>
      </w:r>
      <w:r>
        <w:rPr>
          <w:rFonts w:hint="eastAsia"/>
          <w:color w:val="FF0000"/>
          <w:sz w:val="24"/>
          <w:highlight w:val="none"/>
          <w:lang w:val="en-US" w:eastAsia="zh-CN"/>
        </w:rPr>
        <w:t>监测技术规范</w:t>
      </w:r>
      <w:r>
        <w:rPr>
          <w:color w:val="FF0000"/>
          <w:sz w:val="24"/>
          <w:highlight w:val="none"/>
        </w:rPr>
        <w:t>》（</w:t>
      </w:r>
      <w:r>
        <w:rPr>
          <w:rFonts w:hint="eastAsia"/>
          <w:color w:val="FF0000"/>
          <w:sz w:val="24"/>
          <w:highlight w:val="none"/>
          <w:lang w:val="en-US" w:eastAsia="zh-CN"/>
        </w:rPr>
        <w:t>HJ589-2021</w:t>
      </w:r>
      <w:r>
        <w:rPr>
          <w:color w:val="FF0000"/>
          <w:sz w:val="24"/>
          <w:highlight w:val="none"/>
        </w:rPr>
        <w:t>）；</w:t>
      </w:r>
    </w:p>
    <w:bookmarkEnd w:id="68"/>
    <w:bookmarkEnd w:id="69"/>
    <w:bookmarkEnd w:id="70"/>
    <w:bookmarkEnd w:id="71"/>
    <w:bookmarkEnd w:id="72"/>
    <w:bookmarkEnd w:id="73"/>
    <w:bookmarkEnd w:id="74"/>
    <w:bookmarkEnd w:id="75"/>
    <w:bookmarkEnd w:id="76"/>
    <w:bookmarkEnd w:id="77"/>
    <w:bookmarkEnd w:id="78"/>
    <w:p>
      <w:pPr>
        <w:pStyle w:val="4"/>
        <w:rPr>
          <w:color w:val="000000" w:themeColor="text1"/>
          <w:highlight w:val="none"/>
          <w14:textFill>
            <w14:solidFill>
              <w14:schemeClr w14:val="tx1"/>
            </w14:solidFill>
          </w14:textFill>
        </w:rPr>
      </w:pPr>
      <w:bookmarkStart w:id="92" w:name="_Toc43202916"/>
      <w:bookmarkStart w:id="93" w:name="_Toc345416678"/>
      <w:bookmarkStart w:id="94" w:name="_Toc408503007"/>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.2技术规范与标准</w:t>
      </w:r>
      <w:bookmarkEnd w:id="92"/>
      <w:bookmarkEnd w:id="93"/>
      <w:bookmarkEnd w:id="94"/>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kern w:val="0"/>
          <w:sz w:val="24"/>
          <w:highlight w:val="none"/>
          <w14:textFill>
            <w14:solidFill>
              <w14:schemeClr w14:val="tx1"/>
            </w14:solidFill>
          </w14:textFill>
        </w:rPr>
        <w:t>《企业突发环境事件风险评估指南（试行）》（环办[2014]34号印发）；</w:t>
      </w:r>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kern w:val="0"/>
          <w:sz w:val="24"/>
          <w:highlight w:val="none"/>
          <w14:textFill>
            <w14:solidFill>
              <w14:schemeClr w14:val="tx1"/>
            </w14:solidFill>
          </w14:textFill>
        </w:rPr>
        <w:t>突发环境事件应急预案编制导则（企业版事业单位版）》；</w:t>
      </w:r>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3、《危险化学品重大危险源辨识》（GB18218-2018）；</w:t>
      </w:r>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4、《建设项目环境风险评价技术导则》（HJ/T169-20</w:t>
      </w:r>
      <w:r>
        <w:rPr>
          <w:rFonts w:hint="eastAsia" w:ascii="宋体" w:hAnsi="宋体" w:cs="宋体"/>
          <w:color w:val="000000" w:themeColor="text1"/>
          <w:sz w:val="24"/>
          <w:highlight w:val="none"/>
          <w:lang w:val="en-US" w:eastAsia="zh-CN"/>
          <w14:textFill>
            <w14:solidFill>
              <w14:schemeClr w14:val="tx1"/>
            </w14:solidFill>
          </w14:textFill>
        </w:rPr>
        <w:t>18</w:t>
      </w:r>
      <w:r>
        <w:rPr>
          <w:rFonts w:hint="eastAsia" w:ascii="宋体" w:hAnsi="宋体" w:cs="宋体"/>
          <w:color w:val="000000" w:themeColor="text1"/>
          <w:sz w:val="24"/>
          <w:highlight w:val="none"/>
          <w14:textFill>
            <w14:solidFill>
              <w14:schemeClr w14:val="tx1"/>
            </w14:solidFill>
          </w14:textFill>
        </w:rPr>
        <w:t>）；</w:t>
      </w:r>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5、《企业突发环境事件风险分级方法》（HJ941－2018）；</w:t>
      </w:r>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6、《企业突发环境事件隐患排查和治理工作指南（试行）》（环境保护部公告2016年第74号）；</w:t>
      </w:r>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7、《地表水环境质量标准》（GB3838-2002）；</w:t>
      </w:r>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8、《地下水质量标准》（GB-T14848-2017）；</w:t>
      </w:r>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9、《环境空气质量标准》（GB3095-201</w:t>
      </w:r>
      <w:r>
        <w:rPr>
          <w:rFonts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w:t>
      </w:r>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10、《农田灌溉水质标准》（GB5084-20</w:t>
      </w:r>
      <w:r>
        <w:rPr>
          <w:rFonts w:hint="eastAsia" w:ascii="宋体" w:hAnsi="宋体" w:cs="宋体"/>
          <w:color w:val="000000" w:themeColor="text1"/>
          <w:sz w:val="24"/>
          <w:highlight w:val="none"/>
          <w:lang w:val="en-US" w:eastAsia="zh-CN"/>
          <w14:textFill>
            <w14:solidFill>
              <w14:schemeClr w14:val="tx1"/>
            </w14:solidFill>
          </w14:textFill>
        </w:rPr>
        <w:t>17</w:t>
      </w:r>
      <w:r>
        <w:rPr>
          <w:rFonts w:hint="eastAsia" w:ascii="宋体" w:hAnsi="宋体" w:cs="宋体"/>
          <w:color w:val="000000" w:themeColor="text1"/>
          <w:sz w:val="24"/>
          <w:highlight w:val="none"/>
          <w14:textFill>
            <w14:solidFill>
              <w14:schemeClr w14:val="tx1"/>
            </w14:solidFill>
          </w14:textFill>
        </w:rPr>
        <w:t>）；</w:t>
      </w:r>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、《工作场所有害因素职业接触限值第一部分：有害化学因素》（GBZ2.1-20</w:t>
      </w:r>
      <w:r>
        <w:rPr>
          <w:rFonts w:hint="eastAsia" w:ascii="宋体" w:hAnsi="宋体" w:cs="宋体"/>
          <w:color w:val="000000" w:themeColor="text1"/>
          <w:sz w:val="24"/>
          <w:highlight w:val="none"/>
          <w:lang w:val="en-US" w:eastAsia="zh-CN"/>
          <w14:textFill>
            <w14:solidFill>
              <w14:schemeClr w14:val="tx1"/>
            </w14:solidFill>
          </w14:textFill>
        </w:rPr>
        <w:t>19</w:t>
      </w:r>
      <w:r>
        <w:rPr>
          <w:rFonts w:hint="eastAsia" w:ascii="宋体" w:hAnsi="宋体" w:cs="宋体"/>
          <w:color w:val="000000" w:themeColor="text1"/>
          <w:sz w:val="24"/>
          <w:highlight w:val="none"/>
          <w14:textFill>
            <w14:solidFill>
              <w14:schemeClr w14:val="tx1"/>
            </w14:solidFill>
          </w14:textFill>
        </w:rPr>
        <w:t>）；</w:t>
      </w:r>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12、《工业企业设计卫生标准》（GBZ-2010）；</w:t>
      </w:r>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13、《危险货物品名表》（GB12268-2012）；</w:t>
      </w:r>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14、《用电安全导则》GB/T13869-2008；</w:t>
      </w:r>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15、《常用化学危险品储存通则》GB15603-1995；</w:t>
      </w:r>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16、《危险场所电气防爆安全规范》AQ3009-2007。</w:t>
      </w:r>
    </w:p>
    <w:p>
      <w:pPr>
        <w:pStyle w:val="3"/>
        <w:rPr>
          <w:color w:val="000000" w:themeColor="text1"/>
          <w:highlight w:val="none"/>
          <w14:textFill>
            <w14:solidFill>
              <w14:schemeClr w14:val="tx1"/>
            </w14:solidFill>
          </w14:textFill>
        </w:rPr>
      </w:pPr>
      <w:bookmarkStart w:id="95" w:name="_Toc43202917"/>
      <w:bookmarkStart w:id="96" w:name="_Toc161808437"/>
      <w:bookmarkStart w:id="97" w:name="_Toc46857503"/>
      <w:bookmarkStart w:id="98" w:name="_Toc408503009"/>
      <w:bookmarkStart w:id="99" w:name="_Toc27785"/>
      <w:bookmarkStart w:id="100" w:name="_Toc23663_WPSOffice_Level2"/>
      <w:bookmarkStart w:id="101" w:name="_Toc18351_WPSOffice_Level2"/>
      <w:bookmarkStart w:id="102" w:name="_Toc160532465"/>
      <w:r>
        <w:rPr>
          <w:rFonts w:hint="eastAsia"/>
          <w:color w:val="000000" w:themeColor="text1"/>
          <w:highlight w:val="none"/>
          <w14:textFill>
            <w14:solidFill>
              <w14:schemeClr w14:val="tx1"/>
            </w14:solidFill>
          </w14:textFill>
        </w:rPr>
        <w:t>1.3适用范围</w:t>
      </w:r>
      <w:bookmarkEnd w:id="95"/>
      <w:bookmarkEnd w:id="96"/>
      <w:bookmarkEnd w:id="97"/>
      <w:bookmarkEnd w:id="98"/>
      <w:bookmarkEnd w:id="99"/>
      <w:bookmarkEnd w:id="100"/>
      <w:bookmarkEnd w:id="101"/>
      <w:bookmarkEnd w:id="102"/>
    </w:p>
    <w:p>
      <w:pPr>
        <w:adjustRightInd w:val="0"/>
        <w:snapToGrid w:val="0"/>
        <w:spacing w:line="360" w:lineRule="auto"/>
        <w:ind w:firstLine="570"/>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本预案适用于</w:t>
      </w:r>
      <w:r>
        <w:rPr>
          <w:rFonts w:hint="eastAsia" w:ascii="宋体" w:hAnsi="宋体" w:cs="宋体"/>
          <w:color w:val="000000" w:themeColor="text1"/>
          <w:sz w:val="24"/>
          <w:highlight w:val="none"/>
          <w:lang w:eastAsia="zh-CN"/>
          <w14:textFill>
            <w14:solidFill>
              <w14:schemeClr w14:val="tx1"/>
            </w14:solidFill>
          </w14:textFill>
        </w:rPr>
        <w:t>创维视芯电子（宜春)有限公司年产650万台机芯板项目相关活动发生的以下各类突发环境事件的应急响应：</w:t>
      </w:r>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highlight w:val="none"/>
          <w:lang w:eastAsia="zh-CN"/>
          <w14:textFill>
            <w14:solidFill>
              <w14:schemeClr w14:val="tx1"/>
            </w14:solidFill>
          </w14:textFill>
        </w:rPr>
        <w:t>创维视芯电子（宜春)有限公司</w:t>
      </w:r>
      <w:r>
        <w:rPr>
          <w:rFonts w:hint="eastAsia" w:ascii="宋体" w:hAnsi="宋体" w:cs="宋体"/>
          <w:color w:val="000000" w:themeColor="text1"/>
          <w:sz w:val="24"/>
          <w:highlight w:val="none"/>
          <w14:textFill>
            <w14:solidFill>
              <w14:schemeClr w14:val="tx1"/>
            </w14:solidFill>
          </w14:textFill>
        </w:rPr>
        <w:t>涉及的危险化学品及其它有毒有害物品在生产、使用、储存过程中发生的火灾爆炸、中毒、泄漏等事故，由于这些事故等而引起的工作人员及周围人员的身体伤害及因此可能造成的人身伤亡事故；</w:t>
      </w:r>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lang w:eastAsia="zh-CN"/>
          <w14:textFill>
            <w14:solidFill>
              <w14:schemeClr w14:val="tx1"/>
            </w14:solidFill>
          </w14:textFill>
        </w:rPr>
        <w:t>创维视芯电子（宜春)有限公司</w:t>
      </w:r>
      <w:r>
        <w:rPr>
          <w:rFonts w:hint="eastAsia" w:ascii="宋体" w:hAnsi="宋体" w:cs="宋体"/>
          <w:color w:val="000000" w:themeColor="text1"/>
          <w:sz w:val="24"/>
          <w:highlight w:val="none"/>
          <w14:textFill>
            <w14:solidFill>
              <w14:schemeClr w14:val="tx1"/>
            </w14:solidFill>
          </w14:textFill>
        </w:rPr>
        <w:t>在非正常工况或污染物处理装置非正常运转条件下向外环境排放污染物造成突发性环境污染事故；</w:t>
      </w:r>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r>
        <w:rPr>
          <w:rFonts w:hint="eastAsia" w:ascii="宋体" w:hAnsi="宋体" w:cs="宋体"/>
          <w:color w:val="000000" w:themeColor="text1"/>
          <w:sz w:val="24"/>
          <w:highlight w:val="none"/>
          <w:lang w:eastAsia="zh-CN"/>
          <w14:textFill>
            <w14:solidFill>
              <w14:schemeClr w14:val="tx1"/>
            </w14:solidFill>
          </w14:textFill>
        </w:rPr>
        <w:t>创维视芯电子（宜春)有限公司</w:t>
      </w:r>
      <w:r>
        <w:rPr>
          <w:rFonts w:hint="eastAsia" w:ascii="宋体" w:hAnsi="宋体" w:cs="宋体"/>
          <w:color w:val="000000" w:themeColor="text1"/>
          <w:sz w:val="24"/>
          <w:highlight w:val="none"/>
          <w14:textFill>
            <w14:solidFill>
              <w14:schemeClr w14:val="tx1"/>
            </w14:solidFill>
          </w14:textFill>
        </w:rPr>
        <w:t>发生泄漏等事故向外界排放污染物造成突发性环境污染事故；</w:t>
      </w:r>
    </w:p>
    <w:p>
      <w:pPr>
        <w:adjustRightInd w:val="0"/>
        <w:snapToGrid w:val="0"/>
        <w:spacing w:line="360" w:lineRule="auto"/>
        <w:ind w:firstLine="57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w:t>
      </w:r>
      <w:r>
        <w:rPr>
          <w:rFonts w:hint="eastAsia" w:ascii="宋体" w:hAnsi="宋体" w:cs="宋体"/>
          <w:color w:val="000000" w:themeColor="text1"/>
          <w:sz w:val="24"/>
          <w:highlight w:val="none"/>
          <w:lang w:eastAsia="zh-CN"/>
          <w14:textFill>
            <w14:solidFill>
              <w14:schemeClr w14:val="tx1"/>
            </w14:solidFill>
          </w14:textFill>
        </w:rPr>
        <w:t>创维视芯电子（宜春)有限公司</w:t>
      </w:r>
      <w:r>
        <w:rPr>
          <w:rFonts w:hint="eastAsia" w:ascii="宋体" w:hAnsi="宋体" w:cs="宋体"/>
          <w:color w:val="000000" w:themeColor="text1"/>
          <w:sz w:val="24"/>
          <w:highlight w:val="none"/>
          <w14:textFill>
            <w14:solidFill>
              <w14:schemeClr w14:val="tx1"/>
            </w14:solidFill>
          </w14:textFill>
        </w:rPr>
        <w:t>由于自然条件（地震、暴雨等自然灾害等）造成的突发性环境污染事故。</w:t>
      </w:r>
    </w:p>
    <w:p>
      <w:pPr>
        <w:pStyle w:val="3"/>
        <w:bidi w:val="0"/>
        <w:rPr>
          <w:color w:val="000000" w:themeColor="text1"/>
          <w:highlight w:val="none"/>
          <w14:textFill>
            <w14:solidFill>
              <w14:schemeClr w14:val="tx1"/>
            </w14:solidFill>
          </w14:textFill>
        </w:rPr>
      </w:pPr>
      <w:bookmarkStart w:id="103" w:name="_Toc46857504"/>
      <w:bookmarkStart w:id="104" w:name="_Toc5854"/>
      <w:bookmarkStart w:id="105" w:name="_Toc43202918"/>
      <w:r>
        <w:rPr>
          <w:rFonts w:hint="eastAsia"/>
          <w:color w:val="000000" w:themeColor="text1"/>
          <w:highlight w:val="none"/>
          <w14:textFill>
            <w14:solidFill>
              <w14:schemeClr w14:val="tx1"/>
            </w14:solidFill>
          </w14:textFill>
        </w:rPr>
        <w:t>1.4 应急预案编制程序和内容</w:t>
      </w:r>
      <w:bookmarkEnd w:id="103"/>
      <w:bookmarkEnd w:id="104"/>
      <w:bookmarkEnd w:id="105"/>
    </w:p>
    <w:p>
      <w:pPr>
        <w:pStyle w:val="4"/>
        <w:rPr>
          <w:color w:val="000000" w:themeColor="text1"/>
          <w:highlight w:val="none"/>
          <w14:textFill>
            <w14:solidFill>
              <w14:schemeClr w14:val="tx1"/>
            </w14:solidFill>
          </w14:textFill>
        </w:rPr>
      </w:pPr>
      <w:bookmarkStart w:id="106" w:name="_Toc43202919"/>
      <w:bookmarkStart w:id="107" w:name="_Toc335058695"/>
      <w:bookmarkStart w:id="108" w:name="_Toc19498_WPSOffice_Level2"/>
      <w:bookmarkStart w:id="109" w:name="_Toc334558297"/>
      <w:bookmarkStart w:id="110" w:name="_Toc408503010"/>
      <w:bookmarkStart w:id="111" w:name="_Toc30264_WPSOffice_Level2"/>
      <w:bookmarkStart w:id="112" w:name="_Toc339202949"/>
      <w:bookmarkStart w:id="113" w:name="_Toc336166260"/>
      <w:bookmarkStart w:id="114" w:name="_Toc345416681"/>
      <w:r>
        <w:rPr>
          <w:rFonts w:hint="eastAsia"/>
          <w:color w:val="000000" w:themeColor="text1"/>
          <w:highlight w:val="none"/>
          <w14:textFill>
            <w14:solidFill>
              <w14:schemeClr w14:val="tx1"/>
            </w14:solidFill>
          </w14:textFill>
        </w:rPr>
        <w:t>1.4.1  编制程序</w:t>
      </w:r>
      <w:bookmarkEnd w:id="106"/>
    </w:p>
    <w:p>
      <w:pPr>
        <w:adjustRightInd w:val="0"/>
        <w:snapToGrid w:val="0"/>
        <w:spacing w:line="360" w:lineRule="auto"/>
        <w:ind w:firstLine="570"/>
        <w:jc w:val="both"/>
        <w:rPr>
          <w:rFonts w:hint="eastAsia" w:ascii="宋体" w:hAnsi="宋体" w:eastAsia="宋体" w:cs="宋体"/>
          <w:color w:val="000000" w:themeColor="text1"/>
          <w:sz w:val="24"/>
          <w:highlight w:val="none"/>
          <w:lang w:eastAsia="zh-CN"/>
          <w14:textFill>
            <w14:solidFill>
              <w14:schemeClr w14:val="tx1"/>
            </w14:solidFill>
          </w14:textFill>
        </w:rPr>
      </w:pPr>
      <w:bookmarkStart w:id="115" w:name="_Toc20128"/>
      <w:bookmarkStart w:id="116" w:name="_Toc6822"/>
      <w:bookmarkStart w:id="117" w:name="_Toc45464725"/>
      <w:bookmarkStart w:id="118" w:name="_Toc46857505"/>
      <w:bookmarkStart w:id="119" w:name="_Toc45742161"/>
      <w:bookmarkStart w:id="120" w:name="_Toc43477541"/>
      <w:bookmarkStart w:id="121" w:name="_Toc5394"/>
      <w:bookmarkStart w:id="122" w:name="_Toc43202920"/>
      <w:bookmarkStart w:id="123" w:name="_Toc273"/>
      <w:bookmarkStart w:id="124" w:name="_Toc13302"/>
      <w:bookmarkStart w:id="125" w:name="_Toc13322"/>
      <w:bookmarkStart w:id="126" w:name="_Toc46857349"/>
      <w:r>
        <w:rPr>
          <w:rFonts w:hint="eastAsia" w:ascii="宋体" w:hAnsi="宋体" w:eastAsia="宋体" w:cs="宋体"/>
          <w:color w:val="000000" w:themeColor="text1"/>
          <w:sz w:val="24"/>
          <w:highlight w:val="none"/>
          <w:lang w:eastAsia="zh-CN"/>
          <w14:textFill>
            <w14:solidFill>
              <w14:schemeClr w14:val="tx1"/>
            </w14:solidFill>
          </w14:textFill>
        </w:rPr>
        <w:t>本预案编制严格参照《突发环境事件应急预案管理暂行办法》（环发[2010]113 号）的规定进行，编制程序见图 1.4-1。</w:t>
      </w:r>
      <w:bookmarkEnd w:id="115"/>
      <w:bookmarkEnd w:id="116"/>
      <w:bookmarkEnd w:id="117"/>
      <w:bookmarkEnd w:id="118"/>
      <w:bookmarkEnd w:id="119"/>
      <w:bookmarkEnd w:id="120"/>
      <w:bookmarkEnd w:id="121"/>
      <w:bookmarkEnd w:id="122"/>
      <w:bookmarkEnd w:id="123"/>
      <w:bookmarkEnd w:id="124"/>
      <w:bookmarkEnd w:id="125"/>
      <w:bookmarkEnd w:id="126"/>
    </w:p>
    <w:p>
      <w:pPr>
        <w:bidi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drawing>
          <wp:inline distT="0" distB="0" distL="114300" distR="114300">
            <wp:extent cx="5754370" cy="4414520"/>
            <wp:effectExtent l="0" t="0" r="17780" b="5080"/>
            <wp:docPr id="7" name="图片 7" descr="4c5554576b7504a026e852be8c970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4c5554576b7504a026e852be8c970c5"/>
                    <pic:cNvPicPr>
                      <a:picLocks noChangeAspect="1"/>
                    </pic:cNvPicPr>
                  </pic:nvPicPr>
                  <pic:blipFill>
                    <a:blip r:embed="rId17" cstate="print"/>
                    <a:stretch>
                      <a:fillRect/>
                    </a:stretch>
                  </pic:blipFill>
                  <pic:spPr>
                    <a:xfrm>
                      <a:off x="0" y="0"/>
                      <a:ext cx="5754370" cy="4414520"/>
                    </a:xfrm>
                    <a:prstGeom prst="rect">
                      <a:avLst/>
                    </a:prstGeom>
                  </pic:spPr>
                </pic:pic>
              </a:graphicData>
            </a:graphic>
          </wp:inline>
        </w:drawing>
      </w:r>
    </w:p>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图 1.4-1  突发环境事件应急预案编制程序</w:t>
      </w:r>
    </w:p>
    <w:p>
      <w:pPr>
        <w:pStyle w:val="4"/>
        <w:rPr>
          <w:color w:val="000000" w:themeColor="text1"/>
          <w:highlight w:val="none"/>
          <w14:textFill>
            <w14:solidFill>
              <w14:schemeClr w14:val="tx1"/>
            </w14:solidFill>
          </w14:textFill>
        </w:rPr>
      </w:pPr>
      <w:bookmarkStart w:id="127" w:name="_Toc43202921"/>
      <w:r>
        <w:rPr>
          <w:rFonts w:hint="eastAsia"/>
          <w:color w:val="000000" w:themeColor="text1"/>
          <w:highlight w:val="none"/>
          <w14:textFill>
            <w14:solidFill>
              <w14:schemeClr w14:val="tx1"/>
            </w14:solidFill>
          </w14:textFill>
        </w:rPr>
        <w:t>1.4.2  编制内容</w:t>
      </w:r>
      <w:bookmarkEnd w:id="127"/>
    </w:p>
    <w:p>
      <w:pPr>
        <w:adjustRightInd w:val="0"/>
        <w:snapToGrid w:val="0"/>
        <w:spacing w:line="360" w:lineRule="auto"/>
        <w:ind w:firstLine="570"/>
        <w:rPr>
          <w:rFonts w:hint="eastAsia" w:ascii="宋体" w:hAnsi="宋体" w:eastAsia="宋体" w:cs="宋体"/>
          <w:color w:val="000000" w:themeColor="text1"/>
          <w:sz w:val="24"/>
          <w:highlight w:val="none"/>
          <w14:textFill>
            <w14:solidFill>
              <w14:schemeClr w14:val="tx1"/>
            </w14:solidFill>
          </w14:textFill>
        </w:rPr>
      </w:pPr>
      <w:bookmarkStart w:id="128" w:name="_Toc45464726"/>
      <w:bookmarkStart w:id="129" w:name="_Toc28118"/>
      <w:bookmarkStart w:id="130" w:name="_Toc28589"/>
      <w:bookmarkStart w:id="131" w:name="_Toc46857506"/>
      <w:bookmarkStart w:id="132" w:name="_Toc45742162"/>
      <w:bookmarkStart w:id="133" w:name="_Toc46857350"/>
      <w:bookmarkStart w:id="134" w:name="_Toc13003"/>
      <w:bookmarkStart w:id="135" w:name="_Toc43477542"/>
      <w:bookmarkStart w:id="136" w:name="_Toc25616"/>
      <w:bookmarkStart w:id="137" w:name="_Toc43202922"/>
      <w:bookmarkStart w:id="138" w:name="_Toc21481"/>
      <w:bookmarkStart w:id="139" w:name="_Toc20798"/>
      <w:r>
        <w:rPr>
          <w:rFonts w:hint="eastAsia" w:ascii="宋体" w:hAnsi="宋体" w:eastAsia="宋体" w:cs="宋体"/>
          <w:color w:val="000000" w:themeColor="text1"/>
          <w:sz w:val="24"/>
          <w:highlight w:val="none"/>
          <w14:textFill>
            <w14:solidFill>
              <w14:schemeClr w14:val="tx1"/>
            </w14:solidFill>
          </w14:textFill>
        </w:rPr>
        <w:t>本预案的编制内容包括企业概况、企业环境风险辨识、风险防控和应急差距、应急</w:t>
      </w:r>
      <w:bookmarkEnd w:id="128"/>
      <w:bookmarkEnd w:id="129"/>
      <w:bookmarkEnd w:id="130"/>
      <w:bookmarkEnd w:id="131"/>
      <w:bookmarkEnd w:id="132"/>
      <w:bookmarkEnd w:id="133"/>
      <w:bookmarkEnd w:id="134"/>
      <w:bookmarkEnd w:id="135"/>
      <w:bookmarkEnd w:id="136"/>
      <w:bookmarkEnd w:id="137"/>
      <w:bookmarkEnd w:id="138"/>
      <w:bookmarkEnd w:id="139"/>
      <w:bookmarkStart w:id="140" w:name="_Toc43202923"/>
      <w:bookmarkStart w:id="141" w:name="_Toc17638"/>
      <w:bookmarkStart w:id="142" w:name="_Toc45742163"/>
      <w:bookmarkStart w:id="143" w:name="_Toc43477543"/>
      <w:bookmarkStart w:id="144" w:name="_Toc17289"/>
      <w:bookmarkStart w:id="145" w:name="_Toc2824"/>
      <w:bookmarkStart w:id="146" w:name="_Toc12148"/>
      <w:bookmarkStart w:id="147" w:name="_Toc45464727"/>
      <w:bookmarkStart w:id="148" w:name="_Toc27266"/>
      <w:bookmarkStart w:id="149" w:name="_Toc24324"/>
      <w:bookmarkStart w:id="150" w:name="_Toc46857507"/>
      <w:bookmarkStart w:id="151" w:name="_Toc46857351"/>
      <w:r>
        <w:rPr>
          <w:rFonts w:hint="eastAsia" w:ascii="宋体" w:hAnsi="宋体" w:eastAsia="宋体" w:cs="宋体"/>
          <w:color w:val="000000" w:themeColor="text1"/>
          <w:sz w:val="24"/>
          <w:highlight w:val="none"/>
          <w14:textFill>
            <w14:solidFill>
              <w14:schemeClr w14:val="tx1"/>
            </w14:solidFill>
          </w14:textFill>
        </w:rPr>
        <w:t>组织机构与职责、预防和预警机制、应急响应和措施、后期处置、保障措施、监督管理</w:t>
      </w:r>
      <w:bookmarkEnd w:id="140"/>
      <w:bookmarkEnd w:id="141"/>
      <w:bookmarkEnd w:id="142"/>
      <w:bookmarkEnd w:id="143"/>
      <w:bookmarkEnd w:id="144"/>
      <w:bookmarkEnd w:id="145"/>
      <w:bookmarkEnd w:id="146"/>
      <w:bookmarkEnd w:id="147"/>
      <w:bookmarkEnd w:id="148"/>
      <w:bookmarkEnd w:id="149"/>
      <w:bookmarkEnd w:id="150"/>
      <w:bookmarkEnd w:id="151"/>
      <w:bookmarkStart w:id="152" w:name="_Toc45742164"/>
      <w:bookmarkStart w:id="153" w:name="_Toc15992"/>
      <w:bookmarkStart w:id="154" w:name="_Toc46857352"/>
      <w:bookmarkStart w:id="155" w:name="_Toc29232"/>
      <w:bookmarkStart w:id="156" w:name="_Toc26794"/>
      <w:bookmarkStart w:id="157" w:name="_Toc45464728"/>
      <w:bookmarkStart w:id="158" w:name="_Toc43202924"/>
      <w:bookmarkStart w:id="159" w:name="_Toc13724"/>
      <w:bookmarkStart w:id="160" w:name="_Toc2751"/>
      <w:bookmarkStart w:id="161" w:name="_Toc46857508"/>
      <w:bookmarkStart w:id="162" w:name="_Toc43477544"/>
      <w:bookmarkStart w:id="163" w:name="_Toc24453"/>
      <w:r>
        <w:rPr>
          <w:rFonts w:hint="eastAsia" w:ascii="宋体" w:hAnsi="宋体" w:eastAsia="宋体" w:cs="宋体"/>
          <w:color w:val="000000" w:themeColor="text1"/>
          <w:sz w:val="24"/>
          <w:highlight w:val="none"/>
          <w14:textFill>
            <w14:solidFill>
              <w14:schemeClr w14:val="tx1"/>
            </w14:solidFill>
          </w14:textFill>
        </w:rPr>
        <w:t>及附则、附表、附图和附件。</w:t>
      </w:r>
      <w:bookmarkEnd w:id="152"/>
      <w:bookmarkEnd w:id="153"/>
      <w:bookmarkEnd w:id="154"/>
      <w:bookmarkEnd w:id="155"/>
      <w:bookmarkEnd w:id="156"/>
      <w:bookmarkEnd w:id="157"/>
      <w:bookmarkEnd w:id="158"/>
      <w:bookmarkEnd w:id="159"/>
      <w:bookmarkEnd w:id="160"/>
      <w:bookmarkEnd w:id="161"/>
      <w:bookmarkEnd w:id="162"/>
      <w:bookmarkEnd w:id="163"/>
    </w:p>
    <w:p>
      <w:pPr>
        <w:pStyle w:val="3"/>
        <w:rPr>
          <w:color w:val="FF0000"/>
          <w:highlight w:val="none"/>
        </w:rPr>
      </w:pPr>
      <w:bookmarkStart w:id="164" w:name="_Toc29473"/>
      <w:bookmarkStart w:id="165" w:name="_Toc46857509"/>
      <w:bookmarkStart w:id="166" w:name="_Toc43202925"/>
      <w:r>
        <w:rPr>
          <w:color w:val="FF0000"/>
          <w:highlight w:val="none"/>
        </w:rPr>
        <w:t>1.</w:t>
      </w:r>
      <w:bookmarkEnd w:id="107"/>
      <w:bookmarkEnd w:id="108"/>
      <w:bookmarkEnd w:id="109"/>
      <w:bookmarkEnd w:id="110"/>
      <w:bookmarkEnd w:id="111"/>
      <w:bookmarkEnd w:id="112"/>
      <w:bookmarkEnd w:id="113"/>
      <w:bookmarkEnd w:id="114"/>
      <w:r>
        <w:rPr>
          <w:rFonts w:hint="eastAsia"/>
          <w:color w:val="FF0000"/>
          <w:highlight w:val="none"/>
        </w:rPr>
        <w:t>5突发环境事件分级</w:t>
      </w:r>
      <w:bookmarkEnd w:id="164"/>
      <w:bookmarkEnd w:id="165"/>
      <w:bookmarkEnd w:id="166"/>
    </w:p>
    <w:p>
      <w:pPr>
        <w:spacing w:line="360" w:lineRule="auto"/>
        <w:ind w:firstLine="480" w:firstLineChars="200"/>
        <w:rPr>
          <w:rFonts w:eastAsiaTheme="minorEastAsia"/>
          <w:color w:val="FF0000"/>
          <w:sz w:val="24"/>
          <w:szCs w:val="24"/>
        </w:rPr>
      </w:pPr>
      <w:r>
        <w:rPr>
          <w:rFonts w:eastAsiaTheme="minorEastAsia"/>
          <w:color w:val="FF0000"/>
          <w:sz w:val="24"/>
          <w:szCs w:val="24"/>
        </w:rPr>
        <w:t>根据《突发环境事件信息报告办法》（环境保护部令第17号令），按照突发事件严重性和紧急程度，将突发性环境污染事件划分为特别重大突发性环境事件(Ⅰ级)、重大突发性环境事件(Ⅱ级)、较大突发性环境事件(Ⅲ级)和一般突发性环境事件(Ⅳ级)四个等级，划分见下表。</w:t>
      </w:r>
    </w:p>
    <w:p>
      <w:pPr>
        <w:jc w:val="center"/>
        <w:rPr>
          <w:b/>
          <w:color w:val="FF0000"/>
          <w:sz w:val="24"/>
          <w:szCs w:val="24"/>
        </w:rPr>
      </w:pPr>
      <w:r>
        <w:rPr>
          <w:b/>
          <w:color w:val="FF0000"/>
          <w:sz w:val="24"/>
          <w:szCs w:val="24"/>
        </w:rPr>
        <w:t>表1.3-1 突发性环境事件的等级划分</w:t>
      </w:r>
    </w:p>
    <w:tbl>
      <w:tblPr>
        <w:tblStyle w:val="48"/>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96"/>
        <w:gridCol w:w="1296"/>
        <w:gridCol w:w="1296"/>
        <w:gridCol w:w="1620"/>
        <w:gridCol w:w="1283"/>
        <w:gridCol w:w="17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1296" w:type="dxa"/>
            <w:vMerge w:val="restart"/>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等级</w:t>
            </w:r>
          </w:p>
        </w:tc>
        <w:tc>
          <w:tcPr>
            <w:tcW w:w="1296" w:type="dxa"/>
            <w:vMerge w:val="restart"/>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预警等级</w:t>
            </w:r>
          </w:p>
        </w:tc>
        <w:tc>
          <w:tcPr>
            <w:tcW w:w="1296" w:type="dxa"/>
            <w:vMerge w:val="restart"/>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响应等级</w:t>
            </w:r>
          </w:p>
        </w:tc>
        <w:tc>
          <w:tcPr>
            <w:tcW w:w="4634" w:type="dxa"/>
            <w:gridSpan w:val="3"/>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突发环境事故后果已经或可能导致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296" w:type="dxa"/>
            <w:vMerge w:val="continue"/>
            <w:tcBorders>
              <w:top w:val="nil"/>
            </w:tcBorders>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p>
        </w:tc>
        <w:tc>
          <w:tcPr>
            <w:tcW w:w="1296" w:type="dxa"/>
            <w:vMerge w:val="continue"/>
            <w:tcBorders>
              <w:top w:val="nil"/>
            </w:tcBorders>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p>
        </w:tc>
        <w:tc>
          <w:tcPr>
            <w:tcW w:w="1296" w:type="dxa"/>
            <w:vMerge w:val="continue"/>
            <w:tcBorders>
              <w:top w:val="nil"/>
            </w:tcBorders>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p>
        </w:tc>
        <w:tc>
          <w:tcPr>
            <w:tcW w:w="1620" w:type="dxa"/>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死亡人数</w:t>
            </w:r>
          </w:p>
        </w:tc>
        <w:tc>
          <w:tcPr>
            <w:tcW w:w="1283" w:type="dxa"/>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中毒（重</w:t>
            </w:r>
          </w:p>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伤人数</w:t>
            </w:r>
          </w:p>
        </w:tc>
        <w:tc>
          <w:tcPr>
            <w:tcW w:w="1731" w:type="dxa"/>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直接经济损</w:t>
            </w:r>
          </w:p>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失（万元）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2" w:hRule="atLeast"/>
        </w:trPr>
        <w:tc>
          <w:tcPr>
            <w:tcW w:w="1296" w:type="dxa"/>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特大事件</w:t>
            </w:r>
          </w:p>
        </w:tc>
        <w:tc>
          <w:tcPr>
            <w:tcW w:w="1296" w:type="dxa"/>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Ⅰ级</w:t>
            </w:r>
          </w:p>
        </w:tc>
        <w:tc>
          <w:tcPr>
            <w:tcW w:w="1296" w:type="dxa"/>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Ⅰ级</w:t>
            </w:r>
          </w:p>
        </w:tc>
        <w:tc>
          <w:tcPr>
            <w:tcW w:w="1620" w:type="dxa"/>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＞10</w:t>
            </w:r>
          </w:p>
        </w:tc>
        <w:tc>
          <w:tcPr>
            <w:tcW w:w="1283" w:type="dxa"/>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＞100</w:t>
            </w:r>
          </w:p>
        </w:tc>
        <w:tc>
          <w:tcPr>
            <w:tcW w:w="1731" w:type="dxa"/>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＞10000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65" w:hRule="atLeast"/>
        </w:trPr>
        <w:tc>
          <w:tcPr>
            <w:tcW w:w="1296" w:type="dxa"/>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重大事件</w:t>
            </w:r>
          </w:p>
        </w:tc>
        <w:tc>
          <w:tcPr>
            <w:tcW w:w="1296" w:type="dxa"/>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Ⅱ级</w:t>
            </w:r>
          </w:p>
        </w:tc>
        <w:tc>
          <w:tcPr>
            <w:tcW w:w="1296" w:type="dxa"/>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Ⅱ级</w:t>
            </w:r>
          </w:p>
        </w:tc>
        <w:tc>
          <w:tcPr>
            <w:tcW w:w="1620" w:type="dxa"/>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3~10</w:t>
            </w:r>
          </w:p>
        </w:tc>
        <w:tc>
          <w:tcPr>
            <w:tcW w:w="1283" w:type="dxa"/>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50~100</w:t>
            </w:r>
          </w:p>
        </w:tc>
        <w:tc>
          <w:tcPr>
            <w:tcW w:w="1731" w:type="dxa"/>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2000~10000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 w:hRule="atLeast"/>
        </w:trPr>
        <w:tc>
          <w:tcPr>
            <w:tcW w:w="1296" w:type="dxa"/>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较大事件</w:t>
            </w:r>
          </w:p>
        </w:tc>
        <w:tc>
          <w:tcPr>
            <w:tcW w:w="1296" w:type="dxa"/>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Ⅲ级</w:t>
            </w:r>
          </w:p>
        </w:tc>
        <w:tc>
          <w:tcPr>
            <w:tcW w:w="1296" w:type="dxa"/>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Ⅲ级</w:t>
            </w:r>
          </w:p>
        </w:tc>
        <w:tc>
          <w:tcPr>
            <w:tcW w:w="1620" w:type="dxa"/>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≤3</w:t>
            </w:r>
          </w:p>
        </w:tc>
        <w:tc>
          <w:tcPr>
            <w:tcW w:w="1283" w:type="dxa"/>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10~50</w:t>
            </w:r>
          </w:p>
        </w:tc>
        <w:tc>
          <w:tcPr>
            <w:tcW w:w="1731" w:type="dxa"/>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500~2000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296" w:type="dxa"/>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一般事件</w:t>
            </w:r>
          </w:p>
        </w:tc>
        <w:tc>
          <w:tcPr>
            <w:tcW w:w="1296" w:type="dxa"/>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Ⅳ级</w:t>
            </w:r>
          </w:p>
        </w:tc>
        <w:tc>
          <w:tcPr>
            <w:tcW w:w="1296" w:type="dxa"/>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Ⅳ级</w:t>
            </w:r>
          </w:p>
        </w:tc>
        <w:tc>
          <w:tcPr>
            <w:tcW w:w="4634" w:type="dxa"/>
            <w:gridSpan w:val="3"/>
            <w:vAlign w:val="center"/>
          </w:tcPr>
          <w:p>
            <w:pPr>
              <w:keepNext w:val="0"/>
              <w:keepLines w:val="0"/>
              <w:suppressLineNumbers w:val="0"/>
              <w:spacing w:before="0" w:beforeAutospacing="0" w:after="0" w:afterAutospacing="0"/>
              <w:ind w:left="0" w:right="0"/>
              <w:jc w:val="center"/>
              <w:rPr>
                <w:rFonts w:eastAsiaTheme="minorEastAsia"/>
                <w:color w:val="FF0000"/>
                <w:sz w:val="24"/>
                <w:szCs w:val="24"/>
              </w:rPr>
            </w:pPr>
            <w:r>
              <w:rPr>
                <w:rFonts w:eastAsiaTheme="minorEastAsia"/>
                <w:color w:val="FF0000"/>
                <w:sz w:val="24"/>
                <w:szCs w:val="24"/>
              </w:rPr>
              <w:t>除特大、重大、较大事故以外的突发环境事件</w:t>
            </w:r>
          </w:p>
        </w:tc>
      </w:tr>
    </w:tbl>
    <w:p>
      <w:pPr>
        <w:spacing w:line="360" w:lineRule="auto"/>
        <w:ind w:firstLine="480" w:firstLineChars="200"/>
        <w:rPr>
          <w:rFonts w:eastAsiaTheme="minorEastAsia"/>
          <w:color w:val="FF0000"/>
          <w:sz w:val="24"/>
          <w:szCs w:val="24"/>
        </w:rPr>
      </w:pPr>
      <w:r>
        <w:rPr>
          <w:rFonts w:eastAsiaTheme="minorEastAsia"/>
          <w:color w:val="FF0000"/>
          <w:sz w:val="24"/>
          <w:szCs w:val="24"/>
        </w:rPr>
        <w:t>根据环境风险评价，公司突发环境事件难以达到国家突发环境事件分级条件。因此全盘采用国家事件分级不利于公司突发环境事件的应急救援。根据公司实际，本预案突发环境事件等级分为Ⅰ级（社会级）、Ⅱ级（公司级）、Ⅲ级（车间级），分级依据及各级具体事故类型详下表。</w:t>
      </w:r>
    </w:p>
    <w:p>
      <w:pPr>
        <w:jc w:val="center"/>
        <w:rPr>
          <w:b/>
          <w:color w:val="FF0000"/>
          <w:sz w:val="24"/>
          <w:szCs w:val="24"/>
        </w:rPr>
      </w:pPr>
      <w:r>
        <w:rPr>
          <w:b/>
          <w:color w:val="FF0000"/>
          <w:sz w:val="24"/>
          <w:szCs w:val="24"/>
        </w:rPr>
        <w:t>表 1.3-2 公司突发事故影响分级</w:t>
      </w:r>
    </w:p>
    <w:tbl>
      <w:tblPr>
        <w:tblStyle w:val="48"/>
        <w:tblW w:w="8520"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88"/>
        <w:gridCol w:w="3308"/>
        <w:gridCol w:w="40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188" w:type="dxa"/>
            <w:vAlign w:val="center"/>
          </w:tcPr>
          <w:p>
            <w:pPr>
              <w:keepNext w:val="0"/>
              <w:keepLines w:val="0"/>
              <w:suppressLineNumbers w:val="0"/>
              <w:spacing w:before="0" w:beforeAutospacing="0" w:after="0" w:afterAutospacing="0"/>
              <w:ind w:left="0" w:right="0"/>
              <w:jc w:val="center"/>
              <w:rPr>
                <w:color w:val="FF0000"/>
                <w:sz w:val="24"/>
                <w:szCs w:val="24"/>
              </w:rPr>
            </w:pPr>
            <w:r>
              <w:rPr>
                <w:color w:val="FF0000"/>
                <w:sz w:val="24"/>
                <w:szCs w:val="24"/>
              </w:rPr>
              <w:t>分级</w:t>
            </w:r>
          </w:p>
        </w:tc>
        <w:tc>
          <w:tcPr>
            <w:tcW w:w="3308" w:type="dxa"/>
            <w:vAlign w:val="center"/>
          </w:tcPr>
          <w:p>
            <w:pPr>
              <w:keepNext w:val="0"/>
              <w:keepLines w:val="0"/>
              <w:suppressLineNumbers w:val="0"/>
              <w:spacing w:before="0" w:beforeAutospacing="0" w:after="0" w:afterAutospacing="0"/>
              <w:ind w:left="0" w:right="0"/>
              <w:jc w:val="center"/>
              <w:rPr>
                <w:color w:val="FF0000"/>
                <w:sz w:val="24"/>
                <w:szCs w:val="24"/>
              </w:rPr>
            </w:pPr>
            <w:r>
              <w:rPr>
                <w:color w:val="FF0000"/>
                <w:sz w:val="24"/>
                <w:szCs w:val="24"/>
              </w:rPr>
              <w:t>突发环境事件情形</w:t>
            </w:r>
          </w:p>
        </w:tc>
        <w:tc>
          <w:tcPr>
            <w:tcW w:w="4024" w:type="dxa"/>
            <w:vAlign w:val="center"/>
          </w:tcPr>
          <w:p>
            <w:pPr>
              <w:keepNext w:val="0"/>
              <w:keepLines w:val="0"/>
              <w:suppressLineNumbers w:val="0"/>
              <w:spacing w:before="0" w:beforeAutospacing="0" w:after="0" w:afterAutospacing="0"/>
              <w:ind w:left="0" w:right="0"/>
              <w:jc w:val="center"/>
              <w:rPr>
                <w:color w:val="FF0000"/>
                <w:sz w:val="24"/>
                <w:szCs w:val="24"/>
              </w:rPr>
            </w:pPr>
            <w:r>
              <w:rPr>
                <w:color w:val="FF0000"/>
                <w:sz w:val="24"/>
                <w:szCs w:val="24"/>
              </w:rPr>
              <w:t>具体事故类型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8" w:hRule="atLeast"/>
        </w:trPr>
        <w:tc>
          <w:tcPr>
            <w:tcW w:w="1188" w:type="dxa"/>
            <w:vAlign w:val="center"/>
          </w:tcPr>
          <w:p>
            <w:pPr>
              <w:keepNext w:val="0"/>
              <w:keepLines w:val="0"/>
              <w:suppressLineNumbers w:val="0"/>
              <w:spacing w:before="0" w:beforeAutospacing="0" w:after="0" w:afterAutospacing="0"/>
              <w:ind w:left="0" w:right="0"/>
              <w:jc w:val="center"/>
              <w:rPr>
                <w:color w:val="FF0000"/>
                <w:sz w:val="24"/>
                <w:szCs w:val="24"/>
              </w:rPr>
            </w:pPr>
            <w:r>
              <w:rPr>
                <w:color w:val="FF0000"/>
                <w:sz w:val="24"/>
                <w:szCs w:val="24"/>
              </w:rPr>
              <w:t>Ⅰ级</w:t>
            </w:r>
          </w:p>
          <w:p>
            <w:pPr>
              <w:keepNext w:val="0"/>
              <w:keepLines w:val="0"/>
              <w:suppressLineNumbers w:val="0"/>
              <w:spacing w:before="0" w:beforeAutospacing="0" w:after="0" w:afterAutospacing="0"/>
              <w:ind w:left="0" w:right="0"/>
              <w:jc w:val="center"/>
              <w:rPr>
                <w:color w:val="FF0000"/>
                <w:sz w:val="24"/>
                <w:szCs w:val="24"/>
              </w:rPr>
            </w:pPr>
            <w:r>
              <w:rPr>
                <w:color w:val="FF0000"/>
                <w:sz w:val="24"/>
                <w:szCs w:val="24"/>
              </w:rPr>
              <w:t>（社会级）</w:t>
            </w:r>
          </w:p>
        </w:tc>
        <w:tc>
          <w:tcPr>
            <w:tcW w:w="3308" w:type="dxa"/>
            <w:vAlign w:val="center"/>
          </w:tcPr>
          <w:p>
            <w:pPr>
              <w:keepNext w:val="0"/>
              <w:keepLines w:val="0"/>
              <w:suppressLineNumbers w:val="0"/>
              <w:spacing w:before="0" w:beforeAutospacing="0" w:after="0" w:afterAutospacing="0"/>
              <w:ind w:left="0" w:right="0"/>
              <w:jc w:val="center"/>
              <w:rPr>
                <w:color w:val="FF0000"/>
                <w:sz w:val="24"/>
                <w:szCs w:val="24"/>
              </w:rPr>
            </w:pPr>
            <w:r>
              <w:rPr>
                <w:color w:val="FF0000"/>
                <w:sz w:val="24"/>
                <w:szCs w:val="24"/>
              </w:rPr>
              <w:t>重大环境污染事故，污染超出公司范围，影响公司周边区域，公司自身难以控制，须请求外部救援</w:t>
            </w:r>
          </w:p>
        </w:tc>
        <w:tc>
          <w:tcPr>
            <w:tcW w:w="4024" w:type="dxa"/>
            <w:vAlign w:val="center"/>
          </w:tcPr>
          <w:p>
            <w:pPr>
              <w:keepNext w:val="0"/>
              <w:keepLines w:val="0"/>
              <w:suppressLineNumbers w:val="0"/>
              <w:spacing w:before="0" w:beforeAutospacing="0" w:after="0" w:afterAutospacing="0"/>
              <w:ind w:left="0" w:right="0"/>
              <w:jc w:val="left"/>
              <w:rPr>
                <w:color w:val="FF0000"/>
                <w:sz w:val="24"/>
                <w:szCs w:val="24"/>
              </w:rPr>
            </w:pPr>
            <w:r>
              <w:rPr>
                <w:rFonts w:hint="eastAsia" w:ascii="宋体" w:hAnsi="宋体" w:cs="宋体"/>
                <w:color w:val="FF0000"/>
                <w:sz w:val="24"/>
                <w:szCs w:val="24"/>
              </w:rPr>
              <w:t>①</w:t>
            </w:r>
            <w:r>
              <w:rPr>
                <w:color w:val="FF0000"/>
                <w:sz w:val="24"/>
                <w:szCs w:val="24"/>
              </w:rPr>
              <w:t>废气</w:t>
            </w:r>
            <w:r>
              <w:rPr>
                <w:rFonts w:hint="eastAsia"/>
                <w:color w:val="FF0000"/>
                <w:sz w:val="24"/>
                <w:szCs w:val="24"/>
                <w:lang w:eastAsia="zh-CN"/>
              </w:rPr>
              <w:t>、</w:t>
            </w:r>
            <w:r>
              <w:rPr>
                <w:rFonts w:hint="eastAsia"/>
                <w:color w:val="FF0000"/>
                <w:sz w:val="24"/>
                <w:szCs w:val="24"/>
                <w:lang w:val="en-US" w:eastAsia="zh-CN"/>
              </w:rPr>
              <w:t>废水</w:t>
            </w:r>
            <w:r>
              <w:rPr>
                <w:color w:val="FF0000"/>
                <w:sz w:val="24"/>
                <w:szCs w:val="24"/>
              </w:rPr>
              <w:t>处理设施故障</w:t>
            </w:r>
            <w:r>
              <w:rPr>
                <w:rFonts w:hint="eastAsia"/>
                <w:color w:val="FF0000"/>
                <w:sz w:val="24"/>
                <w:szCs w:val="24"/>
              </w:rPr>
              <w:t>或发生火灾</w:t>
            </w:r>
            <w:r>
              <w:rPr>
                <w:color w:val="FF0000"/>
                <w:sz w:val="24"/>
                <w:szCs w:val="24"/>
              </w:rPr>
              <w:t>，导致废气</w:t>
            </w:r>
            <w:r>
              <w:rPr>
                <w:rFonts w:hint="eastAsia"/>
                <w:color w:val="FF0000"/>
                <w:sz w:val="24"/>
                <w:szCs w:val="24"/>
                <w:lang w:eastAsia="zh-CN"/>
              </w:rPr>
              <w:t>、</w:t>
            </w:r>
            <w:r>
              <w:rPr>
                <w:rFonts w:hint="eastAsia"/>
                <w:color w:val="FF0000"/>
                <w:sz w:val="24"/>
                <w:szCs w:val="24"/>
                <w:lang w:val="en-US" w:eastAsia="zh-CN"/>
              </w:rPr>
              <w:t>废水</w:t>
            </w:r>
            <w:r>
              <w:rPr>
                <w:color w:val="FF0000"/>
                <w:sz w:val="24"/>
                <w:szCs w:val="24"/>
              </w:rPr>
              <w:t>超标排放， 对周边居民产生影响，引发群体性事件；</w:t>
            </w:r>
          </w:p>
          <w:p>
            <w:pPr>
              <w:keepNext w:val="0"/>
              <w:keepLines w:val="0"/>
              <w:suppressLineNumbers w:val="0"/>
              <w:spacing w:before="0" w:beforeAutospacing="0" w:after="0" w:afterAutospacing="0"/>
              <w:ind w:left="0" w:right="0"/>
              <w:jc w:val="left"/>
              <w:rPr>
                <w:color w:val="FF0000"/>
                <w:sz w:val="24"/>
                <w:szCs w:val="24"/>
              </w:rPr>
            </w:pPr>
            <w:r>
              <w:rPr>
                <w:rFonts w:ascii="宋体" w:hAnsi="宋体" w:cs="宋体"/>
                <w:color w:val="FF0000"/>
                <w:sz w:val="24"/>
                <w:szCs w:val="24"/>
              </w:rPr>
              <w:fldChar w:fldCharType="begin"/>
            </w:r>
            <w:r>
              <w:rPr>
                <w:rFonts w:ascii="宋体" w:hAnsi="宋体" w:cs="宋体"/>
                <w:color w:val="FF0000"/>
                <w:sz w:val="24"/>
                <w:szCs w:val="24"/>
              </w:rPr>
              <w:instrText xml:space="preserve"> </w:instrText>
            </w:r>
            <w:r>
              <w:rPr>
                <w:rFonts w:hint="eastAsia" w:ascii="宋体" w:hAnsi="宋体" w:cs="宋体"/>
                <w:color w:val="FF0000"/>
                <w:sz w:val="24"/>
                <w:szCs w:val="24"/>
              </w:rPr>
              <w:instrText xml:space="preserve">= 2 \* GB3</w:instrText>
            </w:r>
            <w:r>
              <w:rPr>
                <w:rFonts w:ascii="宋体" w:hAnsi="宋体" w:cs="宋体"/>
                <w:color w:val="FF0000"/>
                <w:sz w:val="24"/>
                <w:szCs w:val="24"/>
              </w:rPr>
              <w:instrText xml:space="preserve"> </w:instrText>
            </w:r>
            <w:r>
              <w:rPr>
                <w:rFonts w:ascii="宋体" w:hAnsi="宋体" w:cs="宋体"/>
                <w:color w:val="FF0000"/>
                <w:sz w:val="24"/>
                <w:szCs w:val="24"/>
              </w:rPr>
              <w:fldChar w:fldCharType="separate"/>
            </w:r>
            <w:r>
              <w:rPr>
                <w:rFonts w:hint="eastAsia" w:ascii="宋体" w:hAnsi="宋体" w:cs="宋体"/>
                <w:color w:val="FF0000"/>
                <w:sz w:val="24"/>
                <w:szCs w:val="24"/>
              </w:rPr>
              <w:t>②</w:t>
            </w:r>
            <w:r>
              <w:rPr>
                <w:rFonts w:ascii="宋体" w:hAnsi="宋体" w:cs="宋体"/>
                <w:color w:val="FF0000"/>
                <w:sz w:val="24"/>
                <w:szCs w:val="24"/>
              </w:rPr>
              <w:fldChar w:fldCharType="end"/>
            </w:r>
            <w:r>
              <w:rPr>
                <w:rFonts w:hint="eastAsia"/>
                <w:color w:val="FF0000"/>
                <w:sz w:val="24"/>
                <w:szCs w:val="24"/>
              </w:rPr>
              <w:t>化学品</w:t>
            </w:r>
            <w:r>
              <w:rPr>
                <w:color w:val="FF0000"/>
                <w:sz w:val="24"/>
                <w:szCs w:val="24"/>
              </w:rPr>
              <w:t>、消防废水未控制在厂区内，直接排入地表水体。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9" w:hRule="atLeast"/>
        </w:trPr>
        <w:tc>
          <w:tcPr>
            <w:tcW w:w="1188" w:type="dxa"/>
            <w:vAlign w:val="center"/>
          </w:tcPr>
          <w:p>
            <w:pPr>
              <w:keepNext w:val="0"/>
              <w:keepLines w:val="0"/>
              <w:suppressLineNumbers w:val="0"/>
              <w:spacing w:before="0" w:beforeAutospacing="0" w:after="0" w:afterAutospacing="0"/>
              <w:ind w:left="0" w:right="0"/>
              <w:jc w:val="center"/>
              <w:rPr>
                <w:color w:val="FF0000"/>
                <w:sz w:val="24"/>
                <w:szCs w:val="24"/>
              </w:rPr>
            </w:pPr>
            <w:r>
              <w:rPr>
                <w:color w:val="FF0000"/>
                <w:sz w:val="24"/>
                <w:szCs w:val="24"/>
              </w:rPr>
              <w:t>Ⅱ级</w:t>
            </w:r>
          </w:p>
          <w:p>
            <w:pPr>
              <w:keepNext w:val="0"/>
              <w:keepLines w:val="0"/>
              <w:suppressLineNumbers w:val="0"/>
              <w:spacing w:before="0" w:beforeAutospacing="0" w:after="0" w:afterAutospacing="0"/>
              <w:ind w:left="0" w:right="0"/>
              <w:jc w:val="center"/>
              <w:rPr>
                <w:color w:val="FF0000"/>
                <w:sz w:val="24"/>
                <w:szCs w:val="24"/>
              </w:rPr>
            </w:pPr>
            <w:r>
              <w:rPr>
                <w:color w:val="FF0000"/>
                <w:sz w:val="24"/>
                <w:szCs w:val="24"/>
              </w:rPr>
              <w:t>（公司级）</w:t>
            </w:r>
          </w:p>
        </w:tc>
        <w:tc>
          <w:tcPr>
            <w:tcW w:w="3308" w:type="dxa"/>
            <w:vAlign w:val="center"/>
          </w:tcPr>
          <w:p>
            <w:pPr>
              <w:keepNext w:val="0"/>
              <w:keepLines w:val="0"/>
              <w:suppressLineNumbers w:val="0"/>
              <w:spacing w:before="0" w:beforeAutospacing="0" w:after="0" w:afterAutospacing="0"/>
              <w:ind w:left="0" w:right="0"/>
              <w:jc w:val="center"/>
              <w:rPr>
                <w:color w:val="FF0000"/>
                <w:sz w:val="24"/>
                <w:szCs w:val="24"/>
              </w:rPr>
            </w:pPr>
            <w:r>
              <w:rPr>
                <w:color w:val="FF0000"/>
                <w:sz w:val="24"/>
                <w:szCs w:val="24"/>
              </w:rPr>
              <w:t>较大环境污染事故，需公司各部门统一调度处置，能在公司控制内消除的污染及相应的安全事故</w:t>
            </w:r>
          </w:p>
        </w:tc>
        <w:tc>
          <w:tcPr>
            <w:tcW w:w="4024" w:type="dxa"/>
            <w:vAlign w:val="center"/>
          </w:tcPr>
          <w:p>
            <w:pPr>
              <w:keepNext w:val="0"/>
              <w:keepLines w:val="0"/>
              <w:suppressLineNumbers w:val="0"/>
              <w:spacing w:before="0" w:beforeAutospacing="0" w:after="0" w:afterAutospacing="0"/>
              <w:ind w:left="0" w:right="0"/>
              <w:jc w:val="left"/>
              <w:rPr>
                <w:color w:val="FF0000"/>
                <w:sz w:val="24"/>
                <w:szCs w:val="24"/>
              </w:rPr>
            </w:pPr>
            <w:r>
              <w:rPr>
                <w:rFonts w:hint="eastAsia" w:ascii="宋体" w:hAnsi="宋体" w:cs="宋体"/>
                <w:color w:val="FF0000"/>
                <w:sz w:val="24"/>
                <w:szCs w:val="24"/>
              </w:rPr>
              <w:t>①</w:t>
            </w:r>
            <w:r>
              <w:rPr>
                <w:color w:val="FF0000"/>
                <w:sz w:val="24"/>
                <w:szCs w:val="24"/>
              </w:rPr>
              <w:t>废气</w:t>
            </w:r>
            <w:r>
              <w:rPr>
                <w:rFonts w:hint="eastAsia"/>
                <w:color w:val="FF0000"/>
                <w:sz w:val="24"/>
                <w:szCs w:val="24"/>
                <w:lang w:eastAsia="zh-CN"/>
              </w:rPr>
              <w:t>、</w:t>
            </w:r>
            <w:r>
              <w:rPr>
                <w:rFonts w:hint="eastAsia"/>
                <w:color w:val="FF0000"/>
                <w:sz w:val="24"/>
                <w:szCs w:val="24"/>
                <w:lang w:val="en-US" w:eastAsia="zh-CN"/>
              </w:rPr>
              <w:t>废水</w:t>
            </w:r>
            <w:r>
              <w:rPr>
                <w:color w:val="FF0000"/>
                <w:sz w:val="24"/>
                <w:szCs w:val="24"/>
              </w:rPr>
              <w:t>处理设施故障</w:t>
            </w:r>
            <w:r>
              <w:rPr>
                <w:rFonts w:hint="eastAsia"/>
                <w:color w:val="FF0000"/>
                <w:sz w:val="24"/>
                <w:szCs w:val="24"/>
              </w:rPr>
              <w:t>或发生火灾</w:t>
            </w:r>
            <w:r>
              <w:rPr>
                <w:color w:val="FF0000"/>
                <w:sz w:val="24"/>
                <w:szCs w:val="24"/>
              </w:rPr>
              <w:t>，导致废气</w:t>
            </w:r>
            <w:r>
              <w:rPr>
                <w:rFonts w:hint="eastAsia"/>
                <w:color w:val="FF0000"/>
                <w:sz w:val="24"/>
                <w:szCs w:val="24"/>
                <w:lang w:eastAsia="zh-CN"/>
              </w:rPr>
              <w:t>、</w:t>
            </w:r>
            <w:r>
              <w:rPr>
                <w:rFonts w:hint="eastAsia"/>
                <w:color w:val="FF0000"/>
                <w:sz w:val="24"/>
                <w:szCs w:val="24"/>
                <w:lang w:val="en-US" w:eastAsia="zh-CN"/>
              </w:rPr>
              <w:t>废水</w:t>
            </w:r>
            <w:r>
              <w:rPr>
                <w:color w:val="FF0000"/>
                <w:sz w:val="24"/>
                <w:szCs w:val="24"/>
              </w:rPr>
              <w:t>超标排放，超标事件超过 2h；</w:t>
            </w:r>
          </w:p>
          <w:p>
            <w:pPr>
              <w:keepNext w:val="0"/>
              <w:keepLines w:val="0"/>
              <w:suppressLineNumbers w:val="0"/>
              <w:spacing w:before="0" w:beforeAutospacing="0" w:after="0" w:afterAutospacing="0"/>
              <w:ind w:left="0" w:right="0"/>
              <w:jc w:val="left"/>
              <w:rPr>
                <w:color w:val="FF0000"/>
                <w:sz w:val="24"/>
                <w:szCs w:val="24"/>
              </w:rPr>
            </w:pPr>
            <w:r>
              <w:rPr>
                <w:rFonts w:hint="eastAsia" w:ascii="宋体" w:hAnsi="宋体" w:cs="宋体"/>
                <w:color w:val="FF0000"/>
                <w:sz w:val="24"/>
                <w:szCs w:val="24"/>
              </w:rPr>
              <w:t>②</w:t>
            </w:r>
            <w:r>
              <w:rPr>
                <w:rFonts w:hint="eastAsia"/>
                <w:color w:val="FF0000"/>
                <w:sz w:val="24"/>
                <w:szCs w:val="24"/>
              </w:rPr>
              <w:t>化学品</w:t>
            </w:r>
            <w:r>
              <w:rPr>
                <w:color w:val="FF0000"/>
                <w:sz w:val="24"/>
                <w:szCs w:val="24"/>
              </w:rPr>
              <w:t>、消防废水漏出，但未漏出至厂界外。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188" w:type="dxa"/>
            <w:vAlign w:val="center"/>
          </w:tcPr>
          <w:p>
            <w:pPr>
              <w:keepNext w:val="0"/>
              <w:keepLines w:val="0"/>
              <w:suppressLineNumbers w:val="0"/>
              <w:spacing w:before="0" w:beforeAutospacing="0" w:after="0" w:afterAutospacing="0"/>
              <w:ind w:left="0" w:right="0"/>
              <w:jc w:val="center"/>
              <w:rPr>
                <w:color w:val="FF0000"/>
                <w:sz w:val="24"/>
                <w:szCs w:val="24"/>
              </w:rPr>
            </w:pPr>
            <w:r>
              <w:rPr>
                <w:color w:val="FF0000"/>
                <w:sz w:val="24"/>
                <w:szCs w:val="24"/>
              </w:rPr>
              <w:t>Ⅲ级</w:t>
            </w:r>
          </w:p>
          <w:p>
            <w:pPr>
              <w:keepNext w:val="0"/>
              <w:keepLines w:val="0"/>
              <w:suppressLineNumbers w:val="0"/>
              <w:spacing w:before="0" w:beforeAutospacing="0" w:after="0" w:afterAutospacing="0"/>
              <w:ind w:left="0" w:right="0"/>
              <w:jc w:val="center"/>
              <w:rPr>
                <w:color w:val="FF0000"/>
                <w:sz w:val="24"/>
                <w:szCs w:val="24"/>
              </w:rPr>
            </w:pPr>
            <w:r>
              <w:rPr>
                <w:color w:val="FF0000"/>
                <w:sz w:val="24"/>
                <w:szCs w:val="24"/>
              </w:rPr>
              <w:t>（车间级）</w:t>
            </w:r>
          </w:p>
        </w:tc>
        <w:tc>
          <w:tcPr>
            <w:tcW w:w="3308" w:type="dxa"/>
            <w:vAlign w:val="center"/>
          </w:tcPr>
          <w:p>
            <w:pPr>
              <w:keepNext w:val="0"/>
              <w:keepLines w:val="0"/>
              <w:suppressLineNumbers w:val="0"/>
              <w:spacing w:before="0" w:beforeAutospacing="0" w:after="0" w:afterAutospacing="0"/>
              <w:ind w:left="0" w:right="0"/>
              <w:jc w:val="center"/>
              <w:rPr>
                <w:color w:val="FF0000"/>
                <w:sz w:val="24"/>
                <w:szCs w:val="24"/>
              </w:rPr>
            </w:pPr>
            <w:r>
              <w:rPr>
                <w:color w:val="FF0000"/>
                <w:sz w:val="24"/>
                <w:szCs w:val="24"/>
              </w:rPr>
              <w:t>一般环境污染事故，事故轻微，无扩大征兆，无人员伤亡，生产运行未受影响，并且可在事故车间或部门内迅速消除影响的污染事故</w:t>
            </w:r>
          </w:p>
        </w:tc>
        <w:tc>
          <w:tcPr>
            <w:tcW w:w="4024" w:type="dxa"/>
            <w:vAlign w:val="center"/>
          </w:tcPr>
          <w:p>
            <w:pPr>
              <w:keepNext w:val="0"/>
              <w:keepLines w:val="0"/>
              <w:suppressLineNumbers w:val="0"/>
              <w:spacing w:before="0" w:beforeAutospacing="0" w:after="0" w:afterAutospacing="0"/>
              <w:ind w:left="0" w:right="0"/>
              <w:jc w:val="left"/>
              <w:rPr>
                <w:color w:val="FF0000"/>
                <w:sz w:val="24"/>
                <w:szCs w:val="24"/>
              </w:rPr>
            </w:pPr>
            <w:r>
              <w:rPr>
                <w:rFonts w:hint="eastAsia" w:ascii="宋体" w:hAnsi="宋体" w:cs="宋体"/>
                <w:color w:val="FF0000"/>
                <w:sz w:val="24"/>
                <w:szCs w:val="24"/>
              </w:rPr>
              <w:t>①</w:t>
            </w:r>
            <w:r>
              <w:rPr>
                <w:color w:val="FF0000"/>
                <w:sz w:val="24"/>
                <w:szCs w:val="24"/>
              </w:rPr>
              <w:t>废气</w:t>
            </w:r>
            <w:r>
              <w:rPr>
                <w:rFonts w:hint="eastAsia"/>
                <w:color w:val="FF0000"/>
                <w:sz w:val="24"/>
                <w:szCs w:val="24"/>
                <w:lang w:eastAsia="zh-CN"/>
              </w:rPr>
              <w:t>、</w:t>
            </w:r>
            <w:r>
              <w:rPr>
                <w:rFonts w:hint="eastAsia"/>
                <w:color w:val="FF0000"/>
                <w:sz w:val="24"/>
                <w:szCs w:val="24"/>
                <w:lang w:val="en-US" w:eastAsia="zh-CN"/>
              </w:rPr>
              <w:t>废水</w:t>
            </w:r>
            <w:r>
              <w:rPr>
                <w:color w:val="FF0000"/>
                <w:sz w:val="24"/>
                <w:szCs w:val="24"/>
              </w:rPr>
              <w:t>处理设施故障</w:t>
            </w:r>
            <w:r>
              <w:rPr>
                <w:rFonts w:hint="eastAsia"/>
                <w:color w:val="FF0000"/>
                <w:sz w:val="24"/>
                <w:szCs w:val="24"/>
              </w:rPr>
              <w:t>或发生火灾</w:t>
            </w:r>
            <w:r>
              <w:rPr>
                <w:color w:val="FF0000"/>
                <w:sz w:val="24"/>
                <w:szCs w:val="24"/>
              </w:rPr>
              <w:t>，废气</w:t>
            </w:r>
            <w:r>
              <w:rPr>
                <w:rFonts w:hint="eastAsia"/>
                <w:color w:val="FF0000"/>
                <w:sz w:val="24"/>
                <w:szCs w:val="24"/>
                <w:lang w:eastAsia="zh-CN"/>
              </w:rPr>
              <w:t>、</w:t>
            </w:r>
            <w:r>
              <w:rPr>
                <w:rFonts w:hint="eastAsia"/>
                <w:color w:val="FF0000"/>
                <w:sz w:val="24"/>
                <w:szCs w:val="24"/>
                <w:lang w:val="en-US" w:eastAsia="zh-CN"/>
              </w:rPr>
              <w:t>废水</w:t>
            </w:r>
            <w:r>
              <w:rPr>
                <w:color w:val="FF0000"/>
                <w:sz w:val="24"/>
                <w:szCs w:val="24"/>
              </w:rPr>
              <w:t>短时超标，经调整后可达标，在2h内得到有效控制；</w:t>
            </w:r>
          </w:p>
          <w:p>
            <w:pPr>
              <w:keepNext w:val="0"/>
              <w:keepLines w:val="0"/>
              <w:suppressLineNumbers w:val="0"/>
              <w:spacing w:before="0" w:beforeAutospacing="0" w:after="0" w:afterAutospacing="0"/>
              <w:ind w:left="0" w:right="0"/>
              <w:jc w:val="left"/>
              <w:rPr>
                <w:color w:val="FF0000"/>
                <w:sz w:val="24"/>
                <w:szCs w:val="24"/>
              </w:rPr>
            </w:pPr>
            <w:r>
              <w:rPr>
                <w:rFonts w:hint="eastAsia" w:ascii="宋体" w:hAnsi="宋体" w:cs="宋体"/>
                <w:color w:val="FF0000"/>
                <w:sz w:val="24"/>
                <w:szCs w:val="24"/>
              </w:rPr>
              <w:t>②</w:t>
            </w:r>
            <w:r>
              <w:rPr>
                <w:rFonts w:hint="eastAsia"/>
                <w:color w:val="FF0000"/>
                <w:sz w:val="24"/>
                <w:szCs w:val="24"/>
              </w:rPr>
              <w:t>化学品</w:t>
            </w:r>
            <w:r>
              <w:rPr>
                <w:color w:val="FF0000"/>
                <w:sz w:val="24"/>
                <w:szCs w:val="24"/>
              </w:rPr>
              <w:t>泄漏在车间内，在车间控制能力范围内；</w:t>
            </w:r>
          </w:p>
          <w:p>
            <w:pPr>
              <w:keepNext w:val="0"/>
              <w:keepLines w:val="0"/>
              <w:suppressLineNumbers w:val="0"/>
              <w:spacing w:before="0" w:beforeAutospacing="0" w:after="0" w:afterAutospacing="0"/>
              <w:ind w:left="0" w:right="0"/>
              <w:jc w:val="left"/>
              <w:rPr>
                <w:color w:val="FF0000"/>
                <w:sz w:val="24"/>
                <w:szCs w:val="24"/>
              </w:rPr>
            </w:pPr>
            <w:r>
              <w:rPr>
                <w:rFonts w:hint="eastAsia" w:ascii="宋体" w:hAnsi="宋体" w:cs="宋体"/>
                <w:color w:val="FF0000"/>
                <w:sz w:val="24"/>
                <w:szCs w:val="24"/>
              </w:rPr>
              <w:t>③</w:t>
            </w:r>
            <w:r>
              <w:rPr>
                <w:color w:val="FF0000"/>
                <w:sz w:val="24"/>
                <w:szCs w:val="24"/>
              </w:rPr>
              <w:t>不属于Ⅰ、Ⅱ两级的环境事件</w:t>
            </w:r>
          </w:p>
        </w:tc>
      </w:tr>
    </w:tbl>
    <w:p>
      <w:pPr>
        <w:pStyle w:val="3"/>
        <w:rPr>
          <w:color w:val="000000" w:themeColor="text1"/>
          <w:highlight w:val="none"/>
          <w14:textFill>
            <w14:solidFill>
              <w14:schemeClr w14:val="tx1"/>
            </w14:solidFill>
          </w14:textFill>
        </w:rPr>
      </w:pPr>
      <w:bookmarkStart w:id="167" w:name="_Toc46857510"/>
      <w:bookmarkStart w:id="168" w:name="_Toc408503011"/>
      <w:bookmarkStart w:id="169" w:name="_Toc305769709"/>
      <w:bookmarkStart w:id="170" w:name="_Toc8274_WPSOffice_Level2"/>
      <w:bookmarkStart w:id="171" w:name="_Toc43202930"/>
      <w:bookmarkStart w:id="172" w:name="_Toc32326"/>
      <w:bookmarkStart w:id="173" w:name="_Toc21428_WPSOffice_Level2"/>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6</w:t>
      </w:r>
      <w:r>
        <w:rPr>
          <w:color w:val="000000" w:themeColor="text1"/>
          <w:highlight w:val="none"/>
          <w14:textFill>
            <w14:solidFill>
              <w14:schemeClr w14:val="tx1"/>
            </w14:solidFill>
          </w14:textFill>
        </w:rPr>
        <w:t>工作原则</w:t>
      </w:r>
      <w:bookmarkEnd w:id="167"/>
      <w:bookmarkEnd w:id="168"/>
      <w:bookmarkEnd w:id="169"/>
      <w:bookmarkEnd w:id="170"/>
      <w:bookmarkEnd w:id="171"/>
      <w:bookmarkEnd w:id="172"/>
      <w:bookmarkEnd w:id="173"/>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企业在建立突发性环境污染事故应急系统及其响应程序时，应本着实事求是、切实可行的方针，贯彻如下原则：</w:t>
      </w:r>
    </w:p>
    <w:p>
      <w:pPr>
        <w:adjustRightInd w:val="0"/>
        <w:snapToGrid w:val="0"/>
        <w:spacing w:line="360" w:lineRule="auto"/>
        <w:ind w:firstLine="600" w:firstLineChars="25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坚持以人为本，预防为主。加强对环境事故危险源的监测、监控并实施监督管理，建立环境事故风险防范体系，积极预防、及时控制、消除隐患，提高突发性环境污染事故防范和处理能力，尽可能地避免或减少突发环境事件的发生，消除或减轻环境污染事故造成的中长期影响，最大程度地保障公众健康，保护人民群众生命财产安全。</w:t>
      </w:r>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坚持统一领导，分类管理，分级响应。接受政府环保部门的指导，使企业的突发性环境污染事故应急系统成为区域系统的有机组成部分。加强企业各部门之间协同与合作，提高快速反应能力。针对不同污染源所造成的环境污染的特点，实行分类管理，充分发挥部门专业优势，使采取的措施与突发环境事件造成的危害范围和社会影响相适应。</w:t>
      </w:r>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坚持平战结合，专兼结合，充分利用现有资源。积极做好应对突发性环境污染事故的思想准备、物资准备、技术准备、工作准备，加强培训演练，应急系统做到常备不懈，可为本企业和其它企业及社会提供服务，在应急时快速有效。</w:t>
      </w:r>
    </w:p>
    <w:p>
      <w:pPr>
        <w:adjustRightInd w:val="0"/>
        <w:snapToGrid w:val="0"/>
        <w:spacing w:line="360" w:lineRule="auto"/>
        <w:ind w:firstLine="570"/>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企业自救与属地管理相结合原则。突发环境事件应急救援遵循企业自救和属地政府救援相结合的原则，建立统一指挥、反应敏捷、功能齐全、协调有序、运转高效的应急管理机制，充分发挥企业和属地政府应急资源的作用，确保一旦出现事故，能够快速反应、及时、果断处置工作</w:t>
      </w:r>
      <w:r>
        <w:rPr>
          <w:rFonts w:hint="eastAsia" w:ascii="宋体" w:hAnsi="宋体" w:cs="宋体"/>
          <w:color w:val="000000" w:themeColor="text1"/>
          <w:sz w:val="24"/>
          <w:highlight w:val="none"/>
          <w:lang w:eastAsia="zh-CN"/>
          <w14:textFill>
            <w14:solidFill>
              <w14:schemeClr w14:val="tx1"/>
            </w14:solidFill>
          </w14:textFill>
        </w:rPr>
        <w:t>。</w:t>
      </w:r>
    </w:p>
    <w:p>
      <w:pPr>
        <w:pStyle w:val="217"/>
        <w:numPr>
          <w:ilvl w:val="0"/>
          <w:numId w:val="0"/>
        </w:numPr>
        <w:spacing w:line="360" w:lineRule="auto"/>
        <w:ind w:leftChars="0"/>
        <w:jc w:val="left"/>
        <w:outlineLvl w:val="1"/>
        <w:rPr>
          <w:b/>
          <w:color w:val="FF0000"/>
          <w:sz w:val="28"/>
          <w:szCs w:val="28"/>
        </w:rPr>
      </w:pPr>
      <w:bookmarkStart w:id="174" w:name="_Toc526868907"/>
      <w:bookmarkStart w:id="175" w:name="_Toc15579"/>
      <w:r>
        <w:rPr>
          <w:rFonts w:hint="eastAsia"/>
          <w:b/>
          <w:color w:val="FF0000"/>
          <w:sz w:val="28"/>
          <w:szCs w:val="28"/>
          <w:lang w:val="en-US" w:eastAsia="zh-CN"/>
        </w:rPr>
        <w:t>1.7</w:t>
      </w:r>
      <w:r>
        <w:rPr>
          <w:b/>
          <w:color w:val="FF0000"/>
          <w:sz w:val="28"/>
          <w:szCs w:val="28"/>
        </w:rPr>
        <w:t>应急预案</w:t>
      </w:r>
      <w:bookmarkEnd w:id="174"/>
      <w:r>
        <w:rPr>
          <w:rFonts w:hint="eastAsia"/>
          <w:b/>
          <w:color w:val="FF0000"/>
          <w:sz w:val="28"/>
          <w:szCs w:val="28"/>
        </w:rPr>
        <w:t>体系</w:t>
      </w:r>
      <w:bookmarkEnd w:id="175"/>
    </w:p>
    <w:p>
      <w:pPr>
        <w:pStyle w:val="217"/>
        <w:numPr>
          <w:ilvl w:val="0"/>
          <w:numId w:val="0"/>
        </w:numPr>
        <w:spacing w:line="360" w:lineRule="auto"/>
        <w:ind w:leftChars="0"/>
        <w:outlineLvl w:val="2"/>
        <w:rPr>
          <w:b/>
          <w:color w:val="FF0000"/>
          <w:sz w:val="24"/>
        </w:rPr>
      </w:pPr>
      <w:r>
        <w:rPr>
          <w:rFonts w:hint="eastAsia"/>
          <w:b/>
          <w:color w:val="FF0000"/>
          <w:sz w:val="24"/>
          <w:lang w:val="en-US" w:eastAsia="zh-CN"/>
        </w:rPr>
        <w:t>1.7.1</w:t>
      </w:r>
      <w:r>
        <w:rPr>
          <w:rFonts w:hint="eastAsia"/>
          <w:b/>
          <w:color w:val="FF0000"/>
          <w:sz w:val="24"/>
        </w:rPr>
        <w:t>应急预案体系</w:t>
      </w:r>
    </w:p>
    <w:p>
      <w:pPr>
        <w:spacing w:line="360" w:lineRule="auto"/>
        <w:ind w:firstLine="480" w:firstLineChars="200"/>
        <w:rPr>
          <w:rFonts w:eastAsiaTheme="minorEastAsia"/>
          <w:color w:val="FF0000"/>
          <w:sz w:val="24"/>
        </w:rPr>
      </w:pPr>
      <w:r>
        <w:rPr>
          <w:rFonts w:hint="eastAsia" w:eastAsiaTheme="minorEastAsia"/>
          <w:color w:val="FF0000"/>
          <w:sz w:val="24"/>
        </w:rPr>
        <w:t>公司突发环境事件应急预案体系包括：突发环境事件综合应急预案、专项环境应急预案、现场处置预案。</w:t>
      </w:r>
    </w:p>
    <w:p>
      <w:pPr>
        <w:spacing w:line="360" w:lineRule="auto"/>
        <w:ind w:firstLine="480" w:firstLineChars="200"/>
        <w:rPr>
          <w:rFonts w:eastAsiaTheme="minorEastAsia"/>
          <w:color w:val="FF0000"/>
          <w:sz w:val="24"/>
        </w:rPr>
      </w:pPr>
      <w:r>
        <w:rPr>
          <w:rFonts w:hint="eastAsia" w:eastAsiaTheme="minorEastAsia"/>
          <w:color w:val="FF0000"/>
          <w:sz w:val="24"/>
        </w:rPr>
        <w:t>1、综合应急预案</w:t>
      </w:r>
    </w:p>
    <w:p>
      <w:pPr>
        <w:spacing w:line="360" w:lineRule="auto"/>
        <w:ind w:firstLine="480" w:firstLineChars="200"/>
        <w:rPr>
          <w:rFonts w:eastAsiaTheme="minorEastAsia"/>
          <w:color w:val="FF0000"/>
          <w:sz w:val="24"/>
        </w:rPr>
      </w:pPr>
      <w:r>
        <w:rPr>
          <w:rFonts w:hint="eastAsia" w:eastAsiaTheme="minorEastAsia"/>
          <w:color w:val="FF0000"/>
          <w:sz w:val="24"/>
        </w:rPr>
        <w:t>从总体上阐述处理事故的应急方针、政策，应急组织结构及相关应急职责，应急行动、措施和保障等基本要求和程序，并针对具体的事故类别、危险源和应急保障而制定了计划或方案明确救援程序和具体的应急救援措施。</w:t>
      </w:r>
    </w:p>
    <w:p>
      <w:pPr>
        <w:spacing w:line="360" w:lineRule="auto"/>
        <w:ind w:firstLine="480" w:firstLineChars="200"/>
        <w:rPr>
          <w:rFonts w:eastAsiaTheme="minorEastAsia"/>
          <w:color w:val="FF0000"/>
          <w:sz w:val="24"/>
        </w:rPr>
      </w:pPr>
      <w:r>
        <w:rPr>
          <w:rFonts w:hint="eastAsia" w:eastAsiaTheme="minorEastAsia"/>
          <w:color w:val="FF0000"/>
          <w:sz w:val="24"/>
        </w:rPr>
        <w:t>2、专项应急预案</w:t>
      </w:r>
    </w:p>
    <w:p>
      <w:pPr>
        <w:spacing w:line="360" w:lineRule="auto"/>
        <w:ind w:firstLine="480" w:firstLineChars="200"/>
        <w:rPr>
          <w:rFonts w:eastAsiaTheme="minorEastAsia"/>
          <w:color w:val="FF0000"/>
          <w:sz w:val="24"/>
        </w:rPr>
      </w:pPr>
      <w:r>
        <w:rPr>
          <w:rFonts w:hint="eastAsia" w:eastAsiaTheme="minorEastAsia"/>
          <w:color w:val="FF0000"/>
          <w:sz w:val="24"/>
        </w:rPr>
        <w:t>针对具体的事故类别、危险源和应急保障而制定的计划或方案，是综合应急预案的组成部分；制定出明确的救援程序和具体的应急救援措施。</w:t>
      </w:r>
    </w:p>
    <w:p>
      <w:pPr>
        <w:spacing w:line="360" w:lineRule="auto"/>
        <w:ind w:firstLine="480" w:firstLineChars="200"/>
        <w:rPr>
          <w:rFonts w:eastAsiaTheme="minorEastAsia"/>
          <w:color w:val="FF0000"/>
          <w:sz w:val="24"/>
        </w:rPr>
      </w:pPr>
      <w:r>
        <w:rPr>
          <w:rFonts w:hint="eastAsia" w:eastAsiaTheme="minorEastAsia"/>
          <w:color w:val="FF0000"/>
          <w:sz w:val="24"/>
        </w:rPr>
        <w:t>3、现场处置预案</w:t>
      </w:r>
    </w:p>
    <w:p>
      <w:pPr>
        <w:spacing w:line="360" w:lineRule="auto"/>
        <w:ind w:firstLine="480" w:firstLineChars="200"/>
        <w:rPr>
          <w:rFonts w:eastAsiaTheme="minorEastAsia"/>
          <w:color w:val="FF0000"/>
          <w:sz w:val="24"/>
        </w:rPr>
      </w:pPr>
      <w:r>
        <w:rPr>
          <w:rFonts w:hint="eastAsia" w:eastAsiaTheme="minorEastAsia"/>
          <w:color w:val="FF0000"/>
          <w:sz w:val="24"/>
        </w:rPr>
        <w:t>针对具体的装置、场所或设施、岗位所制定的应急处置措施，现场处置方案，是综合应急预案的组成部分。</w:t>
      </w:r>
    </w:p>
    <w:p>
      <w:pPr>
        <w:pStyle w:val="217"/>
        <w:numPr>
          <w:ilvl w:val="0"/>
          <w:numId w:val="0"/>
        </w:numPr>
        <w:spacing w:line="360" w:lineRule="auto"/>
        <w:ind w:leftChars="0"/>
        <w:outlineLvl w:val="2"/>
        <w:rPr>
          <w:b/>
          <w:color w:val="FF0000"/>
          <w:sz w:val="24"/>
        </w:rPr>
      </w:pPr>
      <w:r>
        <w:rPr>
          <w:rFonts w:hint="eastAsia"/>
          <w:b/>
          <w:color w:val="FF0000"/>
          <w:sz w:val="24"/>
          <w:lang w:val="en-US" w:eastAsia="zh-CN"/>
        </w:rPr>
        <w:t>1.7.2</w:t>
      </w:r>
      <w:r>
        <w:rPr>
          <w:rFonts w:hint="eastAsia"/>
          <w:b/>
          <w:color w:val="FF0000"/>
          <w:sz w:val="24"/>
        </w:rPr>
        <w:t>应急预案体系关系</w:t>
      </w:r>
    </w:p>
    <w:p>
      <w:pPr>
        <w:spacing w:line="360" w:lineRule="auto"/>
        <w:ind w:firstLine="480" w:firstLineChars="200"/>
        <w:rPr>
          <w:rFonts w:eastAsiaTheme="minorEastAsia"/>
          <w:color w:val="FF0000"/>
          <w:sz w:val="24"/>
        </w:rPr>
      </w:pPr>
      <w:r>
        <w:rPr>
          <w:rFonts w:hint="eastAsia" w:eastAsiaTheme="minorEastAsia"/>
          <w:color w:val="FF0000"/>
          <w:sz w:val="24"/>
          <w:lang w:eastAsia="zh-CN"/>
        </w:rPr>
        <w:t>创维视芯电子（宜春)有限公司</w:t>
      </w:r>
      <w:r>
        <w:rPr>
          <w:rFonts w:eastAsiaTheme="minorEastAsia"/>
          <w:color w:val="FF0000"/>
          <w:sz w:val="24"/>
        </w:rPr>
        <w:t>应急预案体系根据有关法律、法规及有关部门要求，针对我公司的实际生产经验、情况制定突发环境事件总体应急预案，同时制定各专项应急预案。突发环境事件应急预案，是公司应急预案体系的纲领，是公司为应对突发环境事件而制定的规范性文件，为公司突发环境现场处置方案提供指导原则和框架。</w:t>
      </w:r>
    </w:p>
    <w:p>
      <w:pPr>
        <w:spacing w:line="360" w:lineRule="auto"/>
        <w:ind w:firstLine="480" w:firstLineChars="200"/>
        <w:rPr>
          <w:rFonts w:eastAsiaTheme="minorEastAsia"/>
          <w:color w:val="FF0000"/>
          <w:sz w:val="24"/>
        </w:rPr>
      </w:pPr>
      <w:r>
        <w:rPr>
          <w:rFonts w:eastAsiaTheme="minorEastAsia"/>
          <w:color w:val="FF0000"/>
          <w:sz w:val="24"/>
        </w:rPr>
        <w:t>应急预案涉及企业多个组织与部门，特别是突发环保事故时不可能完全确定其属性，使应急救援行动充满变数，多数情况下，应急救援行动都必须寻求外部力量的救援。因此，企业与各相关救援单位、政府部门间的联动就显得尤为重要，本预案确定联动机制如下：</w:t>
      </w:r>
    </w:p>
    <w:p>
      <w:pPr>
        <w:spacing w:line="360" w:lineRule="auto"/>
        <w:ind w:firstLine="480" w:firstLineChars="200"/>
        <w:rPr>
          <w:rFonts w:eastAsiaTheme="minorEastAsia"/>
          <w:color w:val="FF0000"/>
          <w:sz w:val="24"/>
        </w:rPr>
      </w:pPr>
      <w:r>
        <w:rPr>
          <w:rFonts w:eastAsiaTheme="minorEastAsia"/>
          <w:color w:val="FF0000"/>
          <w:sz w:val="24"/>
        </w:rPr>
        <w:t>（1）与各应急救援联动单位保持联系，安排和落实专门值班人员，并确保24小时通讯畅通。一旦发生</w:t>
      </w:r>
      <w:r>
        <w:rPr>
          <w:rFonts w:hint="eastAsia" w:eastAsiaTheme="minorEastAsia"/>
          <w:color w:val="FF0000"/>
          <w:sz w:val="24"/>
        </w:rPr>
        <w:t>车间</w:t>
      </w:r>
      <w:r>
        <w:rPr>
          <w:rFonts w:eastAsiaTheme="minorEastAsia"/>
          <w:color w:val="FF0000"/>
          <w:sz w:val="24"/>
        </w:rPr>
        <w:t>级</w:t>
      </w:r>
      <w:r>
        <w:rPr>
          <w:rFonts w:hint="eastAsia" w:eastAsiaTheme="minorEastAsia"/>
          <w:color w:val="FF0000"/>
          <w:sz w:val="24"/>
        </w:rPr>
        <w:t>以上</w:t>
      </w:r>
      <w:r>
        <w:rPr>
          <w:rFonts w:eastAsiaTheme="minorEastAsia"/>
          <w:color w:val="FF0000"/>
          <w:sz w:val="24"/>
        </w:rPr>
        <w:t>突发环境事件，密切联系各应急救援联动单位迅速出动，赶赴现场实施应急处置。</w:t>
      </w:r>
    </w:p>
    <w:p>
      <w:pPr>
        <w:spacing w:line="360" w:lineRule="auto"/>
        <w:ind w:firstLine="480" w:firstLineChars="200"/>
        <w:rPr>
          <w:rFonts w:eastAsiaTheme="minorEastAsia"/>
          <w:color w:val="FF0000"/>
          <w:sz w:val="24"/>
        </w:rPr>
      </w:pPr>
      <w:r>
        <w:rPr>
          <w:rFonts w:eastAsiaTheme="minorEastAsia"/>
          <w:color w:val="FF0000"/>
          <w:sz w:val="24"/>
        </w:rPr>
        <w:t>（2）建立通讯联络手册，加强与应急救援联动部门的联系、沟通和合作。</w:t>
      </w:r>
    </w:p>
    <w:p>
      <w:pPr>
        <w:spacing w:line="360" w:lineRule="auto"/>
        <w:ind w:firstLine="480" w:firstLineChars="200"/>
        <w:rPr>
          <w:rFonts w:eastAsiaTheme="minorEastAsia"/>
          <w:color w:val="FF0000"/>
          <w:sz w:val="24"/>
        </w:rPr>
      </w:pPr>
      <w:r>
        <w:rPr>
          <w:rFonts w:eastAsiaTheme="minorEastAsia"/>
          <w:color w:val="FF0000"/>
          <w:sz w:val="24"/>
        </w:rPr>
        <w:t>（3）企业应加强应急培训和演练，并请相关部门和单位参与演练或者指导，提高应急联动的融合度和战斗力，以便及时、有效地处理突发环境事故。</w:t>
      </w:r>
    </w:p>
    <w:p>
      <w:pPr>
        <w:spacing w:line="360" w:lineRule="auto"/>
        <w:ind w:firstLine="480" w:firstLineChars="200"/>
        <w:rPr>
          <w:rFonts w:eastAsiaTheme="minorEastAsia"/>
          <w:color w:val="FF0000"/>
          <w:sz w:val="24"/>
        </w:rPr>
      </w:pPr>
      <w:r>
        <w:rPr>
          <w:rFonts w:eastAsiaTheme="minorEastAsia"/>
          <w:color w:val="FF0000"/>
          <w:sz w:val="24"/>
        </w:rPr>
        <w:t>（4）企业各部门根据应急处置流程和职责的要求，熟悉企业突发环境事故应急预案。</w:t>
      </w:r>
    </w:p>
    <w:p>
      <w:pPr>
        <w:spacing w:line="360" w:lineRule="auto"/>
        <w:ind w:firstLine="480" w:firstLineChars="200"/>
        <w:rPr>
          <w:rFonts w:eastAsiaTheme="minorEastAsia"/>
          <w:color w:val="FF0000"/>
          <w:sz w:val="24"/>
        </w:rPr>
      </w:pPr>
      <w:r>
        <w:rPr>
          <w:rFonts w:hint="eastAsia" w:eastAsiaTheme="minorEastAsia"/>
          <w:color w:val="FF0000"/>
          <w:sz w:val="24"/>
        </w:rPr>
        <w:t>（5）与内部生产安全事故预案相互支持，与地方人民政府环境应急预案有机衔接。</w:t>
      </w:r>
    </w:p>
    <w:p>
      <w:pPr>
        <w:spacing w:line="360" w:lineRule="auto"/>
        <w:ind w:firstLine="480" w:firstLineChars="200"/>
        <w:rPr>
          <w:rFonts w:eastAsiaTheme="minorEastAsia"/>
          <w:color w:val="FF0000"/>
          <w:sz w:val="24"/>
        </w:rPr>
      </w:pPr>
      <w:r>
        <w:rPr>
          <w:rFonts w:eastAsiaTheme="minorEastAsia"/>
          <w:color w:val="FF0000"/>
          <w:sz w:val="24"/>
        </w:rPr>
        <w:t>（</w:t>
      </w:r>
      <w:r>
        <w:rPr>
          <w:rFonts w:hint="eastAsia" w:eastAsiaTheme="minorEastAsia"/>
          <w:color w:val="FF0000"/>
          <w:sz w:val="24"/>
        </w:rPr>
        <w:t>6</w:t>
      </w:r>
      <w:r>
        <w:rPr>
          <w:rFonts w:eastAsiaTheme="minorEastAsia"/>
          <w:color w:val="FF0000"/>
          <w:sz w:val="24"/>
        </w:rPr>
        <w:t>）事故应急联动机制图：见图1.</w:t>
      </w:r>
      <w:r>
        <w:rPr>
          <w:rFonts w:hint="eastAsia" w:eastAsiaTheme="minorEastAsia"/>
          <w:color w:val="FF0000"/>
          <w:sz w:val="24"/>
        </w:rPr>
        <w:t>6</w:t>
      </w:r>
      <w:r>
        <w:rPr>
          <w:rFonts w:eastAsiaTheme="minorEastAsia"/>
          <w:color w:val="FF0000"/>
          <w:sz w:val="24"/>
        </w:rPr>
        <w:t>-1事故应急联动机制图、图1.</w:t>
      </w:r>
      <w:r>
        <w:rPr>
          <w:rFonts w:hint="eastAsia" w:eastAsiaTheme="minorEastAsia"/>
          <w:color w:val="FF0000"/>
          <w:sz w:val="24"/>
        </w:rPr>
        <w:t>6</w:t>
      </w:r>
      <w:r>
        <w:rPr>
          <w:rFonts w:eastAsiaTheme="minorEastAsia"/>
          <w:color w:val="FF0000"/>
          <w:sz w:val="24"/>
        </w:rPr>
        <w:t>-2应急预案关系联系图。</w:t>
      </w:r>
    </w:p>
    <w:p>
      <w:pPr>
        <w:pStyle w:val="58"/>
        <w:rPr>
          <w:rFonts w:ascii="宋体" w:cs="宋体"/>
          <w:color w:val="FF0000"/>
          <w:sz w:val="28"/>
          <w:szCs w:val="28"/>
        </w:rPr>
      </w:pPr>
      <w:r>
        <w:rPr>
          <w:color w:val="FF0000"/>
        </w:rPr>
        <w:drawing>
          <wp:inline distT="0" distB="0" distL="114300" distR="114300">
            <wp:extent cx="6259830" cy="3553460"/>
            <wp:effectExtent l="0" t="0" r="7620" b="8890"/>
            <wp:docPr id="17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2"/>
                    <pic:cNvPicPr>
                      <a:picLocks noChangeAspect="1"/>
                    </pic:cNvPicPr>
                  </pic:nvPicPr>
                  <pic:blipFill>
                    <a:blip r:embed="rId18"/>
                    <a:stretch>
                      <a:fillRect/>
                    </a:stretch>
                  </pic:blipFill>
                  <pic:spPr>
                    <a:xfrm>
                      <a:off x="0" y="0"/>
                      <a:ext cx="6259830" cy="3553460"/>
                    </a:xfrm>
                    <a:prstGeom prst="rect">
                      <a:avLst/>
                    </a:prstGeom>
                    <a:noFill/>
                    <a:ln>
                      <a:noFill/>
                    </a:ln>
                  </pic:spPr>
                </pic:pic>
              </a:graphicData>
            </a:graphic>
          </wp:inline>
        </w:drawing>
      </w:r>
    </w:p>
    <w:p>
      <w:pPr>
        <w:jc w:val="center"/>
        <w:rPr>
          <w:b/>
          <w:color w:val="FF0000"/>
          <w:sz w:val="24"/>
          <w:szCs w:val="24"/>
        </w:rPr>
      </w:pPr>
      <w:r>
        <w:rPr>
          <w:b/>
          <w:color w:val="FF0000"/>
          <w:sz w:val="24"/>
          <w:szCs w:val="24"/>
        </w:rPr>
        <w:t>图1.</w:t>
      </w:r>
      <w:r>
        <w:rPr>
          <w:rFonts w:hint="eastAsia"/>
          <w:b/>
          <w:color w:val="FF0000"/>
          <w:sz w:val="24"/>
          <w:szCs w:val="24"/>
          <w:lang w:val="en-US" w:eastAsia="zh-CN"/>
        </w:rPr>
        <w:t>7</w:t>
      </w:r>
      <w:r>
        <w:rPr>
          <w:b/>
          <w:color w:val="FF0000"/>
          <w:sz w:val="24"/>
          <w:szCs w:val="24"/>
        </w:rPr>
        <w:t>-1</w:t>
      </w:r>
      <w:r>
        <w:rPr>
          <w:rFonts w:hint="eastAsia"/>
          <w:b/>
          <w:color w:val="FF0000"/>
          <w:sz w:val="24"/>
          <w:szCs w:val="24"/>
        </w:rPr>
        <w:t xml:space="preserve"> </w:t>
      </w:r>
      <w:r>
        <w:rPr>
          <w:b/>
          <w:color w:val="FF0000"/>
          <w:sz w:val="24"/>
          <w:szCs w:val="24"/>
        </w:rPr>
        <w:t>事故应急联动机制图</w:t>
      </w:r>
    </w:p>
    <w:p>
      <w:pPr>
        <w:pStyle w:val="58"/>
        <w:rPr>
          <w:color w:val="FF0000"/>
        </w:rPr>
      </w:pPr>
    </w:p>
    <w:p>
      <w:pPr>
        <w:pStyle w:val="58"/>
        <w:rPr>
          <w:color w:val="FF0000"/>
        </w:rPr>
      </w:pPr>
    </w:p>
    <w:p>
      <w:pPr>
        <w:pStyle w:val="58"/>
        <w:rPr>
          <w:color w:val="FF0000"/>
        </w:rPr>
      </w:pPr>
      <w:commentRangeStart w:id="0"/>
      <w:r>
        <w:rPr>
          <w:color w:val="FF0000"/>
        </w:rPr>
        <mc:AlternateContent>
          <mc:Choice Requires="wpc">
            <w:drawing>
              <wp:inline distT="0" distB="0" distL="114300" distR="114300">
                <wp:extent cx="5507990" cy="2945130"/>
                <wp:effectExtent l="0" t="0" r="0" b="7620"/>
                <wp:docPr id="6" name="画布 93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9" name="自选图形 934"/>
                        <wps:cNvSpPr/>
                        <wps:spPr>
                          <a:xfrm>
                            <a:off x="3568700" y="1000125"/>
                            <a:ext cx="1818640" cy="128968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bodyPr vert="horz" anchor="t" anchorCtr="0" upright="1"/>
                      </wps:wsp>
                      <wps:wsp>
                        <wps:cNvPr id="10" name="自选图形 935"/>
                        <wps:cNvSpPr/>
                        <wps:spPr>
                          <a:xfrm>
                            <a:off x="1910080" y="41910"/>
                            <a:ext cx="1522730" cy="77660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r>
                                <w:rPr>
                                  <w:rFonts w:hint="eastAsia"/>
                                  <w:lang w:val="en-US" w:eastAsia="zh-CN"/>
                                </w:rPr>
                                <w:t>袁州</w:t>
                              </w:r>
                              <w:r>
                                <w:rPr>
                                  <w:rFonts w:hint="eastAsia"/>
                                </w:rPr>
                                <w:t>区政府、</w:t>
                              </w:r>
                              <w:r>
                                <w:rPr>
                                  <w:rFonts w:hint="eastAsia"/>
                                  <w:lang w:val="en-US" w:eastAsia="zh-CN"/>
                                </w:rPr>
                                <w:t>宜春市袁州生态环境</w:t>
                              </w:r>
                              <w:r>
                                <w:rPr>
                                  <w:rFonts w:hint="eastAsia"/>
                                </w:rPr>
                                <w:t>局突发环境事件应急预案</w:t>
                              </w:r>
                            </w:p>
                          </w:txbxContent>
                        </wps:txbx>
                        <wps:bodyPr vert="horz" anchor="t" anchorCtr="0" upright="1"/>
                      </wps:wsp>
                      <wps:wsp>
                        <wps:cNvPr id="11" name="自选图形 936"/>
                        <wps:cNvSpPr/>
                        <wps:spPr>
                          <a:xfrm>
                            <a:off x="2048510" y="1308735"/>
                            <a:ext cx="1080135" cy="52197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r>
                                <w:rPr>
                                  <w:rFonts w:hint="eastAsia"/>
                                </w:rPr>
                                <w:t>公司突发环境事件应急预案</w:t>
                              </w:r>
                            </w:p>
                          </w:txbxContent>
                        </wps:txbx>
                        <wps:bodyPr vert="horz" anchor="t" anchorCtr="0" upright="1"/>
                      </wps:wsp>
                      <wps:wsp>
                        <wps:cNvPr id="12" name="自选图形 937"/>
                        <wps:cNvSpPr/>
                        <wps:spPr>
                          <a:xfrm>
                            <a:off x="1069340" y="2360930"/>
                            <a:ext cx="1360170" cy="52133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r>
                                <w:rPr>
                                  <w:rFonts w:hint="eastAsia"/>
                                </w:rPr>
                                <w:t>泄漏、火灾、爆炸专项环境应急预案</w:t>
                              </w:r>
                            </w:p>
                          </w:txbxContent>
                        </wps:txbx>
                        <wps:bodyPr vert="horz" anchor="t" anchorCtr="0" upright="1"/>
                      </wps:wsp>
                      <wps:wsp>
                        <wps:cNvPr id="13" name="自选图形 938"/>
                        <wps:cNvSpPr/>
                        <wps:spPr>
                          <a:xfrm>
                            <a:off x="2931160" y="2444750"/>
                            <a:ext cx="1080135" cy="353060"/>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r>
                                <w:rPr>
                                  <w:rFonts w:hint="eastAsia"/>
                                </w:rPr>
                                <w:t>现场处置方案</w:t>
                              </w:r>
                            </w:p>
                          </w:txbxContent>
                        </wps:txbx>
                        <wps:bodyPr vert="horz" anchor="t" anchorCtr="0" upright="1"/>
                      </wps:wsp>
                      <wps:wsp>
                        <wps:cNvPr id="14" name="自选图形 939"/>
                        <wps:cNvSpPr/>
                        <wps:spPr>
                          <a:xfrm>
                            <a:off x="371475" y="1308735"/>
                            <a:ext cx="1113790" cy="52133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r>
                                <w:rPr>
                                  <w:rFonts w:hint="eastAsia"/>
                                </w:rPr>
                                <w:t>公司生产安全事故应急预案</w:t>
                              </w:r>
                            </w:p>
                          </w:txbxContent>
                        </wps:txbx>
                        <wps:bodyPr vert="horz" anchor="t" anchorCtr="0" upright="1"/>
                      </wps:wsp>
                      <wps:wsp>
                        <wps:cNvPr id="29" name="自选图形 940"/>
                        <wps:cNvCnPr/>
                        <wps:spPr>
                          <a:xfrm flipH="1">
                            <a:off x="2588895" y="818515"/>
                            <a:ext cx="1905" cy="490220"/>
                          </a:xfrm>
                          <a:prstGeom prst="straightConnector1">
                            <a:avLst/>
                          </a:prstGeom>
                          <a:ln w="9525" cap="flat" cmpd="sng">
                            <a:solidFill>
                              <a:srgbClr val="000000"/>
                            </a:solidFill>
                            <a:prstDash val="solid"/>
                            <a:headEnd type="none" w="med" len="med"/>
                            <a:tailEnd type="none" w="med" len="med"/>
                          </a:ln>
                        </wps:spPr>
                        <wps:bodyPr/>
                      </wps:wsp>
                      <wps:wsp>
                        <wps:cNvPr id="30" name="自选图形 941"/>
                        <wps:cNvCnPr/>
                        <wps:spPr>
                          <a:xfrm>
                            <a:off x="3128645" y="1569720"/>
                            <a:ext cx="440055" cy="4445"/>
                          </a:xfrm>
                          <a:prstGeom prst="straightConnector1">
                            <a:avLst/>
                          </a:prstGeom>
                          <a:ln w="9525" cap="flat" cmpd="sng">
                            <a:solidFill>
                              <a:srgbClr val="000000"/>
                            </a:solidFill>
                            <a:prstDash val="solid"/>
                            <a:headEnd type="none" w="med" len="med"/>
                            <a:tailEnd type="none" w="med" len="med"/>
                          </a:ln>
                        </wps:spPr>
                        <wps:bodyPr/>
                      </wps:wsp>
                      <wps:wsp>
                        <wps:cNvPr id="31" name="自选图形 942"/>
                        <wps:cNvCnPr/>
                        <wps:spPr>
                          <a:xfrm flipH="1">
                            <a:off x="1485265" y="1569720"/>
                            <a:ext cx="563245" cy="635"/>
                          </a:xfrm>
                          <a:prstGeom prst="straightConnector1">
                            <a:avLst/>
                          </a:prstGeom>
                          <a:ln w="9525" cap="flat" cmpd="sng">
                            <a:solidFill>
                              <a:srgbClr val="000000"/>
                            </a:solidFill>
                            <a:prstDash val="solid"/>
                            <a:headEnd type="none" w="med" len="med"/>
                            <a:tailEnd type="none" w="med" len="med"/>
                          </a:ln>
                        </wps:spPr>
                        <wps:bodyPr/>
                      </wps:wsp>
                      <wps:wsp>
                        <wps:cNvPr id="32" name="自选图形 943"/>
                        <wps:cNvCnPr/>
                        <wps:spPr>
                          <a:xfrm>
                            <a:off x="2588895" y="1830705"/>
                            <a:ext cx="635" cy="285115"/>
                          </a:xfrm>
                          <a:prstGeom prst="straightConnector1">
                            <a:avLst/>
                          </a:prstGeom>
                          <a:ln w="9525" cap="flat" cmpd="sng">
                            <a:solidFill>
                              <a:srgbClr val="000000"/>
                            </a:solidFill>
                            <a:prstDash val="solid"/>
                            <a:headEnd type="none" w="med" len="med"/>
                            <a:tailEnd type="none" w="med" len="med"/>
                          </a:ln>
                        </wps:spPr>
                        <wps:bodyPr/>
                      </wps:wsp>
                      <wps:wsp>
                        <wps:cNvPr id="33" name="自选图形 944"/>
                        <wps:cNvCnPr/>
                        <wps:spPr>
                          <a:xfrm>
                            <a:off x="1750695" y="2115820"/>
                            <a:ext cx="1722755" cy="635"/>
                          </a:xfrm>
                          <a:prstGeom prst="straightConnector1">
                            <a:avLst/>
                          </a:prstGeom>
                          <a:ln w="9525" cap="flat" cmpd="sng">
                            <a:solidFill>
                              <a:srgbClr val="000000"/>
                            </a:solidFill>
                            <a:prstDash val="solid"/>
                            <a:headEnd type="none" w="med" len="med"/>
                            <a:tailEnd type="none" w="med" len="med"/>
                          </a:ln>
                        </wps:spPr>
                        <wps:bodyPr/>
                      </wps:wsp>
                      <wps:wsp>
                        <wps:cNvPr id="34" name="自选图形 945"/>
                        <wps:cNvCnPr/>
                        <wps:spPr>
                          <a:xfrm flipV="1">
                            <a:off x="1749425" y="2115820"/>
                            <a:ext cx="635" cy="245110"/>
                          </a:xfrm>
                          <a:prstGeom prst="straightConnector1">
                            <a:avLst/>
                          </a:prstGeom>
                          <a:ln w="9525" cap="flat" cmpd="sng">
                            <a:solidFill>
                              <a:srgbClr val="000000"/>
                            </a:solidFill>
                            <a:prstDash val="solid"/>
                            <a:headEnd type="none" w="med" len="med"/>
                            <a:tailEnd type="none" w="med" len="med"/>
                          </a:ln>
                        </wps:spPr>
                        <wps:bodyPr/>
                      </wps:wsp>
                      <wps:wsp>
                        <wps:cNvPr id="35" name="自选图形 946"/>
                        <wps:cNvCnPr/>
                        <wps:spPr>
                          <a:xfrm flipH="1" flipV="1">
                            <a:off x="3463290" y="2116455"/>
                            <a:ext cx="8255" cy="328295"/>
                          </a:xfrm>
                          <a:prstGeom prst="straightConnector1">
                            <a:avLst/>
                          </a:prstGeom>
                          <a:ln w="9525" cap="flat" cmpd="sng">
                            <a:solidFill>
                              <a:srgbClr val="000000"/>
                            </a:solidFill>
                            <a:prstDash val="solid"/>
                            <a:headEnd type="none" w="med" len="med"/>
                            <a:tailEnd type="none" w="med" len="med"/>
                          </a:ln>
                        </wps:spPr>
                        <wps:bodyPr/>
                      </wps:wsp>
                      <wps:wsp>
                        <wps:cNvPr id="36" name="文本框 947"/>
                        <wps:cNvSpPr txBox="1"/>
                        <wps:spPr>
                          <a:xfrm>
                            <a:off x="3604895" y="1073150"/>
                            <a:ext cx="1719580" cy="1073150"/>
                          </a:xfrm>
                          <a:prstGeom prst="rect">
                            <a:avLst/>
                          </a:prstGeom>
                          <a:solidFill>
                            <a:srgbClr val="FFFFFF"/>
                          </a:solidFill>
                          <a:ln>
                            <a:noFill/>
                          </a:ln>
                        </wps:spPr>
                        <wps:txbx>
                          <w:txbxContent>
                            <w:p>
                              <w:pPr>
                                <w:jc w:val="center"/>
                                <w:rPr>
                                  <w:szCs w:val="21"/>
                                </w:rPr>
                              </w:pPr>
                              <w:r>
                                <w:rPr>
                                  <w:rFonts w:hint="eastAsia"/>
                                  <w:szCs w:val="21"/>
                                </w:rPr>
                                <w:t>社会援助：</w:t>
                              </w:r>
                            </w:p>
                            <w:p>
                              <w:pPr>
                                <w:pStyle w:val="58"/>
                                <w:rPr>
                                  <w:sz w:val="21"/>
                                  <w:szCs w:val="21"/>
                                </w:rPr>
                              </w:pPr>
                              <w:r>
                                <w:rPr>
                                  <w:rFonts w:hint="eastAsia"/>
                                  <w:sz w:val="21"/>
                                  <w:szCs w:val="21"/>
                                  <w:lang w:val="en-US" w:eastAsia="zh-CN"/>
                                </w:rPr>
                                <w:t>袁州</w:t>
                              </w:r>
                              <w:r>
                                <w:rPr>
                                  <w:rFonts w:hint="eastAsia"/>
                                  <w:sz w:val="21"/>
                                  <w:szCs w:val="21"/>
                                </w:rPr>
                                <w:t>区</w:t>
                              </w:r>
                              <w:r>
                                <w:rPr>
                                  <w:rFonts w:hint="eastAsia"/>
                                  <w:sz w:val="21"/>
                                  <w:szCs w:val="21"/>
                                  <w:lang w:eastAsia="zh-CN"/>
                                </w:rPr>
                                <w:t>应急管理</w:t>
                              </w:r>
                              <w:r>
                                <w:rPr>
                                  <w:rFonts w:hint="eastAsia"/>
                                  <w:sz w:val="21"/>
                                  <w:szCs w:val="21"/>
                                </w:rPr>
                                <w:t>局，</w:t>
                              </w:r>
                              <w:r>
                                <w:rPr>
                                  <w:rFonts w:hint="eastAsia"/>
                                  <w:sz w:val="21"/>
                                  <w:szCs w:val="21"/>
                                  <w:lang w:val="en-US" w:eastAsia="zh-CN"/>
                                </w:rPr>
                                <w:t>袁州</w:t>
                              </w:r>
                              <w:r>
                                <w:rPr>
                                  <w:rFonts w:hint="eastAsia"/>
                                  <w:sz w:val="21"/>
                                  <w:szCs w:val="21"/>
                                </w:rPr>
                                <w:t>区消防</w:t>
                              </w:r>
                              <w:r>
                                <w:rPr>
                                  <w:rFonts w:hint="eastAsia"/>
                                  <w:sz w:val="21"/>
                                  <w:szCs w:val="21"/>
                                  <w:lang w:eastAsia="zh-CN"/>
                                </w:rPr>
                                <w:t>救援</w:t>
                              </w:r>
                              <w:r>
                                <w:rPr>
                                  <w:rFonts w:hint="eastAsia"/>
                                  <w:sz w:val="21"/>
                                  <w:szCs w:val="21"/>
                                </w:rPr>
                                <w:t>大队，相邻企业、协作应急监测机构，其协作单位</w:t>
                              </w:r>
                            </w:p>
                          </w:txbxContent>
                        </wps:txbx>
                        <wps:bodyPr vert="horz" anchor="t" anchorCtr="0" upright="1"/>
                      </wps:wsp>
                    </wpc:wpc>
                  </a:graphicData>
                </a:graphic>
              </wp:inline>
            </w:drawing>
          </mc:Choice>
          <mc:Fallback>
            <w:pict>
              <v:group id="画布 932" o:spid="_x0000_s1026" o:spt="203" style="height:231.9pt;width:433.7pt;" coordsize="5507990,2945130" editas="canvas" o:gfxdata="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">
                <o:lock v:ext="edit" aspectratio="f"/>
                <v:shape id="画布 932" o:spid="_x0000_s1026" style="position:absolute;left:0;top:0;height:2945130;width:5507990;" filled="f" stroked="f" coordsize="21600,21600" o:gfxdata="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">
                  <v:fill on="f" focussize="0,0"/>
                  <v:stroke on="f"/>
                  <v:imagedata o:title=""/>
                  <o:lock v:ext="edit" aspectratio="t"/>
                </v:shape>
                <v:roundrect id="自选图形 934" o:spid="_x0000_s1026" o:spt="2" style="position:absolute;left:3568700;top:1000125;height:1289685;width:1818640;" fillcolor="#FFFFFF" filled="t" stroked="t" coordsize="21600,21600" arcsize="0.166666666666667" o:gfxdata="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B4XCWDTAAAABQEAAA8AAAAAAAAAAQAgAAAAIgAAAGRycy9k&#10;b3ducmV2LnhtbFBLAQIUABQAAAAIAIdO4kBRSJCdQAIAAH8EAAAOAAAAAAAAAAEAIAAAACIBAABk&#10;cnMvZTJvRG9jLnhtbFBLBQYAAAAABgAGAFkBAADUBQAAAAA=&#10;">
                  <v:fill on="t" focussize="0,0"/>
                  <v:stroke color="#000000" joinstyle="round"/>
                  <v:imagedata o:title=""/>
                  <o:lock v:ext="edit" aspectratio="f"/>
                </v:roundrect>
                <v:roundrect id="自选图形 935" o:spid="_x0000_s1026" o:spt="2" style="position:absolute;left:1910080;top:41910;height:776605;width:1522730;" fillcolor="#FFFFFF" filled="t" stroked="t" coordsize="21600,21600" arcsize="0.166666666666667" o:gfxdata="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eFwlg0wAAAAUBAAAPAAAAAAAAAAEAIAAAACIAAABkcnMv&#10;ZG93bnJldi54bWxQSwECFAAUAAAACACHTuJAogjlH0ECAACIBAAADgAAAAAAAAABACAAAAAiAQAA&#10;ZHJzL2Uyb0RvYy54bWxQSwUGAAAAAAYABgBZAQAA1QUAAAAA&#10;">
                  <v:fill on="t" focussize="0,0"/>
                  <v:stroke color="#000000" joinstyle="round"/>
                  <v:imagedata o:title=""/>
                  <o:lock v:ext="edit" aspectratio="f"/>
                  <v:textbox>
                    <w:txbxContent>
                      <w:p>
                        <w:r>
                          <w:rPr>
                            <w:rFonts w:hint="eastAsia"/>
                            <w:lang w:val="en-US" w:eastAsia="zh-CN"/>
                          </w:rPr>
                          <w:t>袁州</w:t>
                        </w:r>
                        <w:r>
                          <w:rPr>
                            <w:rFonts w:hint="eastAsia"/>
                          </w:rPr>
                          <w:t>区政府、</w:t>
                        </w:r>
                        <w:r>
                          <w:rPr>
                            <w:rFonts w:hint="eastAsia"/>
                            <w:lang w:val="en-US" w:eastAsia="zh-CN"/>
                          </w:rPr>
                          <w:t>宜春市袁州生态环境</w:t>
                        </w:r>
                        <w:r>
                          <w:rPr>
                            <w:rFonts w:hint="eastAsia"/>
                          </w:rPr>
                          <w:t>局突发环境事件应急预案</w:t>
                        </w:r>
                      </w:p>
                    </w:txbxContent>
                  </v:textbox>
                </v:roundrect>
                <v:roundrect id="自选图形 936" o:spid="_x0000_s1026" o:spt="2" style="position:absolute;left:2048510;top:1308735;height:521970;width:1080135;" fillcolor="#FFFFFF" filled="t" stroked="t" coordsize="21600,21600" arcsize="0.166666666666667" o:gfxdata="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HhcJYNMAAAAFAQAADwAAAAAAAAABACAAAAAiAAAA&#10;ZHJzL2Rvd25yZXYueG1sUEsBAhQAFAAAAAgAh07iQMpkShNFAgAAigQAAA4AAAAAAAAAAQAgAAAA&#10;IgEAAGRycy9lMm9Eb2MueG1sUEsFBgAAAAAGAAYAWQEAANkFAAAAAA==&#10;">
                  <v:fill on="t" focussize="0,0"/>
                  <v:stroke color="#000000" joinstyle="round"/>
                  <v:imagedata o:title=""/>
                  <o:lock v:ext="edit" aspectratio="f"/>
                  <v:textbox>
                    <w:txbxContent>
                      <w:p>
                        <w:r>
                          <w:rPr>
                            <w:rFonts w:hint="eastAsia"/>
                          </w:rPr>
                          <w:t>公司突发环境事件应急预案</w:t>
                        </w:r>
                      </w:p>
                    </w:txbxContent>
                  </v:textbox>
                </v:roundrect>
                <v:roundrect id="自选图形 937" o:spid="_x0000_s1026" o:spt="2" style="position:absolute;left:1069340;top:2360930;height:521335;width:1360170;" fillcolor="#FFFFFF" filled="t" stroked="t" coordsize="21600,21600" arcsize="0.166666666666667" o:gfxdata="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&#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B4XCWDTAAAABQEAAA8AAAAAAAAAAQAgAAAAIgAAAGRy&#10;cy9kb3ducmV2LnhtbFBLAQIUABQAAAAIAIdO4kCrjWI1QwIAAIoEAAAOAAAAAAAAAAEAIAAAACIB&#10;AABkcnMvZTJvRG9jLnhtbFBLBQYAAAAABgAGAFkBAADXBQAAAAA=&#10;">
                  <v:fill on="t" focussize="0,0"/>
                  <v:stroke color="#000000" joinstyle="round"/>
                  <v:imagedata o:title=""/>
                  <o:lock v:ext="edit" aspectratio="f"/>
                  <v:textbox>
                    <w:txbxContent>
                      <w:p>
                        <w:r>
                          <w:rPr>
                            <w:rFonts w:hint="eastAsia"/>
                          </w:rPr>
                          <w:t>泄漏、火灾、爆炸专项环境应急预案</w:t>
                        </w:r>
                      </w:p>
                    </w:txbxContent>
                  </v:textbox>
                </v:roundrect>
                <v:roundrect id="自选图形 938" o:spid="_x0000_s1026" o:spt="2" style="position:absolute;left:2931160;top:2444750;height:353060;width:1080135;" fillcolor="#FFFFFF" filled="t" stroked="t" coordsize="21600,21600" arcsize="0.166666666666667" o:gfxdata="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eFwlg0wAAAAUBAAAPAAAAAAAAAAEAIAAAACIAAABk&#10;cnMvZG93bnJldi54bWxQSwECFAAUAAAACACHTuJAHobyuUQCAACKBAAADgAAAAAAAAABACAAAAAi&#10;AQAAZHJzL2Uyb0RvYy54bWxQSwUGAAAAAAYABgBZAQAA2AUAAAAA&#10;">
                  <v:fill on="t" focussize="0,0"/>
                  <v:stroke color="#000000" joinstyle="round"/>
                  <v:imagedata o:title=""/>
                  <o:lock v:ext="edit" aspectratio="f"/>
                  <v:textbox>
                    <w:txbxContent>
                      <w:p>
                        <w:r>
                          <w:rPr>
                            <w:rFonts w:hint="eastAsia"/>
                          </w:rPr>
                          <w:t>现场处置方案</w:t>
                        </w:r>
                      </w:p>
                    </w:txbxContent>
                  </v:textbox>
                </v:roundrect>
                <v:roundrect id="自选图形 939" o:spid="_x0000_s1026" o:spt="2" style="position:absolute;left:371475;top:1308735;height:521335;width:1113790;" fillcolor="#FFFFFF" filled="t" stroked="t" coordsize="21600,21600" arcsize="0.166666666666667" o:gfxdata="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eFwlg0wAAAAUBAAAPAAAAAAAAAAEAIAAAACIAAABk&#10;cnMvZG93bnJldi54bWxQSwECFAAUAAAACACHTuJANalS/kQCAACJBAAADgAAAAAAAAABACAAAAAi&#10;AQAAZHJzL2Uyb0RvYy54bWxQSwUGAAAAAAYABgBZAQAA2AUAAAAA&#10;">
                  <v:fill on="t" focussize="0,0"/>
                  <v:stroke color="#000000" joinstyle="round"/>
                  <v:imagedata o:title=""/>
                  <o:lock v:ext="edit" aspectratio="f"/>
                  <v:textbox>
                    <w:txbxContent>
                      <w:p>
                        <w:r>
                          <w:rPr>
                            <w:rFonts w:hint="eastAsia"/>
                          </w:rPr>
                          <w:t>公司生产安全事故应急预案</w:t>
                        </w:r>
                      </w:p>
                    </w:txbxContent>
                  </v:textbox>
                </v:roundrect>
                <v:shape id="自选图形 940" o:spid="_x0000_s1026" o:spt="32" type="#_x0000_t32" style="position:absolute;left:2588895;top:818515;flip:x;height:490220;width:1905;" filled="f" stroked="t" coordsize="21600,21600" o:gfxdata="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WSgdQAAAAFAQAADwAAAAAAAAABACAAAAAiAAAA&#10;ZHJzL2Rvd25yZXYueG1sUEsBAhQAFAAAAAgAh07iQFQdLUULAgAA/QMAAA4AAAAAAAAAAQAgAAAA&#10;IwEAAGRycy9lMm9Eb2MueG1sUEsFBgAAAAAGAAYAWQEAAKAFAAAAAA==&#10;">
                  <v:fill on="f" focussize="0,0"/>
                  <v:stroke color="#000000" joinstyle="round"/>
                  <v:imagedata o:title=""/>
                  <o:lock v:ext="edit" aspectratio="f"/>
                </v:shape>
                <v:shape id="自选图形 941" o:spid="_x0000_s1026" o:spt="32" type="#_x0000_t32" style="position:absolute;left:3128645;top:1569720;height:4445;width:440055;" filled="f" stroked="t" coordsize="21600,21600" o:gfxdata="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EY1BrbWAAAABQEAAA8AAAAAAAAAAQAgAAAAIgAAAGRycy9k&#10;b3ducmV2LnhtbFBLAQIUABQAAAAIAIdO4kBjYk6kBAIAAPQDAAAOAAAAAAAAAAEAIAAAACUBAABk&#10;cnMvZTJvRG9jLnhtbFBLBQYAAAAABgAGAFkBAACbBQAAAAA=&#10;">
                  <v:fill on="f" focussize="0,0"/>
                  <v:stroke color="#000000" joinstyle="round"/>
                  <v:imagedata o:title=""/>
                  <o:lock v:ext="edit" aspectratio="f"/>
                </v:shape>
                <v:shape id="自选图形 942" o:spid="_x0000_s1026" o:spt="32" type="#_x0000_t32" style="position:absolute;left:1485265;top:1569720;flip:x;height:635;width:563245;" filled="f" stroked="t" coordsize="21600,21600" o:gfxdata="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75ZKB1AAAAAUBAAAPAAAAAAAAAAEAIAAAACIAAABk&#10;cnMvZG93bnJldi54bWxQSwECFAAUAAAACACHTuJAu3OP9QoCAAD9AwAADgAAAAAAAAABACAAAAAj&#10;AQAAZHJzL2Uyb0RvYy54bWxQSwUGAAAAAAYABgBZAQAAnwUAAAAA&#10;">
                  <v:fill on="f" focussize="0,0"/>
                  <v:stroke color="#000000" joinstyle="round"/>
                  <v:imagedata o:title=""/>
                  <o:lock v:ext="edit" aspectratio="f"/>
                </v:shape>
                <v:shape id="自选图形 943" o:spid="_x0000_s1026" o:spt="32" type="#_x0000_t32" style="position:absolute;left:2588895;top:1830705;height:285115;width:635;" filled="f" stroked="t" coordsize="21600,21600" o:gfxdata="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GNQa21gAAAAUBAAAPAAAAAAAAAAEAIAAAACIAAABk&#10;cnMvZG93bnJldi54bWxQSwECFAAUAAAACACHTuJAtxb9bQgCAADzAwAADgAAAAAAAAABACAAAAAl&#10;AQAAZHJzL2Uyb0RvYy54bWxQSwUGAAAAAAYABgBZAQAAnwUAAAAA&#10;">
                  <v:fill on="f" focussize="0,0"/>
                  <v:stroke color="#000000" joinstyle="round"/>
                  <v:imagedata o:title=""/>
                  <o:lock v:ext="edit" aspectratio="f"/>
                </v:shape>
                <v:shape id="自选图形 944" o:spid="_x0000_s1026" o:spt="32" type="#_x0000_t32" style="position:absolute;left:1750695;top:2115820;height:635;width:1722755;" filled="f" stroked="t" coordsize="21600,21600" o:gfxdata="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EY1BrbWAAAABQEAAA8AAAAAAAAAAQAgAAAAIgAAAGRycy9k&#10;b3ducmV2LnhtbFBLAQIUABQAAAAIAIdO4kAQ8XD+BAIAAPQDAAAOAAAAAAAAAAEAIAAAACUBAABk&#10;cnMvZTJvRG9jLnhtbFBLBQYAAAAABgAGAFkBAACbBQAAAAA=&#10;">
                  <v:fill on="f" focussize="0,0"/>
                  <v:stroke color="#000000" joinstyle="round"/>
                  <v:imagedata o:title=""/>
                  <o:lock v:ext="edit" aspectratio="f"/>
                </v:shape>
                <v:shape id="自选图形 945" o:spid="_x0000_s1026" o:spt="32" type="#_x0000_t32" style="position:absolute;left:1749425;top:2115820;flip:y;height:245110;width:635;" filled="f" stroked="t" coordsize="21600,21600" o:gfxdata="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PvlkoHUAAAABQEAAA8AAAAAAAAAAQAgAAAAIgAA&#10;AGRycy9kb3ducmV2LnhtbFBLAQIUABQAAAAIAIdO4kBusrCwDAIAAP0DAAAOAAAAAAAAAAEAIAAA&#10;ACMBAABkcnMvZTJvRG9jLnhtbFBLBQYAAAAABgAGAFkBAAChBQAAAAA=&#10;">
                  <v:fill on="f" focussize="0,0"/>
                  <v:stroke color="#000000" joinstyle="round"/>
                  <v:imagedata o:title=""/>
                  <o:lock v:ext="edit" aspectratio="f"/>
                </v:shape>
                <v:shape id="自选图形 946" o:spid="_x0000_s1026" o:spt="32" type="#_x0000_t32" style="position:absolute;left:3463290;top:2116455;flip:x y;height:328295;width:8255;" filled="f" stroked="t" coordsize="21600,21600" o:gfxdata="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Buw8h1QAAAAUBAAAPAAAAAAAAAAEA&#10;IAAAACIAAABkcnMvZG93bnJldi54bWxQSwECFAAUAAAACACHTuJAdV44VxICAAAIBAAADgAAAAAA&#10;AAABACAAAAAkAQAAZHJzL2Uyb0RvYy54bWxQSwUGAAAAAAYABgBZAQAAqAUAAAAA&#10;">
                  <v:fill on="f" focussize="0,0"/>
                  <v:stroke color="#000000" joinstyle="round"/>
                  <v:imagedata o:title=""/>
                  <o:lock v:ext="edit" aspectratio="f"/>
                </v:shape>
                <v:shape id="文本框 947" o:spid="_x0000_s1026" o:spt="202" type="#_x0000_t202" style="position:absolute;left:3604895;top:1073150;height:1073150;width:1719580;" fillcolor="#FFFFFF" filled="t" stroked="f" coordsize="21600,21600" o:gfxdata="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NErpV9UAAAAFAQAADwAA&#10;AAAAAAABACAAAAAiAAAAZHJzL2Rvd25yZXYueG1sUEsBAhQAFAAAAAgAh07iQCtkDzDgAQAArAMA&#10;AA4AAAAAAAAAAQAgAAAAJAEAAGRycy9lMm9Eb2MueG1sUEsFBgAAAAAGAAYAWQEAAHYFAAAAAA==&#10;">
                  <v:fill on="t" focussize="0,0"/>
                  <v:stroke on="f"/>
                  <v:imagedata o:title=""/>
                  <o:lock v:ext="edit" aspectratio="f"/>
                  <v:textbox>
                    <w:txbxContent>
                      <w:p>
                        <w:pPr>
                          <w:jc w:val="center"/>
                          <w:rPr>
                            <w:szCs w:val="21"/>
                          </w:rPr>
                        </w:pPr>
                        <w:r>
                          <w:rPr>
                            <w:rFonts w:hint="eastAsia"/>
                            <w:szCs w:val="21"/>
                          </w:rPr>
                          <w:t>社会援助：</w:t>
                        </w:r>
                      </w:p>
                      <w:p>
                        <w:pPr>
                          <w:pStyle w:val="58"/>
                          <w:rPr>
                            <w:sz w:val="21"/>
                            <w:szCs w:val="21"/>
                          </w:rPr>
                        </w:pPr>
                        <w:r>
                          <w:rPr>
                            <w:rFonts w:hint="eastAsia"/>
                            <w:sz w:val="21"/>
                            <w:szCs w:val="21"/>
                            <w:lang w:val="en-US" w:eastAsia="zh-CN"/>
                          </w:rPr>
                          <w:t>袁州</w:t>
                        </w:r>
                        <w:r>
                          <w:rPr>
                            <w:rFonts w:hint="eastAsia"/>
                            <w:sz w:val="21"/>
                            <w:szCs w:val="21"/>
                          </w:rPr>
                          <w:t>区</w:t>
                        </w:r>
                        <w:r>
                          <w:rPr>
                            <w:rFonts w:hint="eastAsia"/>
                            <w:sz w:val="21"/>
                            <w:szCs w:val="21"/>
                            <w:lang w:eastAsia="zh-CN"/>
                          </w:rPr>
                          <w:t>应急管理</w:t>
                        </w:r>
                        <w:r>
                          <w:rPr>
                            <w:rFonts w:hint="eastAsia"/>
                            <w:sz w:val="21"/>
                            <w:szCs w:val="21"/>
                          </w:rPr>
                          <w:t>局，</w:t>
                        </w:r>
                        <w:r>
                          <w:rPr>
                            <w:rFonts w:hint="eastAsia"/>
                            <w:sz w:val="21"/>
                            <w:szCs w:val="21"/>
                            <w:lang w:val="en-US" w:eastAsia="zh-CN"/>
                          </w:rPr>
                          <w:t>袁州</w:t>
                        </w:r>
                        <w:r>
                          <w:rPr>
                            <w:rFonts w:hint="eastAsia"/>
                            <w:sz w:val="21"/>
                            <w:szCs w:val="21"/>
                          </w:rPr>
                          <w:t>区消防</w:t>
                        </w:r>
                        <w:r>
                          <w:rPr>
                            <w:rFonts w:hint="eastAsia"/>
                            <w:sz w:val="21"/>
                            <w:szCs w:val="21"/>
                            <w:lang w:eastAsia="zh-CN"/>
                          </w:rPr>
                          <w:t>救援</w:t>
                        </w:r>
                        <w:r>
                          <w:rPr>
                            <w:rFonts w:hint="eastAsia"/>
                            <w:sz w:val="21"/>
                            <w:szCs w:val="21"/>
                          </w:rPr>
                          <w:t>大队，相邻企业、协作应急监测机构，其协作单位</w:t>
                        </w:r>
                      </w:p>
                    </w:txbxContent>
                  </v:textbox>
                </v:shape>
                <w10:wrap type="none"/>
                <w10:anchorlock/>
              </v:group>
            </w:pict>
          </mc:Fallback>
        </mc:AlternateContent>
      </w:r>
      <w:commentRangeEnd w:id="0"/>
      <w:r>
        <w:commentReference w:id="0"/>
      </w:r>
    </w:p>
    <w:p>
      <w:pPr>
        <w:adjustRightInd w:val="0"/>
        <w:snapToGrid w:val="0"/>
        <w:spacing w:line="360" w:lineRule="auto"/>
        <w:ind w:firstLine="570"/>
        <w:jc w:val="center"/>
        <w:rPr>
          <w:rFonts w:ascii="宋体" w:hAnsi="宋体" w:cs="宋体"/>
          <w:color w:val="FF0000"/>
          <w:sz w:val="24"/>
          <w:highlight w:val="none"/>
        </w:rPr>
      </w:pPr>
      <w:r>
        <w:rPr>
          <w:b/>
          <w:color w:val="FF0000"/>
          <w:sz w:val="24"/>
          <w:szCs w:val="24"/>
        </w:rPr>
        <w:t>图1.</w:t>
      </w:r>
      <w:r>
        <w:rPr>
          <w:rFonts w:hint="eastAsia"/>
          <w:b/>
          <w:color w:val="FF0000"/>
          <w:sz w:val="24"/>
          <w:szCs w:val="24"/>
        </w:rPr>
        <w:t>6</w:t>
      </w:r>
      <w:r>
        <w:rPr>
          <w:b/>
          <w:color w:val="FF0000"/>
          <w:sz w:val="24"/>
          <w:szCs w:val="24"/>
        </w:rPr>
        <w:t>-</w:t>
      </w:r>
      <w:r>
        <w:rPr>
          <w:rFonts w:hint="eastAsia"/>
          <w:b/>
          <w:color w:val="FF0000"/>
          <w:sz w:val="24"/>
          <w:szCs w:val="24"/>
        </w:rPr>
        <w:t xml:space="preserve">2 </w:t>
      </w:r>
      <w:r>
        <w:rPr>
          <w:b/>
          <w:color w:val="FF0000"/>
          <w:sz w:val="24"/>
          <w:szCs w:val="24"/>
        </w:rPr>
        <w:t>应急预案关系联系图</w:t>
      </w:r>
      <w:r>
        <w:rPr>
          <w:rFonts w:hint="eastAsia" w:ascii="宋体" w:hAnsi="宋体" w:cs="宋体"/>
          <w:color w:val="FF0000"/>
          <w:sz w:val="24"/>
          <w:highlight w:val="none"/>
        </w:rPr>
        <w:t>。</w:t>
      </w:r>
    </w:p>
    <w:p>
      <w:pPr>
        <w:pStyle w:val="3"/>
        <w:rPr>
          <w:color w:val="000000" w:themeColor="text1"/>
          <w:highlight w:val="none"/>
          <w14:textFill>
            <w14:solidFill>
              <w14:schemeClr w14:val="tx1"/>
            </w14:solidFill>
          </w14:textFill>
        </w:rPr>
      </w:pPr>
      <w:bookmarkStart w:id="176" w:name="_Toc302370085"/>
      <w:bookmarkStart w:id="177" w:name="_Toc305769711"/>
      <w:bookmarkStart w:id="178" w:name="_Toc408503012"/>
      <w:bookmarkStart w:id="179" w:name="_Toc15380_WPSOffice_Level2"/>
      <w:bookmarkStart w:id="180" w:name="_Toc27859_WPSOffice_Level2"/>
      <w:bookmarkStart w:id="181" w:name="_Toc345416684"/>
      <w:bookmarkStart w:id="182" w:name="_Toc46857511"/>
      <w:bookmarkStart w:id="183" w:name="_Toc43202931"/>
      <w:bookmarkStart w:id="184" w:name="_Toc10236"/>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7</w:t>
      </w:r>
      <w:bookmarkEnd w:id="176"/>
      <w:bookmarkEnd w:id="177"/>
      <w:bookmarkEnd w:id="178"/>
      <w:bookmarkEnd w:id="179"/>
      <w:bookmarkEnd w:id="180"/>
      <w:bookmarkEnd w:id="181"/>
      <w:r>
        <w:rPr>
          <w:color w:val="000000" w:themeColor="text1"/>
          <w:highlight w:val="none"/>
          <w14:textFill>
            <w14:solidFill>
              <w14:schemeClr w14:val="tx1"/>
            </w14:solidFill>
          </w14:textFill>
        </w:rPr>
        <w:t>突发环境事件应急预案的启动</w:t>
      </w:r>
      <w:bookmarkEnd w:id="182"/>
      <w:bookmarkEnd w:id="183"/>
      <w:bookmarkEnd w:id="184"/>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本公司突发环境事件应急预案</w:t>
      </w:r>
      <w:bookmarkStart w:id="185" w:name="_Toc271698288"/>
      <w:bookmarkStart w:id="186" w:name="_Toc271697147"/>
      <w:r>
        <w:rPr>
          <w:rFonts w:hint="eastAsia" w:ascii="宋体" w:hAnsi="宋体" w:cs="宋体"/>
          <w:color w:val="000000" w:themeColor="text1"/>
          <w:sz w:val="24"/>
          <w:highlight w:val="none"/>
          <w14:textFill>
            <w14:solidFill>
              <w14:schemeClr w14:val="tx1"/>
            </w14:solidFill>
          </w14:textFill>
        </w:rPr>
        <w:t>分四个阶段实施：</w:t>
      </w:r>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（1）预防阶段。是指公司为预防、控制和消除环境污染事故，对人类生命、财产和环境的危害所采取的行为，包括制定安全环保管理制度、强化安全环保管理措施、实施安全环保技术标准和规范等。</w:t>
      </w:r>
      <w:bookmarkEnd w:id="185"/>
      <w:bookmarkEnd w:id="186"/>
      <w:bookmarkStart w:id="187" w:name="_Toc271697148"/>
      <w:bookmarkStart w:id="188" w:name="_Toc271698289"/>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（2）准备阶段。是在事故发生前采取的行动，包括研究国家相关法规、政策；编制、完善事故应急救援预案；开展培训和演练。</w:t>
      </w:r>
      <w:bookmarkEnd w:id="187"/>
      <w:bookmarkEnd w:id="188"/>
      <w:bookmarkStart w:id="189" w:name="_Toc271697149"/>
      <w:bookmarkStart w:id="190" w:name="_Toc271698290"/>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（3）响应阶段。是在事故发生后及事故发生期间采取救援行动的阶段，包括启动应急通告报警系统；启动应急救援中心；实施人员疏散和安置程序，实施警戒和交通管制；监测污染物浓度。</w:t>
      </w:r>
      <w:bookmarkEnd w:id="189"/>
      <w:bookmarkEnd w:id="190"/>
      <w:bookmarkStart w:id="191" w:name="_Toc271698291"/>
      <w:bookmarkStart w:id="192" w:name="_Toc271697150"/>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（4）恢复阶段。是在事故发生后立即进行的行动，包括实施应急响应关闭程序；事故调查；开展事故损失评估与索赔工作等。</w:t>
      </w:r>
      <w:bookmarkEnd w:id="191"/>
      <w:bookmarkEnd w:id="192"/>
    </w:p>
    <w:p>
      <w:pPr>
        <w:pStyle w:val="3"/>
        <w:rPr>
          <w:color w:val="000000" w:themeColor="text1"/>
          <w:highlight w:val="none"/>
          <w14:textFill>
            <w14:solidFill>
              <w14:schemeClr w14:val="tx1"/>
            </w14:solidFill>
          </w14:textFill>
        </w:rPr>
      </w:pPr>
      <w:bookmarkStart w:id="193" w:name="_Toc45742168"/>
      <w:bookmarkStart w:id="194" w:name="_Toc2202"/>
      <w:r>
        <w:rPr>
          <w:rFonts w:hint="eastAsia"/>
          <w:color w:val="000000" w:themeColor="text1"/>
          <w:highlight w:val="none"/>
          <w14:textFill>
            <w14:solidFill>
              <w14:schemeClr w14:val="tx1"/>
            </w14:solidFill>
          </w14:textFill>
        </w:rPr>
        <w:t>1.8 事故基本处置程序</w:t>
      </w:r>
      <w:bookmarkEnd w:id="193"/>
      <w:bookmarkEnd w:id="194"/>
    </w:p>
    <w:p>
      <w:pPr>
        <w:pStyle w:val="47"/>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基本分为发现事故、核实事故、事故报告、处置四个阶段。其基本处置程序图如下：</w:t>
      </w:r>
    </w:p>
    <w:p>
      <w:pPr>
        <w:pStyle w:val="47"/>
        <w:spacing w:line="240" w:lineRule="auto"/>
        <w:ind w:firstLine="480"/>
        <w:rPr>
          <w:color w:val="000000" w:themeColor="text1"/>
          <w:highlight w:val="none"/>
          <w14:textFill>
            <w14:solidFill>
              <w14:schemeClr w14:val="tx1"/>
            </w14:solidFill>
          </w14:textFill>
        </w:rPr>
      </w:pPr>
      <w:r>
        <w:rPr>
          <w:sz w:val="24"/>
        </w:rPr>
        <mc:AlternateContent>
          <mc:Choice Requires="wps">
            <w:drawing>
              <wp:anchor distT="0" distB="0" distL="114300" distR="114300" simplePos="0" relativeHeight="251660288" behindDoc="0" locked="0" layoutInCell="1" allowOverlap="1">
                <wp:simplePos x="0" y="0"/>
                <wp:positionH relativeFrom="column">
                  <wp:posOffset>1417955</wp:posOffset>
                </wp:positionH>
                <wp:positionV relativeFrom="paragraph">
                  <wp:posOffset>2652395</wp:posOffset>
                </wp:positionV>
                <wp:extent cx="2825750" cy="624205"/>
                <wp:effectExtent l="12700" t="12700" r="19050" b="29845"/>
                <wp:wrapNone/>
                <wp:docPr id="38" name="矩形 38"/>
                <wp:cNvGraphicFramePr/>
                <a:graphic xmlns:a="http://schemas.openxmlformats.org/drawingml/2006/main">
                  <a:graphicData uri="http://schemas.microsoft.com/office/word/2010/wordprocessingShape">
                    <wps:wsp>
                      <wps:cNvSpPr/>
                      <wps:spPr>
                        <a:xfrm>
                          <a:off x="2423795" y="3542030"/>
                          <a:ext cx="2825750" cy="62420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eastAsia="宋体"/>
                                <w:color w:val="000000" w:themeColor="text1"/>
                                <w:sz w:val="18"/>
                                <w:szCs w:val="18"/>
                                <w:lang w:val="en-US" w:eastAsia="zh-CN"/>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向经济开发区政府及袁州区环保局报告初步核实的环境突发事故，立即向经济开发区应急办等部门报告</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11.65pt;margin-top:208.85pt;height:49.15pt;width:222.5pt;z-index:251660288;v-text-anchor:middle;mso-width-relative:page;mso-height-relative:page;" fillcolor="#FFFFFF [3212]" filled="t" stroked="t" coordsize="21600,21600" o:gfxdata="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&#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vvv3ktoAAAALAQAADwAAAAAAAAABACAAAAAiAAAAZHJz&#10;L2Rvd25yZXYueG1sUEsBAhQAFAAAAAgAh07iQDD6UYV0AgAA9gQAAA4AAAAAAAAAAQAgAAAAKQEA&#10;AGRycy9lMm9Eb2MueG1sUEsFBgAAAAAGAAYAWQEAAA8GAAAAAA==&#10;">
                <v:fill on="t" focussize="0,0"/>
                <v:stroke weight="2pt" color="#000000 [3213]" joinstyle="round"/>
                <v:imagedata o:title=""/>
                <o:lock v:ext="edit" aspectratio="f"/>
                <v:textbox>
                  <w:txbxContent>
                    <w:p>
                      <w:pPr>
                        <w:jc w:val="center"/>
                        <w:rPr>
                          <w:rFonts w:hint="default" w:eastAsia="宋体"/>
                          <w:color w:val="000000" w:themeColor="text1"/>
                          <w:sz w:val="18"/>
                          <w:szCs w:val="18"/>
                          <w:lang w:val="en-US" w:eastAsia="zh-CN"/>
                          <w14:textFill>
                            <w14:solidFill>
                              <w14:schemeClr w14:val="tx1"/>
                            </w14:solidFill>
                          </w14:textFill>
                        </w:rPr>
                      </w:pPr>
                      <w:r>
                        <w:rPr>
                          <w:rFonts w:hint="eastAsia"/>
                          <w:color w:val="000000" w:themeColor="text1"/>
                          <w:sz w:val="18"/>
                          <w:szCs w:val="18"/>
                          <w:lang w:val="en-US" w:eastAsia="zh-CN"/>
                          <w14:textFill>
                            <w14:solidFill>
                              <w14:schemeClr w14:val="tx1"/>
                            </w14:solidFill>
                          </w14:textFill>
                        </w:rPr>
                        <w:t>向经济开发区政府及袁州区环保局报告初步核实的环境突发事故，立即向经济开发区应急办等部门报告</w:t>
                      </w:r>
                    </w:p>
                  </w:txbxContent>
                </v:textbox>
              </v:rect>
            </w:pict>
          </mc:Fallback>
        </mc:AlternateContent>
      </w:r>
      <w:r>
        <w:rPr>
          <w:color w:val="000000" w:themeColor="text1"/>
          <w:highlight w:val="none"/>
          <w14:textFill>
            <w14:solidFill>
              <w14:schemeClr w14:val="tx1"/>
            </w14:solidFill>
          </w14:textFill>
        </w:rPr>
        <w:drawing>
          <wp:inline distT="0" distB="0" distL="0" distR="0">
            <wp:extent cx="4937760" cy="5234940"/>
            <wp:effectExtent l="0" t="0" r="0" b="0"/>
            <wp:docPr id="1" name="图片 1" descr="C:\Users\ADMINI~1\AppData\Local\Temp\159611182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1\AppData\Local\Temp\1596111828(1).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4937760" cy="5234940"/>
                    </a:xfrm>
                    <a:prstGeom prst="rect">
                      <a:avLst/>
                    </a:prstGeom>
                    <a:noFill/>
                    <a:ln>
                      <a:noFill/>
                    </a:ln>
                  </pic:spPr>
                </pic:pic>
              </a:graphicData>
            </a:graphic>
          </wp:inline>
        </w:drawing>
      </w:r>
    </w:p>
    <w:p>
      <w:pPr>
        <w:jc w:val="center"/>
        <w:rPr>
          <w:b/>
          <w:color w:val="FF0000"/>
          <w:sz w:val="24"/>
          <w:highlight w:val="none"/>
        </w:rPr>
      </w:pPr>
      <w:bookmarkStart w:id="195" w:name="_Toc408503014"/>
      <w:bookmarkStart w:id="196" w:name="_Toc160532466"/>
      <w:bookmarkStart w:id="197" w:name="_Toc161808438"/>
      <w:r>
        <w:rPr>
          <w:rFonts w:hint="eastAsia"/>
          <w:b/>
          <w:color w:val="FF0000"/>
          <w:sz w:val="24"/>
          <w:highlight w:val="none"/>
        </w:rPr>
        <w:t>图1.8-1 事故处置基本程序图</w:t>
      </w:r>
    </w:p>
    <w:p>
      <w:pPr>
        <w:rPr>
          <w:color w:val="000000" w:themeColor="text1"/>
          <w:highlight w:val="none"/>
          <w14:textFill>
            <w14:solidFill>
              <w14:schemeClr w14:val="tx1"/>
            </w14:solidFill>
          </w14:textFill>
        </w:rPr>
      </w:pPr>
    </w:p>
    <w:bookmarkEnd w:id="195"/>
    <w:bookmarkEnd w:id="196"/>
    <w:bookmarkEnd w:id="197"/>
    <w:p>
      <w:pPr>
        <w:widowControl/>
        <w:jc w:val="left"/>
        <w:rPr>
          <w:b/>
          <w:bCs/>
          <w:color w:val="000000" w:themeColor="text1"/>
          <w:kern w:val="44"/>
          <w:sz w:val="44"/>
          <w:szCs w:val="44"/>
          <w:highlight w:val="none"/>
          <w14:textFill>
            <w14:solidFill>
              <w14:schemeClr w14:val="tx1"/>
            </w14:solidFill>
          </w14:textFill>
        </w:rPr>
      </w:pPr>
      <w:bookmarkStart w:id="198" w:name="_Toc30264_WPSOffice_Level1"/>
      <w:bookmarkStart w:id="199" w:name="_Toc408503089"/>
      <w:bookmarkStart w:id="200" w:name="_Toc14645_WPSOffice_Level1"/>
      <w:bookmarkStart w:id="201" w:name="_Toc166424755"/>
      <w:bookmarkStart w:id="202" w:name="_Toc161808454"/>
      <w:r>
        <w:rPr>
          <w:color w:val="000000" w:themeColor="text1"/>
          <w:highlight w:val="none"/>
          <w14:textFill>
            <w14:solidFill>
              <w14:schemeClr w14:val="tx1"/>
            </w14:solidFill>
          </w14:textFill>
        </w:rPr>
        <w:br w:type="page"/>
      </w:r>
    </w:p>
    <w:p>
      <w:pPr>
        <w:pStyle w:val="2"/>
        <w:bidi w:val="0"/>
        <w:jc w:val="center"/>
        <w:rPr>
          <w:rFonts w:hint="default"/>
          <w:color w:val="000000" w:themeColor="text1"/>
          <w:highlight w:val="none"/>
          <w:lang w:val="en-US" w:eastAsia="zh-CN"/>
          <w14:textFill>
            <w14:solidFill>
              <w14:schemeClr w14:val="tx1"/>
            </w14:solidFill>
          </w14:textFill>
        </w:rPr>
      </w:pPr>
      <w:bookmarkStart w:id="203" w:name="_Toc20470"/>
      <w:bookmarkStart w:id="204" w:name="_Toc46857512"/>
      <w:bookmarkStart w:id="205" w:name="_Toc43202962"/>
      <w:r>
        <w:rPr>
          <w:rFonts w:hint="eastAsia"/>
          <w:color w:val="000000" w:themeColor="text1"/>
          <w:highlight w:val="none"/>
          <w:lang w:val="en-US" w:eastAsia="zh-CN"/>
          <w14:textFill>
            <w14:solidFill>
              <w14:schemeClr w14:val="tx1"/>
            </w14:solidFill>
          </w14:textFill>
        </w:rPr>
        <w:t>第二章</w:t>
      </w:r>
      <w:r>
        <w:rPr>
          <w:rFonts w:hint="default"/>
          <w:color w:val="000000" w:themeColor="text1"/>
          <w:highlight w:val="none"/>
          <w:lang w:val="en-US" w:eastAsia="zh-CN"/>
          <w14:textFill>
            <w14:solidFill>
              <w14:schemeClr w14:val="tx1"/>
            </w14:solidFill>
          </w14:textFill>
        </w:rPr>
        <w:t xml:space="preserve"> 公司的基本情况</w:t>
      </w:r>
      <w:bookmarkEnd w:id="203"/>
    </w:p>
    <w:p>
      <w:pPr>
        <w:pStyle w:val="3"/>
        <w:keepNext/>
        <w:keepLines/>
        <w:pageBreakBefore w:val="0"/>
        <w:widowControl w:val="0"/>
        <w:kinsoku/>
        <w:wordWrap/>
        <w:overflowPunct/>
        <w:topLinePunct w:val="0"/>
        <w:autoSpaceDE/>
        <w:autoSpaceDN/>
        <w:bidi w:val="0"/>
        <w:adjustRightInd/>
        <w:snapToGrid/>
        <w:spacing w:line="360" w:lineRule="auto"/>
        <w:textAlignment w:val="auto"/>
        <w:rPr>
          <w:rFonts w:hint="eastAsia"/>
          <w:color w:val="000000" w:themeColor="text1"/>
          <w:highlight w:val="none"/>
          <w:lang w:val="en-US" w:eastAsia="zh-CN"/>
          <w14:textFill>
            <w14:solidFill>
              <w14:schemeClr w14:val="tx1"/>
            </w14:solidFill>
          </w14:textFill>
        </w:rPr>
      </w:pPr>
      <w:bookmarkStart w:id="206" w:name="_Toc30446"/>
      <w:r>
        <w:rPr>
          <w:rFonts w:hint="default"/>
          <w:color w:val="000000" w:themeColor="text1"/>
          <w:highlight w:val="none"/>
          <w:lang w:val="en-US" w:eastAsia="zh-CN"/>
          <w14:textFill>
            <w14:solidFill>
              <w14:schemeClr w14:val="tx1"/>
            </w14:solidFill>
          </w14:textFill>
        </w:rPr>
        <w:t>2.1 企</w:t>
      </w:r>
      <w:r>
        <w:rPr>
          <w:rFonts w:hint="eastAsia"/>
          <w:color w:val="000000" w:themeColor="text1"/>
          <w:highlight w:val="none"/>
          <w:lang w:val="en-US" w:eastAsia="zh-CN"/>
          <w14:textFill>
            <w14:solidFill>
              <w14:schemeClr w14:val="tx1"/>
            </w14:solidFill>
          </w14:textFill>
        </w:rPr>
        <w:t>业基本信息</w:t>
      </w:r>
      <w:bookmarkEnd w:id="206"/>
    </w:p>
    <w:p>
      <w:pPr>
        <w:adjustRightInd w:val="0"/>
        <w:spacing w:line="360" w:lineRule="auto"/>
        <w:ind w:left="51" w:firstLine="429" w:firstLineChars="178"/>
        <w:textAlignment w:val="baseline"/>
        <w:rPr>
          <w:rFonts w:hint="eastAsia"/>
          <w:b/>
          <w:color w:val="000000" w:themeColor="text1"/>
          <w:kern w:val="0"/>
          <w:position w:val="6"/>
          <w:sz w:val="24"/>
          <w:szCs w:val="20"/>
          <w:highlight w:val="none"/>
          <w:lang w:val="en-US" w:eastAsia="zh-CN"/>
          <w14:textFill>
            <w14:solidFill>
              <w14:schemeClr w14:val="tx1"/>
            </w14:solidFill>
          </w14:textFill>
        </w:rPr>
      </w:pPr>
      <w:r>
        <w:rPr>
          <w:rFonts w:hint="eastAsia"/>
          <w:b/>
          <w:color w:val="000000" w:themeColor="text1"/>
          <w:kern w:val="0"/>
          <w:position w:val="6"/>
          <w:sz w:val="24"/>
          <w:szCs w:val="20"/>
          <w:highlight w:val="none"/>
          <w:lang w:val="en-US" w:eastAsia="zh-CN"/>
          <w14:textFill>
            <w14:solidFill>
              <w14:schemeClr w14:val="tx1"/>
            </w14:solidFill>
          </w14:textFill>
        </w:rPr>
        <w:t>(1) 企业基本情况</w:t>
      </w:r>
    </w:p>
    <w:p>
      <w:pPr>
        <w:adjustRightInd w:val="0"/>
        <w:spacing w:line="360" w:lineRule="auto"/>
        <w:ind w:firstLine="480" w:firstLineChars="200"/>
        <w:textAlignment w:val="baseline"/>
        <w:rPr>
          <w:rFonts w:hint="eastAsia" w:ascii="Times New Roman" w:hAnsi="Times New Roman" w:eastAsia="宋体" w:cs="Times New Roman"/>
          <w:b w:val="0"/>
          <w:bCs w:val="0"/>
          <w:color w:val="000000" w:themeColor="text1"/>
          <w:kern w:val="0"/>
          <w:position w:val="6"/>
          <w:sz w:val="24"/>
          <w:szCs w:val="20"/>
          <w:highlight w:val="none"/>
          <w:lang w:val="en-US" w:eastAsia="zh-CN" w:bidi="ar-SA"/>
          <w14:textFill>
            <w14:solidFill>
              <w14:schemeClr w14:val="tx1"/>
            </w14:solidFill>
          </w14:textFill>
        </w:rPr>
      </w:pPr>
      <w:r>
        <w:rPr>
          <w:rFonts w:hint="eastAsia" w:ascii="Times New Roman" w:hAnsi="Times New Roman" w:eastAsia="宋体" w:cs="Times New Roman"/>
          <w:b w:val="0"/>
          <w:bCs w:val="0"/>
          <w:color w:val="000000" w:themeColor="text1"/>
          <w:kern w:val="0"/>
          <w:position w:val="6"/>
          <w:sz w:val="24"/>
          <w:szCs w:val="20"/>
          <w:highlight w:val="none"/>
          <w:lang w:val="en-US" w:eastAsia="zh-CN" w:bidi="ar-SA"/>
          <w14:textFill>
            <w14:solidFill>
              <w14:schemeClr w14:val="tx1"/>
            </w14:solidFill>
          </w14:textFill>
        </w:rPr>
        <w:t>创维视芯电子（宜春)有限公司位于</w:t>
      </w:r>
      <w:r>
        <w:rPr>
          <w:rFonts w:hint="eastAsia" w:cs="Times New Roman"/>
          <w:b w:val="0"/>
          <w:bCs w:val="0"/>
          <w:color w:val="FF0000"/>
          <w:kern w:val="0"/>
          <w:position w:val="6"/>
          <w:sz w:val="24"/>
          <w:szCs w:val="20"/>
          <w:highlight w:val="none"/>
          <w:lang w:val="en-US" w:eastAsia="zh-CN" w:bidi="ar-SA"/>
        </w:rPr>
        <w:t>宜春经济技术开发区</w:t>
      </w:r>
      <w:r>
        <w:rPr>
          <w:rFonts w:hint="eastAsia" w:ascii="Times New Roman" w:hAnsi="Times New Roman" w:eastAsia="宋体" w:cs="Times New Roman"/>
          <w:b w:val="0"/>
          <w:bCs w:val="0"/>
          <w:color w:val="000000" w:themeColor="text1"/>
          <w:kern w:val="0"/>
          <w:position w:val="6"/>
          <w:sz w:val="24"/>
          <w:szCs w:val="20"/>
          <w:highlight w:val="none"/>
          <w:lang w:val="en-US" w:eastAsia="zh-CN" w:bidi="ar-SA"/>
          <w14:textFill>
            <w14:solidFill>
              <w14:schemeClr w14:val="tx1"/>
            </w14:solidFill>
          </w14:textFill>
        </w:rPr>
        <w:t>，占地200亩，原有员工</w:t>
      </w:r>
      <w:r>
        <w:rPr>
          <w:rFonts w:hint="default" w:cs="Times New Roman"/>
          <w:b w:val="0"/>
          <w:bCs w:val="0"/>
          <w:color w:val="000000" w:themeColor="text1"/>
          <w:kern w:val="0"/>
          <w:position w:val="6"/>
          <w:sz w:val="24"/>
          <w:szCs w:val="20"/>
          <w:highlight w:val="none"/>
          <w:lang w:val="en-US" w:eastAsia="zh-CN" w:bidi="ar-SA"/>
          <w14:textFill>
            <w14:solidFill>
              <w14:schemeClr w14:val="tx1"/>
            </w14:solidFill>
          </w14:textFill>
        </w:rPr>
        <w:t>1</w:t>
      </w:r>
      <w:r>
        <w:rPr>
          <w:rFonts w:hint="eastAsia" w:ascii="Times New Roman" w:hAnsi="Times New Roman" w:eastAsia="宋体" w:cs="Times New Roman"/>
          <w:b w:val="0"/>
          <w:bCs w:val="0"/>
          <w:color w:val="000000" w:themeColor="text1"/>
          <w:kern w:val="0"/>
          <w:position w:val="6"/>
          <w:sz w:val="24"/>
          <w:szCs w:val="20"/>
          <w:highlight w:val="none"/>
          <w:lang w:val="en-US" w:eastAsia="zh-CN" w:bidi="ar-SA"/>
          <w14:textFill>
            <w14:solidFill>
              <w14:schemeClr w14:val="tx1"/>
            </w14:solidFill>
          </w14:textFill>
        </w:rPr>
        <w:t>000人。2011年，建设小型电子器件项目，并于2011年再宜春市环境保护科学研究所办理环评，同年取得宜春市生态环境局环评批复（宜环评字【2016】84号）。2016年在原有基础上建设创维视芯电子（宜春)有限公司年加工690万件PCB/A生产线建设项目，2016年9月取得宜春市生态环境局环评批复（宜环评字【2011】471号），于2017年3月完成验收（宜环评验字【2017】11号）</w:t>
      </w:r>
      <w:r>
        <w:rPr>
          <w:rFonts w:hint="eastAsia" w:cs="Times New Roman"/>
          <w:b w:val="0"/>
          <w:bCs w:val="0"/>
          <w:color w:val="000000" w:themeColor="text1"/>
          <w:kern w:val="0"/>
          <w:position w:val="6"/>
          <w:sz w:val="24"/>
          <w:szCs w:val="20"/>
          <w:highlight w:val="none"/>
          <w:lang w:val="en-US" w:eastAsia="zh-CN" w:bidi="ar-SA"/>
          <w14:textFill>
            <w14:solidFill>
              <w14:schemeClr w14:val="tx1"/>
            </w14:solidFill>
          </w14:textFill>
        </w:rPr>
        <w:t>，目前</w:t>
      </w:r>
      <w:r>
        <w:rPr>
          <w:rFonts w:hint="eastAsia" w:ascii="Times New Roman" w:hAnsi="Times New Roman" w:eastAsia="宋体" w:cs="Times New Roman"/>
          <w:b w:val="0"/>
          <w:bCs w:val="0"/>
          <w:color w:val="000000" w:themeColor="text1"/>
          <w:kern w:val="0"/>
          <w:position w:val="6"/>
          <w:sz w:val="24"/>
          <w:szCs w:val="20"/>
          <w:highlight w:val="none"/>
          <w:lang w:val="en-US" w:eastAsia="zh-CN" w:bidi="ar-SA"/>
          <w14:textFill>
            <w14:solidFill>
              <w14:schemeClr w14:val="tx1"/>
            </w14:solidFill>
          </w14:textFill>
        </w:rPr>
        <w:t>创维视芯电子（宜春)有限公司</w:t>
      </w:r>
      <w:r>
        <w:rPr>
          <w:rFonts w:hint="eastAsia" w:cs="Times New Roman"/>
          <w:b w:val="0"/>
          <w:bCs w:val="0"/>
          <w:color w:val="000000" w:themeColor="text1"/>
          <w:kern w:val="0"/>
          <w:position w:val="6"/>
          <w:sz w:val="24"/>
          <w:szCs w:val="20"/>
          <w:highlight w:val="none"/>
          <w:lang w:val="en-US" w:eastAsia="zh-CN" w:bidi="ar-SA"/>
          <w14:textFill>
            <w14:solidFill>
              <w14:schemeClr w14:val="tx1"/>
            </w14:solidFill>
          </w14:textFill>
        </w:rPr>
        <w:t>在原有基础上利用原有空置</w:t>
      </w:r>
      <w:r>
        <w:rPr>
          <w:rFonts w:hint="eastAsia" w:ascii="Times New Roman" w:hAnsi="Times New Roman" w:eastAsia="宋体" w:cs="Times New Roman"/>
          <w:b w:val="0"/>
          <w:bCs w:val="0"/>
          <w:color w:val="000000" w:themeColor="text1"/>
          <w:kern w:val="0"/>
          <w:position w:val="6"/>
          <w:sz w:val="24"/>
          <w:szCs w:val="20"/>
          <w:highlight w:val="none"/>
          <w:lang w:val="en-US" w:eastAsia="zh-CN" w:bidi="ar-SA"/>
          <w14:textFill>
            <w14:solidFill>
              <w14:schemeClr w14:val="tx1"/>
            </w14:solidFill>
          </w14:textFill>
        </w:rPr>
        <w:t>厂房建设创维视芯电子（宜春)有限公司年产650万台机芯板项目。</w:t>
      </w:r>
    </w:p>
    <w:p>
      <w:pPr>
        <w:adjustRightInd w:val="0"/>
        <w:spacing w:line="360" w:lineRule="auto"/>
        <w:ind w:firstLine="482" w:firstLineChars="200"/>
        <w:textAlignment w:val="baseline"/>
        <w:rPr>
          <w:b/>
          <w:color w:val="000000" w:themeColor="text1"/>
          <w:kern w:val="0"/>
          <w:position w:val="6"/>
          <w:sz w:val="24"/>
          <w:szCs w:val="20"/>
          <w:highlight w:val="none"/>
          <w14:textFill>
            <w14:solidFill>
              <w14:schemeClr w14:val="tx1"/>
            </w14:solidFill>
          </w14:textFill>
        </w:rPr>
      </w:pPr>
      <w:r>
        <w:rPr>
          <w:b/>
          <w:color w:val="000000" w:themeColor="text1"/>
          <w:kern w:val="0"/>
          <w:position w:val="6"/>
          <w:sz w:val="24"/>
          <w:szCs w:val="20"/>
          <w:highlight w:val="none"/>
          <w14:textFill>
            <w14:solidFill>
              <w14:schemeClr w14:val="tx1"/>
            </w14:solidFill>
          </w14:textFill>
        </w:rPr>
        <w:t>(</w:t>
      </w:r>
      <w:r>
        <w:rPr>
          <w:rFonts w:hint="eastAsia"/>
          <w:b/>
          <w:color w:val="000000" w:themeColor="text1"/>
          <w:kern w:val="0"/>
          <w:position w:val="6"/>
          <w:sz w:val="24"/>
          <w:szCs w:val="20"/>
          <w:highlight w:val="none"/>
          <w:lang w:val="en-US" w:eastAsia="zh-CN"/>
          <w14:textFill>
            <w14:solidFill>
              <w14:schemeClr w14:val="tx1"/>
            </w14:solidFill>
          </w14:textFill>
        </w:rPr>
        <w:t>2</w:t>
      </w:r>
      <w:r>
        <w:rPr>
          <w:b/>
          <w:color w:val="000000" w:themeColor="text1"/>
          <w:kern w:val="0"/>
          <w:position w:val="6"/>
          <w:sz w:val="24"/>
          <w:szCs w:val="20"/>
          <w:highlight w:val="none"/>
          <w14:textFill>
            <w14:solidFill>
              <w14:schemeClr w14:val="tx1"/>
            </w14:solidFill>
          </w14:textFill>
        </w:rPr>
        <w:t>) 项目建设内容</w:t>
      </w:r>
    </w:p>
    <w:p>
      <w:pPr>
        <w:adjustRightInd w:val="0"/>
        <w:spacing w:line="360" w:lineRule="auto"/>
        <w:ind w:left="51" w:firstLine="427" w:firstLineChars="178"/>
        <w:textAlignment w:val="baseline"/>
        <w:rPr>
          <w:color w:val="000000" w:themeColor="text1"/>
          <w:kern w:val="0"/>
          <w:position w:val="6"/>
          <w:sz w:val="24"/>
          <w:szCs w:val="20"/>
          <w:highlight w:val="none"/>
          <w14:textFill>
            <w14:solidFill>
              <w14:schemeClr w14:val="tx1"/>
            </w14:solidFill>
          </w14:textFill>
        </w:rPr>
      </w:pPr>
      <w:r>
        <w:rPr>
          <w:rFonts w:hint="eastAsia"/>
          <w:color w:val="000000" w:themeColor="text1"/>
          <w:kern w:val="0"/>
          <w:position w:val="6"/>
          <w:sz w:val="24"/>
          <w:szCs w:val="20"/>
          <w:highlight w:val="none"/>
          <w14:textFill>
            <w14:solidFill>
              <w14:schemeClr w14:val="tx1"/>
            </w14:solidFill>
          </w14:textFill>
        </w:rPr>
        <w:t>本项目</w:t>
      </w:r>
      <w:r>
        <w:rPr>
          <w:rFonts w:hint="eastAsia"/>
          <w:color w:val="000000" w:themeColor="text1"/>
          <w:kern w:val="0"/>
          <w:position w:val="6"/>
          <w:sz w:val="24"/>
          <w:szCs w:val="20"/>
          <w:highlight w:val="none"/>
          <w:lang w:eastAsia="zh-CN"/>
          <w14:textFill>
            <w14:solidFill>
              <w14:schemeClr w14:val="tx1"/>
            </w14:solidFill>
          </w14:textFill>
        </w:rPr>
        <w:t>占地</w:t>
      </w:r>
      <w:r>
        <w:rPr>
          <w:rFonts w:hint="eastAsia" w:ascii="Times New Roman" w:hAnsi="Times New Roman" w:eastAsia="宋体" w:cs="Times New Roman"/>
          <w:b w:val="0"/>
          <w:bCs w:val="0"/>
          <w:color w:val="000000" w:themeColor="text1"/>
          <w:kern w:val="0"/>
          <w:position w:val="6"/>
          <w:sz w:val="24"/>
          <w:szCs w:val="20"/>
          <w:highlight w:val="none"/>
          <w:lang w:val="en-US" w:eastAsia="zh-CN" w:bidi="ar-SA"/>
          <w14:textFill>
            <w14:solidFill>
              <w14:schemeClr w14:val="tx1"/>
            </w14:solidFill>
          </w14:textFill>
        </w:rPr>
        <w:t>面积133333平方</w:t>
      </w:r>
      <w:r>
        <w:rPr>
          <w:rFonts w:hint="eastAsia"/>
          <w:color w:val="000000" w:themeColor="text1"/>
          <w:kern w:val="0"/>
          <w:position w:val="6"/>
          <w:sz w:val="24"/>
          <w:szCs w:val="20"/>
          <w:highlight w:val="none"/>
          <w14:textFill>
            <w14:solidFill>
              <w14:schemeClr w14:val="tx1"/>
            </w14:solidFill>
          </w14:textFill>
        </w:rPr>
        <w:t>米，其中包括生产厂房</w:t>
      </w:r>
      <w:r>
        <w:rPr>
          <w:rFonts w:hint="eastAsia"/>
          <w:color w:val="000000" w:themeColor="text1"/>
          <w:kern w:val="0"/>
          <w:position w:val="6"/>
          <w:sz w:val="24"/>
          <w:szCs w:val="20"/>
          <w:highlight w:val="none"/>
          <w:lang w:eastAsia="zh-CN"/>
          <w14:textFill>
            <w14:solidFill>
              <w14:schemeClr w14:val="tx1"/>
            </w14:solidFill>
          </w14:textFill>
        </w:rPr>
        <w:t>、办公</w:t>
      </w:r>
      <w:r>
        <w:rPr>
          <w:rFonts w:hint="eastAsia"/>
          <w:color w:val="000000" w:themeColor="text1"/>
          <w:kern w:val="0"/>
          <w:position w:val="6"/>
          <w:sz w:val="24"/>
          <w:szCs w:val="20"/>
          <w:highlight w:val="none"/>
          <w14:textFill>
            <w14:solidFill>
              <w14:schemeClr w14:val="tx1"/>
            </w14:solidFill>
          </w14:textFill>
        </w:rPr>
        <w:t>楼、</w:t>
      </w:r>
      <w:r>
        <w:rPr>
          <w:rFonts w:hint="eastAsia"/>
          <w:color w:val="000000" w:themeColor="text1"/>
          <w:kern w:val="0"/>
          <w:position w:val="6"/>
          <w:sz w:val="24"/>
          <w:szCs w:val="20"/>
          <w:highlight w:val="none"/>
          <w:lang w:eastAsia="zh-CN"/>
          <w14:textFill>
            <w14:solidFill>
              <w14:schemeClr w14:val="tx1"/>
            </w14:solidFill>
          </w14:textFill>
        </w:rPr>
        <w:t>食堂、宿舍、仓库</w:t>
      </w:r>
      <w:r>
        <w:rPr>
          <w:rFonts w:hint="eastAsia"/>
          <w:color w:val="000000" w:themeColor="text1"/>
          <w:kern w:val="0"/>
          <w:position w:val="6"/>
          <w:sz w:val="24"/>
          <w:szCs w:val="20"/>
          <w:highlight w:val="none"/>
          <w14:textFill>
            <w14:solidFill>
              <w14:schemeClr w14:val="tx1"/>
            </w14:solidFill>
          </w14:textFill>
        </w:rPr>
        <w:t>等，</w:t>
      </w:r>
      <w:r>
        <w:rPr>
          <w:color w:val="000000" w:themeColor="text1"/>
          <w:kern w:val="0"/>
          <w:position w:val="6"/>
          <w:sz w:val="24"/>
          <w:szCs w:val="20"/>
          <w:highlight w:val="none"/>
          <w14:textFill>
            <w14:solidFill>
              <w14:schemeClr w14:val="tx1"/>
            </w14:solidFill>
          </w14:textFill>
        </w:rPr>
        <w:t>建设项目组成见表</w:t>
      </w:r>
      <w:r>
        <w:rPr>
          <w:rFonts w:hint="eastAsia"/>
          <w:color w:val="000000" w:themeColor="text1"/>
          <w:kern w:val="0"/>
          <w:position w:val="6"/>
          <w:sz w:val="24"/>
          <w:szCs w:val="20"/>
          <w:highlight w:val="none"/>
          <w14:textFill>
            <w14:solidFill>
              <w14:schemeClr w14:val="tx1"/>
            </w14:solidFill>
          </w14:textFill>
        </w:rPr>
        <w:t>1。</w:t>
      </w:r>
    </w:p>
    <w:p>
      <w:pPr>
        <w:keepNext w:val="0"/>
        <w:keepLines w:val="0"/>
        <w:widowControl w:val="0"/>
        <w:suppressLineNumbers w:val="0"/>
        <w:spacing w:before="0" w:beforeAutospacing="0" w:after="0" w:afterAutospacing="0"/>
        <w:ind w:left="0" w:right="0"/>
        <w:jc w:val="center"/>
        <w:rPr>
          <w:b/>
          <w:color w:val="000000" w:themeColor="text1"/>
          <w:szCs w:val="21"/>
          <w:highlight w:val="none"/>
          <w:lang w:val="en-US"/>
          <w14:textFill>
            <w14:solidFill>
              <w14:schemeClr w14:val="tx1"/>
            </w14:solidFill>
          </w14:textFill>
        </w:rPr>
      </w:pPr>
      <w:r>
        <w:rPr>
          <w:color w:val="000000" w:themeColor="text1"/>
          <w:kern w:val="21"/>
          <w:sz w:val="24"/>
          <w:highlight w:val="none"/>
          <w14:textFill>
            <w14:solidFill>
              <w14:schemeClr w14:val="tx1"/>
            </w14:solidFill>
          </w14:textFill>
        </w:rPr>
        <w:t xml:space="preserve"> </w:t>
      </w:r>
      <w:r>
        <w:rPr>
          <w:b/>
          <w:color w:val="000000" w:themeColor="text1"/>
          <w:kern w:val="21"/>
          <w:szCs w:val="21"/>
          <w:highlight w:val="none"/>
          <w14:textFill>
            <w14:solidFill>
              <w14:schemeClr w14:val="tx1"/>
            </w14:solidFill>
          </w14:textFill>
        </w:rPr>
        <w:t>表</w:t>
      </w:r>
      <w:r>
        <w:rPr>
          <w:rFonts w:hint="eastAsia"/>
          <w:b/>
          <w:color w:val="000000" w:themeColor="text1"/>
          <w:kern w:val="21"/>
          <w:szCs w:val="21"/>
          <w:highlight w:val="none"/>
          <w14:textFill>
            <w14:solidFill>
              <w14:schemeClr w14:val="tx1"/>
            </w14:solidFill>
          </w14:textFill>
        </w:rPr>
        <w:t>1</w:t>
      </w:r>
      <w:r>
        <w:rPr>
          <w:b/>
          <w:color w:val="000000" w:themeColor="text1"/>
          <w:kern w:val="21"/>
          <w:szCs w:val="21"/>
          <w:highlight w:val="none"/>
          <w14:textFill>
            <w14:solidFill>
              <w14:schemeClr w14:val="tx1"/>
            </w14:solidFill>
          </w14:textFill>
        </w:rPr>
        <w:t xml:space="preserve"> 建设项目组成表</w:t>
      </w:r>
    </w:p>
    <w:tbl>
      <w:tblPr>
        <w:tblStyle w:val="48"/>
        <w:tblW w:w="4999"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15" w:type="dxa"/>
          <w:left w:w="15" w:type="dxa"/>
          <w:bottom w:w="15" w:type="dxa"/>
          <w:right w:w="15" w:type="dxa"/>
        </w:tblCellMar>
      </w:tblPr>
      <w:tblGrid>
        <w:gridCol w:w="1457"/>
        <w:gridCol w:w="1813"/>
        <w:gridCol w:w="582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801"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szCs w:val="21"/>
                <w:highlight w:val="none"/>
                <w14:textFill>
                  <w14:solidFill>
                    <w14:schemeClr w14:val="tx1"/>
                  </w14:solidFill>
                </w14:textFill>
              </w:rPr>
            </w:pPr>
            <w:r>
              <w:rPr>
                <w:color w:val="000000" w:themeColor="text1"/>
                <w:kern w:val="0"/>
                <w:szCs w:val="21"/>
                <w:highlight w:val="none"/>
                <w:lang w:bidi="ar"/>
                <w14:textFill>
                  <w14:solidFill>
                    <w14:schemeClr w14:val="tx1"/>
                  </w14:solidFill>
                </w14:textFill>
              </w:rPr>
              <w:t>类别</w:t>
            </w:r>
          </w:p>
        </w:tc>
        <w:tc>
          <w:tcPr>
            <w:tcW w:w="996"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szCs w:val="21"/>
                <w:highlight w:val="none"/>
                <w14:textFill>
                  <w14:solidFill>
                    <w14:schemeClr w14:val="tx1"/>
                  </w14:solidFill>
                </w14:textFill>
              </w:rPr>
            </w:pPr>
            <w:r>
              <w:rPr>
                <w:color w:val="000000" w:themeColor="text1"/>
                <w:kern w:val="0"/>
                <w:szCs w:val="21"/>
                <w:highlight w:val="none"/>
                <w:lang w:bidi="ar"/>
                <w14:textFill>
                  <w14:solidFill>
                    <w14:schemeClr w14:val="tx1"/>
                  </w14:solidFill>
                </w14:textFill>
              </w:rPr>
              <w:t>名称</w:t>
            </w:r>
          </w:p>
        </w:tc>
        <w:tc>
          <w:tcPr>
            <w:tcW w:w="3202"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szCs w:val="21"/>
                <w:highlight w:val="none"/>
                <w14:textFill>
                  <w14:solidFill>
                    <w14:schemeClr w14:val="tx1"/>
                  </w14:solidFill>
                </w14:textFill>
              </w:rPr>
            </w:pPr>
            <w:r>
              <w:rPr>
                <w:color w:val="000000" w:themeColor="text1"/>
                <w:kern w:val="0"/>
                <w:szCs w:val="21"/>
                <w:highlight w:val="none"/>
                <w:lang w:bidi="ar"/>
                <w14:textFill>
                  <w14:solidFill>
                    <w14:schemeClr w14:val="tx1"/>
                  </w14:solidFill>
                </w14:textFill>
              </w:rPr>
              <w:t>建设内容</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801"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szCs w:val="21"/>
                <w:highlight w:val="none"/>
                <w14:textFill>
                  <w14:solidFill>
                    <w14:schemeClr w14:val="tx1"/>
                  </w14:solidFill>
                </w14:textFill>
              </w:rPr>
            </w:pPr>
            <w:r>
              <w:rPr>
                <w:color w:val="000000" w:themeColor="text1"/>
                <w:kern w:val="0"/>
                <w:szCs w:val="21"/>
                <w:highlight w:val="none"/>
                <w:lang w:bidi="ar"/>
                <w14:textFill>
                  <w14:solidFill>
                    <w14:schemeClr w14:val="tx1"/>
                  </w14:solidFill>
                </w14:textFill>
              </w:rPr>
              <w:t>主体工程</w:t>
            </w:r>
          </w:p>
        </w:tc>
        <w:tc>
          <w:tcPr>
            <w:tcW w:w="996"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kern w:val="0"/>
                <w:szCs w:val="21"/>
                <w:highlight w:val="none"/>
                <w:lang w:val="en-US" w:eastAsia="zh-CN" w:bidi="ar"/>
                <w14:textFill>
                  <w14:solidFill>
                    <w14:schemeClr w14:val="tx1"/>
                  </w14:solidFill>
                </w14:textFill>
              </w:rPr>
              <w:t>电源大楼</w:t>
            </w:r>
          </w:p>
        </w:tc>
        <w:tc>
          <w:tcPr>
            <w:tcW w:w="3202" w:type="pct"/>
            <w:noWrap w:val="0"/>
            <w:vAlign w:val="center"/>
          </w:tcPr>
          <w:p>
            <w:pPr>
              <w:keepNext w:val="0"/>
              <w:keepLines w:val="0"/>
              <w:widowControl/>
              <w:suppressLineNumbers w:val="0"/>
              <w:spacing w:before="0" w:beforeAutospacing="0" w:after="0" w:afterAutospacing="0"/>
              <w:ind w:left="0" w:right="0"/>
              <w:jc w:val="center"/>
              <w:textAlignment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kern w:val="0"/>
                <w:szCs w:val="21"/>
                <w:highlight w:val="none"/>
                <w:lang w:val="en-US" w:eastAsia="zh-CN" w:bidi="ar"/>
                <w14:textFill>
                  <w14:solidFill>
                    <w14:schemeClr w14:val="tx1"/>
                  </w14:solidFill>
                </w14:textFill>
              </w:rPr>
              <w:t>3</w:t>
            </w:r>
            <w:r>
              <w:rPr>
                <w:color w:val="000000" w:themeColor="text1"/>
                <w:kern w:val="0"/>
                <w:szCs w:val="21"/>
                <w:highlight w:val="none"/>
                <w:lang w:bidi="ar"/>
                <w14:textFill>
                  <w14:solidFill>
                    <w14:schemeClr w14:val="tx1"/>
                  </w14:solidFill>
                </w14:textFill>
              </w:rPr>
              <w:t>F，建筑面积</w:t>
            </w:r>
            <w:r>
              <w:rPr>
                <w:rFonts w:hint="default"/>
                <w:color w:val="000000" w:themeColor="text1"/>
                <w:kern w:val="0"/>
                <w:szCs w:val="21"/>
                <w:highlight w:val="none"/>
                <w:lang w:val="en-US"/>
                <w14:textFill>
                  <w14:solidFill>
                    <w14:schemeClr w14:val="tx1"/>
                  </w14:solidFill>
                </w14:textFill>
              </w:rPr>
              <w:t>30436.86</w:t>
            </w:r>
            <w:r>
              <w:rPr>
                <w:rStyle w:val="305"/>
                <w:rFonts w:hint="default" w:ascii="Times New Roman" w:hAnsi="Times New Roman" w:cs="Times New Roman"/>
                <w:color w:val="000000" w:themeColor="text1"/>
                <w:sz w:val="21"/>
                <w:szCs w:val="21"/>
                <w:highlight w:val="none"/>
                <w:lang w:bidi="ar"/>
                <w14:textFill>
                  <w14:solidFill>
                    <w14:schemeClr w14:val="tx1"/>
                  </w14:solidFill>
                </w14:textFill>
              </w:rPr>
              <w:t>m</w:t>
            </w:r>
            <w:r>
              <w:rPr>
                <w:color w:val="000000" w:themeColor="text1"/>
                <w:kern w:val="0"/>
                <w:szCs w:val="21"/>
                <w:highlight w:val="none"/>
                <w:vertAlign w:val="superscript"/>
                <w:lang w:bidi="ar"/>
                <w14:textFill>
                  <w14:solidFill>
                    <w14:schemeClr w14:val="tx1"/>
                  </w14:solidFill>
                </w14:textFill>
              </w:rPr>
              <w:t>2</w:t>
            </w:r>
            <w:r>
              <w:rPr>
                <w:color w:val="000000" w:themeColor="text1"/>
                <w:kern w:val="0"/>
                <w:szCs w:val="21"/>
                <w:highlight w:val="none"/>
                <w:lang w:bidi="ar"/>
                <w14:textFill>
                  <w14:solidFill>
                    <w14:schemeClr w14:val="tx1"/>
                  </w14:solidFill>
                </w14:textFill>
              </w:rPr>
              <w:t>，</w:t>
            </w:r>
            <w:r>
              <w:rPr>
                <w:rFonts w:hint="eastAsia"/>
                <w:color w:val="000000" w:themeColor="text1"/>
                <w:kern w:val="0"/>
                <w:szCs w:val="21"/>
                <w:highlight w:val="none"/>
                <w:lang w:val="en-US" w:eastAsia="zh-CN" w:bidi="ar"/>
                <w14:textFill>
                  <w14:solidFill>
                    <w14:schemeClr w14:val="tx1"/>
                  </w14:solidFill>
                </w14:textFill>
              </w:rPr>
              <w:t>本次扩建在1楼进行，2楼为PCB/A生产线，3楼为仓库</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801" w:type="pct"/>
            <w:vMerge w:val="restart"/>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辅助工程</w:t>
            </w:r>
          </w:p>
        </w:tc>
        <w:tc>
          <w:tcPr>
            <w:tcW w:w="996"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kern w:val="0"/>
                <w:szCs w:val="21"/>
                <w:highlight w:val="none"/>
                <w:lang w:bidi="ar"/>
                <w14:textFill>
                  <w14:solidFill>
                    <w14:schemeClr w14:val="tx1"/>
                  </w14:solidFill>
                </w14:textFill>
              </w:rPr>
            </w:pPr>
            <w:r>
              <w:rPr>
                <w:color w:val="000000" w:themeColor="text1"/>
                <w:kern w:val="0"/>
                <w:szCs w:val="21"/>
                <w:highlight w:val="none"/>
                <w:lang w:bidi="ar"/>
                <w14:textFill>
                  <w14:solidFill>
                    <w14:schemeClr w14:val="tx1"/>
                  </w14:solidFill>
                </w14:textFill>
              </w:rPr>
              <w:t>办公楼</w:t>
            </w:r>
          </w:p>
        </w:tc>
        <w:tc>
          <w:tcPr>
            <w:tcW w:w="3202"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kern w:val="0"/>
                <w:szCs w:val="21"/>
                <w:highlight w:val="none"/>
                <w:lang w:bidi="ar"/>
                <w14:textFill>
                  <w14:solidFill>
                    <w14:schemeClr w14:val="tx1"/>
                  </w14:solidFill>
                </w14:textFill>
              </w:rPr>
            </w:pPr>
            <w:r>
              <w:rPr>
                <w:color w:val="000000" w:themeColor="text1"/>
                <w:kern w:val="0"/>
                <w:szCs w:val="21"/>
                <w:highlight w:val="none"/>
                <w:lang w:bidi="ar"/>
                <w14:textFill>
                  <w14:solidFill>
                    <w14:schemeClr w14:val="tx1"/>
                  </w14:solidFill>
                </w14:textFill>
              </w:rPr>
              <w:t>1栋，3层，占地面积</w:t>
            </w:r>
            <w:r>
              <w:rPr>
                <w:rFonts w:hint="eastAsia"/>
                <w:color w:val="000000" w:themeColor="text1"/>
                <w:kern w:val="0"/>
                <w:szCs w:val="21"/>
                <w:highlight w:val="none"/>
                <w:lang w:val="en-US" w:eastAsia="zh-CN" w:bidi="ar"/>
                <w14:textFill>
                  <w14:solidFill>
                    <w14:schemeClr w14:val="tx1"/>
                  </w14:solidFill>
                </w14:textFill>
              </w:rPr>
              <w:t>1060</w:t>
            </w:r>
            <w:r>
              <w:rPr>
                <w:rStyle w:val="305"/>
                <w:rFonts w:hint="default" w:ascii="Times New Roman" w:hAnsi="Times New Roman" w:cs="Times New Roman"/>
                <w:color w:val="000000" w:themeColor="text1"/>
                <w:sz w:val="21"/>
                <w:szCs w:val="21"/>
                <w:highlight w:val="none"/>
                <w:lang w:bidi="ar"/>
                <w14:textFill>
                  <w14:solidFill>
                    <w14:schemeClr w14:val="tx1"/>
                  </w14:solidFill>
                </w14:textFill>
              </w:rPr>
              <w:t>m</w:t>
            </w:r>
            <w:r>
              <w:rPr>
                <w:color w:val="000000" w:themeColor="text1"/>
                <w:kern w:val="0"/>
                <w:szCs w:val="21"/>
                <w:highlight w:val="none"/>
                <w:vertAlign w:val="superscript"/>
                <w:lang w:bidi="ar"/>
                <w14:textFill>
                  <w14:solidFill>
                    <w14:schemeClr w14:val="tx1"/>
                  </w14:solidFill>
                </w14:textFill>
              </w:rPr>
              <w:t>2</w:t>
            </w:r>
            <w:r>
              <w:rPr>
                <w:color w:val="000000" w:themeColor="text1"/>
                <w:kern w:val="0"/>
                <w:szCs w:val="21"/>
                <w:highlight w:val="none"/>
                <w:lang w:bidi="ar"/>
                <w14:textFill>
                  <w14:solidFill>
                    <w14:schemeClr w14:val="tx1"/>
                  </w14:solidFill>
                </w14:textFill>
              </w:rPr>
              <w:t>，总建筑面积为</w:t>
            </w:r>
            <w:r>
              <w:rPr>
                <w:rFonts w:hint="eastAsia"/>
                <w:color w:val="000000" w:themeColor="text1"/>
                <w:kern w:val="0"/>
                <w:szCs w:val="21"/>
                <w:highlight w:val="none"/>
                <w:lang w:val="en-US" w:eastAsia="zh-CN" w:bidi="ar"/>
                <w14:textFill>
                  <w14:solidFill>
                    <w14:schemeClr w14:val="tx1"/>
                  </w14:solidFill>
                </w14:textFill>
              </w:rPr>
              <w:t>3180</w:t>
            </w:r>
            <w:r>
              <w:rPr>
                <w:rStyle w:val="305"/>
                <w:rFonts w:hint="default" w:ascii="Times New Roman" w:hAnsi="Times New Roman" w:cs="Times New Roman"/>
                <w:color w:val="000000" w:themeColor="text1"/>
                <w:sz w:val="21"/>
                <w:szCs w:val="21"/>
                <w:highlight w:val="none"/>
                <w:lang w:bidi="ar"/>
                <w14:textFill>
                  <w14:solidFill>
                    <w14:schemeClr w14:val="tx1"/>
                  </w14:solidFill>
                </w14:textFill>
              </w:rPr>
              <w:t>m</w:t>
            </w:r>
            <w:r>
              <w:rPr>
                <w:color w:val="000000" w:themeColor="text1"/>
                <w:kern w:val="0"/>
                <w:szCs w:val="21"/>
                <w:highlight w:val="none"/>
                <w:vertAlign w:val="superscript"/>
                <w:lang w:bidi="ar"/>
                <w14:textFill>
                  <w14:solidFill>
                    <w14:schemeClr w14:val="tx1"/>
                  </w14:solidFill>
                </w14:textFill>
              </w:rPr>
              <w:t>2</w:t>
            </w:r>
            <w:r>
              <w:rPr>
                <w:color w:val="000000" w:themeColor="text1"/>
                <w:kern w:val="0"/>
                <w:szCs w:val="21"/>
                <w:highlight w:val="none"/>
                <w:lang w:bidi="ar"/>
                <w14:textFill>
                  <w14:solidFill>
                    <w14:schemeClr w14:val="tx1"/>
                  </w14:solidFill>
                </w14:textFill>
              </w:rPr>
              <w:t>，砖混结构。</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801" w:type="pct"/>
            <w:vMerge w:val="continue"/>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p>
        </w:tc>
        <w:tc>
          <w:tcPr>
            <w:tcW w:w="996"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kern w:val="0"/>
                <w:szCs w:val="21"/>
                <w:highlight w:val="none"/>
                <w:lang w:bidi="ar"/>
                <w14:textFill>
                  <w14:solidFill>
                    <w14:schemeClr w14:val="tx1"/>
                  </w14:solidFill>
                </w14:textFill>
              </w:rPr>
            </w:pPr>
            <w:r>
              <w:rPr>
                <w:color w:val="000000" w:themeColor="text1"/>
                <w:kern w:val="0"/>
                <w:szCs w:val="21"/>
                <w:highlight w:val="none"/>
                <w:lang w:bidi="ar"/>
                <w14:textFill>
                  <w14:solidFill>
                    <w14:schemeClr w14:val="tx1"/>
                  </w14:solidFill>
                </w14:textFill>
              </w:rPr>
              <w:t>宿舍</w:t>
            </w:r>
          </w:p>
        </w:tc>
        <w:tc>
          <w:tcPr>
            <w:tcW w:w="3202"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kern w:val="0"/>
                <w:szCs w:val="21"/>
                <w:highlight w:val="none"/>
                <w:lang w:bidi="ar"/>
                <w14:textFill>
                  <w14:solidFill>
                    <w14:schemeClr w14:val="tx1"/>
                  </w14:solidFill>
                </w14:textFill>
              </w:rPr>
            </w:pPr>
            <w:r>
              <w:rPr>
                <w:rFonts w:hint="eastAsia"/>
                <w:color w:val="000000" w:themeColor="text1"/>
                <w:kern w:val="0"/>
                <w:szCs w:val="21"/>
                <w:highlight w:val="none"/>
                <w:lang w:val="en-US" w:eastAsia="zh-CN" w:bidi="ar"/>
                <w14:textFill>
                  <w14:solidFill>
                    <w14:schemeClr w14:val="tx1"/>
                  </w14:solidFill>
                </w14:textFill>
              </w:rPr>
              <w:t>3栋，3F，</w:t>
            </w:r>
            <w:r>
              <w:rPr>
                <w:color w:val="000000" w:themeColor="text1"/>
                <w:kern w:val="0"/>
                <w:szCs w:val="21"/>
                <w:highlight w:val="none"/>
                <w:lang w:bidi="ar"/>
                <w14:textFill>
                  <w14:solidFill>
                    <w14:schemeClr w14:val="tx1"/>
                  </w14:solidFill>
                </w14:textFill>
              </w:rPr>
              <w:t>占地面积</w:t>
            </w:r>
            <w:r>
              <w:rPr>
                <w:rFonts w:hint="eastAsia"/>
                <w:color w:val="000000" w:themeColor="text1"/>
                <w:kern w:val="0"/>
                <w:szCs w:val="21"/>
                <w:highlight w:val="none"/>
                <w:lang w:val="en-US" w:eastAsia="zh-CN" w:bidi="ar"/>
                <w14:textFill>
                  <w14:solidFill>
                    <w14:schemeClr w14:val="tx1"/>
                  </w14:solidFill>
                </w14:textFill>
              </w:rPr>
              <w:t>1080</w:t>
            </w:r>
            <w:r>
              <w:rPr>
                <w:rStyle w:val="305"/>
                <w:rFonts w:hint="default" w:ascii="Times New Roman" w:hAnsi="Times New Roman" w:cs="Times New Roman"/>
                <w:color w:val="000000" w:themeColor="text1"/>
                <w:sz w:val="21"/>
                <w:szCs w:val="21"/>
                <w:highlight w:val="none"/>
                <w:lang w:bidi="ar"/>
                <w14:textFill>
                  <w14:solidFill>
                    <w14:schemeClr w14:val="tx1"/>
                  </w14:solidFill>
                </w14:textFill>
              </w:rPr>
              <w:t>m</w:t>
            </w:r>
            <w:r>
              <w:rPr>
                <w:color w:val="000000" w:themeColor="text1"/>
                <w:kern w:val="0"/>
                <w:szCs w:val="21"/>
                <w:highlight w:val="none"/>
                <w:vertAlign w:val="superscript"/>
                <w:lang w:bidi="ar"/>
                <w14:textFill>
                  <w14:solidFill>
                    <w14:schemeClr w14:val="tx1"/>
                  </w14:solidFill>
                </w14:textFill>
              </w:rPr>
              <w:t>2</w:t>
            </w:r>
            <w:r>
              <w:rPr>
                <w:color w:val="000000" w:themeColor="text1"/>
                <w:kern w:val="0"/>
                <w:szCs w:val="21"/>
                <w:highlight w:val="none"/>
                <w:lang w:bidi="ar"/>
                <w14:textFill>
                  <w14:solidFill>
                    <w14:schemeClr w14:val="tx1"/>
                  </w14:solidFill>
                </w14:textFill>
              </w:rPr>
              <w:t>，总建筑面积为</w:t>
            </w:r>
            <w:r>
              <w:rPr>
                <w:rFonts w:hint="eastAsia"/>
                <w:color w:val="000000" w:themeColor="text1"/>
                <w:kern w:val="0"/>
                <w:szCs w:val="21"/>
                <w:highlight w:val="none"/>
                <w:lang w:val="en-US" w:eastAsia="zh-CN" w:bidi="ar"/>
                <w14:textFill>
                  <w14:solidFill>
                    <w14:schemeClr w14:val="tx1"/>
                  </w14:solidFill>
                </w14:textFill>
              </w:rPr>
              <w:t>6480</w:t>
            </w:r>
            <w:r>
              <w:rPr>
                <w:rStyle w:val="305"/>
                <w:rFonts w:hint="default" w:ascii="Times New Roman" w:hAnsi="Times New Roman" w:cs="Times New Roman"/>
                <w:color w:val="000000" w:themeColor="text1"/>
                <w:sz w:val="21"/>
                <w:szCs w:val="21"/>
                <w:highlight w:val="none"/>
                <w:lang w:bidi="ar"/>
                <w14:textFill>
                  <w14:solidFill>
                    <w14:schemeClr w14:val="tx1"/>
                  </w14:solidFill>
                </w14:textFill>
              </w:rPr>
              <w:t>m</w:t>
            </w:r>
            <w:r>
              <w:rPr>
                <w:color w:val="000000" w:themeColor="text1"/>
                <w:kern w:val="0"/>
                <w:szCs w:val="21"/>
                <w:highlight w:val="none"/>
                <w:vertAlign w:val="superscript"/>
                <w:lang w:bidi="ar"/>
                <w14:textFill>
                  <w14:solidFill>
                    <w14:schemeClr w14:val="tx1"/>
                  </w14:solidFill>
                </w14:textFill>
              </w:rPr>
              <w:t>2</w:t>
            </w:r>
            <w:r>
              <w:rPr>
                <w:color w:val="000000" w:themeColor="text1"/>
                <w:kern w:val="0"/>
                <w:szCs w:val="21"/>
                <w:highlight w:val="none"/>
                <w:lang w:bidi="ar"/>
                <w14:textFill>
                  <w14:solidFill>
                    <w14:schemeClr w14:val="tx1"/>
                  </w14:solidFill>
                </w14:textFill>
              </w:rPr>
              <w:t>，砖混结构</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801" w:type="pct"/>
            <w:vMerge w:val="continue"/>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p>
        </w:tc>
        <w:tc>
          <w:tcPr>
            <w:tcW w:w="996"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kern w:val="0"/>
                <w:szCs w:val="21"/>
                <w:highlight w:val="none"/>
                <w:lang w:bidi="ar"/>
                <w14:textFill>
                  <w14:solidFill>
                    <w14:schemeClr w14:val="tx1"/>
                  </w14:solidFill>
                </w14:textFill>
              </w:rPr>
            </w:pPr>
            <w:r>
              <w:rPr>
                <w:color w:val="000000" w:themeColor="text1"/>
                <w:kern w:val="0"/>
                <w:szCs w:val="21"/>
                <w:highlight w:val="none"/>
                <w:lang w:bidi="ar"/>
                <w14:textFill>
                  <w14:solidFill>
                    <w14:schemeClr w14:val="tx1"/>
                  </w14:solidFill>
                </w14:textFill>
              </w:rPr>
              <w:t>食堂</w:t>
            </w:r>
          </w:p>
        </w:tc>
        <w:tc>
          <w:tcPr>
            <w:tcW w:w="3202"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kern w:val="0"/>
                <w:szCs w:val="21"/>
                <w:highlight w:val="none"/>
                <w:lang w:bidi="ar"/>
                <w14:textFill>
                  <w14:solidFill>
                    <w14:schemeClr w14:val="tx1"/>
                  </w14:solidFill>
                </w14:textFill>
              </w:rPr>
            </w:pPr>
            <w:r>
              <w:rPr>
                <w:rFonts w:hint="eastAsia"/>
                <w:color w:val="000000" w:themeColor="text1"/>
                <w:kern w:val="0"/>
                <w:szCs w:val="21"/>
                <w:highlight w:val="none"/>
                <w:lang w:val="en-US" w:eastAsia="zh-CN" w:bidi="ar"/>
                <w14:textFill>
                  <w14:solidFill>
                    <w14:schemeClr w14:val="tx1"/>
                  </w14:solidFill>
                </w14:textFill>
              </w:rPr>
              <w:t>1栋，3F，</w:t>
            </w:r>
            <w:r>
              <w:rPr>
                <w:color w:val="000000" w:themeColor="text1"/>
                <w:kern w:val="0"/>
                <w:szCs w:val="21"/>
                <w:highlight w:val="none"/>
                <w:lang w:bidi="ar"/>
                <w14:textFill>
                  <w14:solidFill>
                    <w14:schemeClr w14:val="tx1"/>
                  </w14:solidFill>
                </w14:textFill>
              </w:rPr>
              <w:t>占地面积</w:t>
            </w:r>
            <w:r>
              <w:rPr>
                <w:rFonts w:hint="eastAsia"/>
                <w:color w:val="000000" w:themeColor="text1"/>
                <w:kern w:val="0"/>
                <w:szCs w:val="21"/>
                <w:highlight w:val="none"/>
                <w:lang w:val="en-US" w:eastAsia="zh-CN" w:bidi="ar"/>
                <w14:textFill>
                  <w14:solidFill>
                    <w14:schemeClr w14:val="tx1"/>
                  </w14:solidFill>
                </w14:textFill>
              </w:rPr>
              <w:t>2000</w:t>
            </w:r>
            <w:r>
              <w:rPr>
                <w:rStyle w:val="305"/>
                <w:rFonts w:hint="default" w:ascii="Times New Roman" w:hAnsi="Times New Roman" w:cs="Times New Roman"/>
                <w:color w:val="000000" w:themeColor="text1"/>
                <w:sz w:val="21"/>
                <w:szCs w:val="21"/>
                <w:highlight w:val="none"/>
                <w:lang w:bidi="ar"/>
                <w14:textFill>
                  <w14:solidFill>
                    <w14:schemeClr w14:val="tx1"/>
                  </w14:solidFill>
                </w14:textFill>
              </w:rPr>
              <w:t>m</w:t>
            </w:r>
            <w:r>
              <w:rPr>
                <w:color w:val="000000" w:themeColor="text1"/>
                <w:kern w:val="0"/>
                <w:szCs w:val="21"/>
                <w:highlight w:val="none"/>
                <w:vertAlign w:val="superscript"/>
                <w:lang w:bidi="ar"/>
                <w14:textFill>
                  <w14:solidFill>
                    <w14:schemeClr w14:val="tx1"/>
                  </w14:solidFill>
                </w14:textFill>
              </w:rPr>
              <w:t>2</w:t>
            </w:r>
            <w:r>
              <w:rPr>
                <w:color w:val="000000" w:themeColor="text1"/>
                <w:kern w:val="0"/>
                <w:szCs w:val="21"/>
                <w:highlight w:val="none"/>
                <w:lang w:bidi="ar"/>
                <w14:textFill>
                  <w14:solidFill>
                    <w14:schemeClr w14:val="tx1"/>
                  </w14:solidFill>
                </w14:textFill>
              </w:rPr>
              <w:t>，总建筑面积为</w:t>
            </w:r>
            <w:r>
              <w:rPr>
                <w:rFonts w:hint="eastAsia"/>
                <w:color w:val="000000" w:themeColor="text1"/>
                <w:kern w:val="0"/>
                <w:szCs w:val="21"/>
                <w:highlight w:val="none"/>
                <w:lang w:val="en-US" w:eastAsia="zh-CN" w:bidi="ar"/>
                <w14:textFill>
                  <w14:solidFill>
                    <w14:schemeClr w14:val="tx1"/>
                  </w14:solidFill>
                </w14:textFill>
              </w:rPr>
              <w:t>6000</w:t>
            </w:r>
            <w:r>
              <w:rPr>
                <w:rStyle w:val="305"/>
                <w:rFonts w:hint="default" w:ascii="Times New Roman" w:hAnsi="Times New Roman" w:cs="Times New Roman"/>
                <w:color w:val="000000" w:themeColor="text1"/>
                <w:sz w:val="21"/>
                <w:szCs w:val="21"/>
                <w:highlight w:val="none"/>
                <w:lang w:bidi="ar"/>
                <w14:textFill>
                  <w14:solidFill>
                    <w14:schemeClr w14:val="tx1"/>
                  </w14:solidFill>
                </w14:textFill>
              </w:rPr>
              <w:t>m</w:t>
            </w:r>
            <w:r>
              <w:rPr>
                <w:color w:val="000000" w:themeColor="text1"/>
                <w:kern w:val="0"/>
                <w:szCs w:val="21"/>
                <w:highlight w:val="none"/>
                <w:vertAlign w:val="superscript"/>
                <w:lang w:bidi="ar"/>
                <w14:textFill>
                  <w14:solidFill>
                    <w14:schemeClr w14:val="tx1"/>
                  </w14:solidFill>
                </w14:textFill>
              </w:rPr>
              <w:t>2</w:t>
            </w:r>
            <w:r>
              <w:rPr>
                <w:color w:val="000000" w:themeColor="text1"/>
                <w:kern w:val="0"/>
                <w:szCs w:val="21"/>
                <w:highlight w:val="none"/>
                <w:lang w:bidi="ar"/>
                <w14:textFill>
                  <w14:solidFill>
                    <w14:schemeClr w14:val="tx1"/>
                  </w14:solidFill>
                </w14:textFill>
              </w:rPr>
              <w:t>，砖混结构</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801" w:type="pct"/>
            <w:vMerge w:val="continue"/>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p>
        </w:tc>
        <w:tc>
          <w:tcPr>
            <w:tcW w:w="996"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kern w:val="0"/>
                <w:szCs w:val="21"/>
                <w:highlight w:val="none"/>
                <w:lang w:bidi="ar"/>
                <w14:textFill>
                  <w14:solidFill>
                    <w14:schemeClr w14:val="tx1"/>
                  </w14:solidFill>
                </w14:textFill>
              </w:rPr>
            </w:pPr>
            <w:r>
              <w:rPr>
                <w:color w:val="000000" w:themeColor="text1"/>
                <w:kern w:val="0"/>
                <w:szCs w:val="21"/>
                <w:highlight w:val="none"/>
                <w:lang w:bidi="ar"/>
                <w14:textFill>
                  <w14:solidFill>
                    <w14:schemeClr w14:val="tx1"/>
                  </w14:solidFill>
                </w14:textFill>
              </w:rPr>
              <w:t>门卫房</w:t>
            </w:r>
          </w:p>
        </w:tc>
        <w:tc>
          <w:tcPr>
            <w:tcW w:w="3202"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kern w:val="0"/>
                <w:szCs w:val="21"/>
                <w:highlight w:val="none"/>
                <w:lang w:bidi="ar"/>
                <w14:textFill>
                  <w14:solidFill>
                    <w14:schemeClr w14:val="tx1"/>
                  </w14:solidFill>
                </w14:textFill>
              </w:rPr>
            </w:pPr>
            <w:r>
              <w:rPr>
                <w:color w:val="000000" w:themeColor="text1"/>
                <w:kern w:val="0"/>
                <w:szCs w:val="21"/>
                <w:highlight w:val="none"/>
                <w:lang w:bidi="ar"/>
                <w14:textFill>
                  <w14:solidFill>
                    <w14:schemeClr w14:val="tx1"/>
                  </w14:solidFill>
                </w14:textFill>
              </w:rPr>
              <w:t>一层，建筑面积40</w:t>
            </w:r>
            <w:r>
              <w:rPr>
                <w:rStyle w:val="305"/>
                <w:rFonts w:hint="default" w:ascii="Times New Roman" w:hAnsi="Times New Roman" w:cs="Times New Roman"/>
                <w:color w:val="000000" w:themeColor="text1"/>
                <w:sz w:val="21"/>
                <w:szCs w:val="21"/>
                <w:highlight w:val="none"/>
                <w:lang w:bidi="ar"/>
                <w14:textFill>
                  <w14:solidFill>
                    <w14:schemeClr w14:val="tx1"/>
                  </w14:solidFill>
                </w14:textFill>
              </w:rPr>
              <w:t>m</w:t>
            </w:r>
            <w:r>
              <w:rPr>
                <w:color w:val="000000" w:themeColor="text1"/>
                <w:kern w:val="0"/>
                <w:szCs w:val="21"/>
                <w:highlight w:val="none"/>
                <w:vertAlign w:val="superscript"/>
                <w:lang w:bidi="ar"/>
                <w14:textFill>
                  <w14:solidFill>
                    <w14:schemeClr w14:val="tx1"/>
                  </w14:solidFill>
                </w14:textFill>
              </w:rPr>
              <w:t>2</w:t>
            </w:r>
            <w:r>
              <w:rPr>
                <w:color w:val="000000" w:themeColor="text1"/>
                <w:kern w:val="0"/>
                <w:szCs w:val="21"/>
                <w:highlight w:val="none"/>
                <w:lang w:bidi="ar"/>
                <w14:textFill>
                  <w14:solidFill>
                    <w14:schemeClr w14:val="tx1"/>
                  </w14:solidFill>
                </w14:textFill>
              </w:rPr>
              <w:t>，砖混结构</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801" w:type="pct"/>
            <w:vMerge w:val="continue"/>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p>
        </w:tc>
        <w:tc>
          <w:tcPr>
            <w:tcW w:w="996"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kern w:val="0"/>
                <w:szCs w:val="21"/>
                <w:highlight w:val="none"/>
                <w:lang w:bidi="ar"/>
                <w14:textFill>
                  <w14:solidFill>
                    <w14:schemeClr w14:val="tx1"/>
                  </w14:solidFill>
                </w14:textFill>
              </w:rPr>
            </w:pPr>
            <w:r>
              <w:rPr>
                <w:color w:val="000000" w:themeColor="text1"/>
                <w:kern w:val="0"/>
                <w:szCs w:val="21"/>
                <w:highlight w:val="none"/>
                <w:lang w:bidi="ar"/>
                <w14:textFill>
                  <w14:solidFill>
                    <w14:schemeClr w14:val="tx1"/>
                  </w14:solidFill>
                </w14:textFill>
              </w:rPr>
              <w:t>配电房</w:t>
            </w:r>
          </w:p>
        </w:tc>
        <w:tc>
          <w:tcPr>
            <w:tcW w:w="3202"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kern w:val="0"/>
                <w:szCs w:val="21"/>
                <w:highlight w:val="none"/>
                <w:lang w:bidi="ar"/>
                <w14:textFill>
                  <w14:solidFill>
                    <w14:schemeClr w14:val="tx1"/>
                  </w14:solidFill>
                </w14:textFill>
              </w:rPr>
            </w:pPr>
            <w:r>
              <w:rPr>
                <w:color w:val="000000" w:themeColor="text1"/>
                <w:kern w:val="0"/>
                <w:szCs w:val="21"/>
                <w:highlight w:val="none"/>
                <w:lang w:bidi="ar"/>
                <w14:textFill>
                  <w14:solidFill>
                    <w14:schemeClr w14:val="tx1"/>
                  </w14:solidFill>
                </w14:textFill>
              </w:rPr>
              <w:t>一层，建筑面积</w:t>
            </w:r>
            <w:r>
              <w:rPr>
                <w:rFonts w:hint="eastAsia"/>
                <w:color w:val="000000" w:themeColor="text1"/>
                <w:kern w:val="0"/>
                <w:szCs w:val="21"/>
                <w:highlight w:val="none"/>
                <w:lang w:val="en-US" w:eastAsia="zh-CN" w:bidi="ar"/>
                <w14:textFill>
                  <w14:solidFill>
                    <w14:schemeClr w14:val="tx1"/>
                  </w14:solidFill>
                </w14:textFill>
              </w:rPr>
              <w:t>40</w:t>
            </w:r>
            <w:r>
              <w:rPr>
                <w:rStyle w:val="305"/>
                <w:rFonts w:hint="default" w:ascii="Times New Roman" w:hAnsi="Times New Roman" w:cs="Times New Roman"/>
                <w:color w:val="000000" w:themeColor="text1"/>
                <w:sz w:val="21"/>
                <w:szCs w:val="21"/>
                <w:highlight w:val="none"/>
                <w:lang w:bidi="ar"/>
                <w14:textFill>
                  <w14:solidFill>
                    <w14:schemeClr w14:val="tx1"/>
                  </w14:solidFill>
                </w14:textFill>
              </w:rPr>
              <w:t>m</w:t>
            </w:r>
            <w:r>
              <w:rPr>
                <w:color w:val="000000" w:themeColor="text1"/>
                <w:kern w:val="0"/>
                <w:szCs w:val="21"/>
                <w:highlight w:val="none"/>
                <w:vertAlign w:val="superscript"/>
                <w:lang w:bidi="ar"/>
                <w14:textFill>
                  <w14:solidFill>
                    <w14:schemeClr w14:val="tx1"/>
                  </w14:solidFill>
                </w14:textFill>
              </w:rPr>
              <w:t>2</w:t>
            </w:r>
            <w:r>
              <w:rPr>
                <w:color w:val="000000" w:themeColor="text1"/>
                <w:kern w:val="0"/>
                <w:szCs w:val="21"/>
                <w:highlight w:val="none"/>
                <w:lang w:bidi="ar"/>
                <w14:textFill>
                  <w14:solidFill>
                    <w14:schemeClr w14:val="tx1"/>
                  </w14:solidFill>
                </w14:textFill>
              </w:rPr>
              <w:t>，砖混结构</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801" w:type="pct"/>
            <w:vMerge w:val="restar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szCs w:val="21"/>
                <w:highlight w:val="none"/>
                <w14:textFill>
                  <w14:solidFill>
                    <w14:schemeClr w14:val="tx1"/>
                  </w14:solidFill>
                </w14:textFill>
              </w:rPr>
            </w:pPr>
            <w:r>
              <w:rPr>
                <w:color w:val="000000" w:themeColor="text1"/>
                <w:kern w:val="0"/>
                <w:szCs w:val="21"/>
                <w:highlight w:val="none"/>
                <w:lang w:bidi="ar"/>
                <w14:textFill>
                  <w14:solidFill>
                    <w14:schemeClr w14:val="tx1"/>
                  </w14:solidFill>
                </w14:textFill>
              </w:rPr>
              <w:t>公用工程</w:t>
            </w:r>
          </w:p>
        </w:tc>
        <w:tc>
          <w:tcPr>
            <w:tcW w:w="996"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szCs w:val="21"/>
                <w:highlight w:val="none"/>
                <w14:textFill>
                  <w14:solidFill>
                    <w14:schemeClr w14:val="tx1"/>
                  </w14:solidFill>
                </w14:textFill>
              </w:rPr>
            </w:pPr>
            <w:r>
              <w:rPr>
                <w:color w:val="000000" w:themeColor="text1"/>
                <w:kern w:val="0"/>
                <w:szCs w:val="21"/>
                <w:highlight w:val="none"/>
                <w:lang w:bidi="ar"/>
                <w14:textFill>
                  <w14:solidFill>
                    <w14:schemeClr w14:val="tx1"/>
                  </w14:solidFill>
                </w14:textFill>
              </w:rPr>
              <w:t>供电</w:t>
            </w:r>
          </w:p>
        </w:tc>
        <w:tc>
          <w:tcPr>
            <w:tcW w:w="3202"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szCs w:val="21"/>
                <w:highlight w:val="none"/>
                <w14:textFill>
                  <w14:solidFill>
                    <w14:schemeClr w14:val="tx1"/>
                  </w14:solidFill>
                </w14:textFill>
              </w:rPr>
            </w:pPr>
            <w:r>
              <w:rPr>
                <w:color w:val="000000" w:themeColor="text1"/>
                <w:kern w:val="0"/>
                <w:szCs w:val="21"/>
                <w:highlight w:val="none"/>
                <w:lang w:bidi="ar"/>
                <w14:textFill>
                  <w14:solidFill>
                    <w14:schemeClr w14:val="tx1"/>
                  </w14:solidFill>
                </w14:textFill>
              </w:rPr>
              <w:t>市政电网供电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801" w:type="pct"/>
            <w:vMerge w:val="continue"/>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p>
        </w:tc>
        <w:tc>
          <w:tcPr>
            <w:tcW w:w="996"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szCs w:val="21"/>
                <w:highlight w:val="none"/>
                <w14:textFill>
                  <w14:solidFill>
                    <w14:schemeClr w14:val="tx1"/>
                  </w14:solidFill>
                </w14:textFill>
              </w:rPr>
            </w:pPr>
            <w:r>
              <w:rPr>
                <w:color w:val="000000" w:themeColor="text1"/>
                <w:kern w:val="0"/>
                <w:szCs w:val="21"/>
                <w:highlight w:val="none"/>
                <w:lang w:bidi="ar"/>
                <w14:textFill>
                  <w14:solidFill>
                    <w14:schemeClr w14:val="tx1"/>
                  </w14:solidFill>
                </w14:textFill>
              </w:rPr>
              <w:t>供水</w:t>
            </w:r>
          </w:p>
        </w:tc>
        <w:tc>
          <w:tcPr>
            <w:tcW w:w="3202"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szCs w:val="21"/>
                <w:highlight w:val="none"/>
                <w14:textFill>
                  <w14:solidFill>
                    <w14:schemeClr w14:val="tx1"/>
                  </w14:solidFill>
                </w14:textFill>
              </w:rPr>
            </w:pPr>
            <w:r>
              <w:rPr>
                <w:color w:val="000000" w:themeColor="text1"/>
                <w:kern w:val="0"/>
                <w:szCs w:val="21"/>
                <w:highlight w:val="none"/>
                <w:lang w:bidi="ar"/>
                <w14:textFill>
                  <w14:solidFill>
                    <w14:schemeClr w14:val="tx1"/>
                  </w14:solidFill>
                </w14:textFill>
              </w:rPr>
              <w:t>市政供应</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trPr>
        <w:tc>
          <w:tcPr>
            <w:tcW w:w="801" w:type="pct"/>
            <w:vMerge w:val="continue"/>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p>
        </w:tc>
        <w:tc>
          <w:tcPr>
            <w:tcW w:w="996"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kern w:val="0"/>
                <w:szCs w:val="21"/>
                <w:highlight w:val="none"/>
                <w:lang w:bidi="ar"/>
                <w14:textFill>
                  <w14:solidFill>
                    <w14:schemeClr w14:val="tx1"/>
                  </w14:solidFill>
                </w14:textFill>
              </w:rPr>
            </w:pPr>
            <w:r>
              <w:rPr>
                <w:color w:val="000000" w:themeColor="text1"/>
                <w:kern w:val="0"/>
                <w:szCs w:val="21"/>
                <w:highlight w:val="none"/>
                <w:lang w:bidi="ar"/>
                <w14:textFill>
                  <w14:solidFill>
                    <w14:schemeClr w14:val="tx1"/>
                  </w14:solidFill>
                </w14:textFill>
              </w:rPr>
              <w:t>排水</w:t>
            </w:r>
          </w:p>
        </w:tc>
        <w:tc>
          <w:tcPr>
            <w:tcW w:w="3202"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kern w:val="0"/>
                <w:szCs w:val="21"/>
                <w:highlight w:val="none"/>
                <w:lang w:bidi="ar"/>
                <w14:textFill>
                  <w14:solidFill>
                    <w14:schemeClr w14:val="tx1"/>
                  </w14:solidFill>
                </w14:textFill>
              </w:rPr>
            </w:pPr>
            <w:r>
              <w:rPr>
                <w:color w:val="000000" w:themeColor="text1"/>
                <w:kern w:val="0"/>
                <w:szCs w:val="21"/>
                <w:highlight w:val="none"/>
                <w:lang w:bidi="ar"/>
                <w14:textFill>
                  <w14:solidFill>
                    <w14:schemeClr w14:val="tx1"/>
                  </w14:solidFill>
                </w14:textFill>
              </w:rPr>
              <w:t>采用雨污分流</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801" w:type="pct"/>
            <w:vMerge w:val="restar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szCs w:val="21"/>
                <w:highlight w:val="none"/>
                <w14:textFill>
                  <w14:solidFill>
                    <w14:schemeClr w14:val="tx1"/>
                  </w14:solidFill>
                </w14:textFill>
              </w:rPr>
            </w:pPr>
            <w:r>
              <w:rPr>
                <w:color w:val="000000" w:themeColor="text1"/>
                <w:kern w:val="0"/>
                <w:szCs w:val="21"/>
                <w:highlight w:val="none"/>
                <w:lang w:bidi="ar"/>
                <w14:textFill>
                  <w14:solidFill>
                    <w14:schemeClr w14:val="tx1"/>
                  </w14:solidFill>
                </w14:textFill>
              </w:rPr>
              <w:t>环保工程</w:t>
            </w:r>
          </w:p>
        </w:tc>
        <w:tc>
          <w:tcPr>
            <w:tcW w:w="996"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szCs w:val="21"/>
                <w:highlight w:val="none"/>
                <w14:textFill>
                  <w14:solidFill>
                    <w14:schemeClr w14:val="tx1"/>
                  </w14:solidFill>
                </w14:textFill>
              </w:rPr>
            </w:pPr>
            <w:r>
              <w:rPr>
                <w:color w:val="000000" w:themeColor="text1"/>
                <w:kern w:val="0"/>
                <w:szCs w:val="21"/>
                <w:highlight w:val="none"/>
                <w:lang w:bidi="ar"/>
                <w14:textFill>
                  <w14:solidFill>
                    <w14:schemeClr w14:val="tx1"/>
                  </w14:solidFill>
                </w14:textFill>
              </w:rPr>
              <w:t>废水</w:t>
            </w:r>
          </w:p>
        </w:tc>
        <w:tc>
          <w:tcPr>
            <w:tcW w:w="3202"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隔油池</w:t>
            </w:r>
            <w:r>
              <w:rPr>
                <w:rFonts w:hint="eastAsia"/>
                <w:color w:val="000000" w:themeColor="text1"/>
                <w:szCs w:val="21"/>
                <w:highlight w:val="none"/>
                <w:lang w:val="en-US" w:eastAsia="zh-CN"/>
                <w14:textFill>
                  <w14:solidFill>
                    <w14:schemeClr w14:val="tx1"/>
                  </w14:solidFill>
                </w14:textFill>
              </w:rPr>
              <w:t>+</w:t>
            </w:r>
            <w:r>
              <w:rPr>
                <w:color w:val="000000" w:themeColor="text1"/>
                <w:szCs w:val="21"/>
                <w:highlight w:val="none"/>
                <w14:textFill>
                  <w14:solidFill>
                    <w14:schemeClr w14:val="tx1"/>
                  </w14:solidFill>
                </w14:textFill>
              </w:rPr>
              <w:t>化粪</w:t>
            </w:r>
            <w:r>
              <w:rPr>
                <w:rFonts w:hint="eastAsia"/>
                <w:color w:val="000000" w:themeColor="text1"/>
                <w:szCs w:val="21"/>
                <w:highlight w:val="none"/>
                <w14:textFill>
                  <w14:solidFill>
                    <w14:schemeClr w14:val="tx1"/>
                  </w14:solidFill>
                </w14:textFill>
              </w:rPr>
              <w:t>池</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801" w:type="pct"/>
            <w:vMerge w:val="continue"/>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p>
        </w:tc>
        <w:tc>
          <w:tcPr>
            <w:tcW w:w="996"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szCs w:val="21"/>
                <w:highlight w:val="none"/>
                <w14:textFill>
                  <w14:solidFill>
                    <w14:schemeClr w14:val="tx1"/>
                  </w14:solidFill>
                </w14:textFill>
              </w:rPr>
            </w:pPr>
            <w:r>
              <w:rPr>
                <w:color w:val="000000" w:themeColor="text1"/>
                <w:kern w:val="0"/>
                <w:szCs w:val="21"/>
                <w:highlight w:val="none"/>
                <w:lang w:bidi="ar"/>
                <w14:textFill>
                  <w14:solidFill>
                    <w14:schemeClr w14:val="tx1"/>
                  </w14:solidFill>
                </w14:textFill>
              </w:rPr>
              <w:t>废气</w:t>
            </w:r>
          </w:p>
        </w:tc>
        <w:tc>
          <w:tcPr>
            <w:tcW w:w="3202" w:type="pct"/>
            <w:noWrap w:val="0"/>
            <w:vAlign w:val="center"/>
          </w:tcPr>
          <w:p>
            <w:pPr>
              <w:keepNext w:val="0"/>
              <w:keepLines w:val="0"/>
              <w:widowControl/>
              <w:suppressLineNumbers w:val="0"/>
              <w:spacing w:before="0" w:beforeAutospacing="0" w:after="0" w:afterAutospacing="0"/>
              <w:ind w:left="0" w:right="0"/>
              <w:jc w:val="left"/>
              <w:textAlignment w:val="center"/>
              <w:rPr>
                <w:color w:val="000000" w:themeColor="text1"/>
                <w:szCs w:val="2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机贴点胶废气：集气罩</w:t>
            </w:r>
            <w:r>
              <w:rPr>
                <w:color w:val="000000" w:themeColor="text1"/>
                <w:szCs w:val="21"/>
                <w:highlight w:val="none"/>
                <w14:textFill>
                  <w14:solidFill>
                    <w14:schemeClr w14:val="tx1"/>
                  </w14:solidFill>
                </w14:textFill>
              </w:rPr>
              <w:t>+活性炭净化装置+15m高排气筒</w:t>
            </w:r>
            <w:r>
              <w:rPr>
                <w:rFonts w:hint="eastAsia"/>
                <w:color w:val="000000" w:themeColor="text1"/>
                <w:szCs w:val="21"/>
                <w:highlight w:val="none"/>
                <w:lang w:val="en-US" w:eastAsia="zh-CN"/>
                <w14:textFill>
                  <w14:solidFill>
                    <w14:schemeClr w14:val="tx1"/>
                  </w14:solidFill>
                </w14:textFill>
              </w:rPr>
              <w:t>2</w:t>
            </w:r>
            <w:r>
              <w:rPr>
                <w:color w:val="000000" w:themeColor="text1"/>
                <w:szCs w:val="21"/>
                <w:highlight w:val="none"/>
                <w14:textFill>
                  <w14:solidFill>
                    <w14:schemeClr w14:val="tx1"/>
                  </w14:solidFill>
                </w14:textFill>
              </w:rPr>
              <w:t>#；</w:t>
            </w:r>
          </w:p>
          <w:p>
            <w:pPr>
              <w:keepNext w:val="0"/>
              <w:keepLines w:val="0"/>
              <w:widowControl/>
              <w:suppressLineNumbers w:val="0"/>
              <w:spacing w:before="0" w:beforeAutospacing="0" w:after="0" w:afterAutospacing="0"/>
              <w:ind w:left="0" w:right="0"/>
              <w:jc w:val="left"/>
              <w:textAlignment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焊接废气：</w:t>
            </w:r>
            <w:r>
              <w:rPr>
                <w:rFonts w:hint="eastAsia"/>
                <w:color w:val="000000" w:themeColor="text1"/>
                <w:highlight w:val="none"/>
                <w:lang w:val="en-US" w:eastAsia="zh-CN"/>
                <w14:textFill>
                  <w14:solidFill>
                    <w14:schemeClr w14:val="tx1"/>
                  </w14:solidFill>
                </w14:textFill>
              </w:rPr>
              <w:t>集气罩</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锡烟净化器+15m排气筒（1#）排放</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801" w:type="pct"/>
            <w:vMerge w:val="continue"/>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p>
        </w:tc>
        <w:tc>
          <w:tcPr>
            <w:tcW w:w="996"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szCs w:val="21"/>
                <w:highlight w:val="none"/>
                <w14:textFill>
                  <w14:solidFill>
                    <w14:schemeClr w14:val="tx1"/>
                  </w14:solidFill>
                </w14:textFill>
              </w:rPr>
            </w:pPr>
            <w:r>
              <w:rPr>
                <w:color w:val="000000" w:themeColor="text1"/>
                <w:kern w:val="0"/>
                <w:szCs w:val="21"/>
                <w:highlight w:val="none"/>
                <w:lang w:bidi="ar"/>
                <w14:textFill>
                  <w14:solidFill>
                    <w14:schemeClr w14:val="tx1"/>
                  </w14:solidFill>
                </w14:textFill>
              </w:rPr>
              <w:t>固废</w:t>
            </w:r>
          </w:p>
        </w:tc>
        <w:tc>
          <w:tcPr>
            <w:tcW w:w="3202"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szCs w:val="21"/>
                <w:highlight w:val="none"/>
                <w14:textFill>
                  <w14:solidFill>
                    <w14:schemeClr w14:val="tx1"/>
                  </w14:solidFill>
                </w14:textFill>
              </w:rPr>
            </w:pPr>
            <w:r>
              <w:rPr>
                <w:color w:val="000000" w:themeColor="text1"/>
                <w:kern w:val="0"/>
                <w:szCs w:val="21"/>
                <w:highlight w:val="none"/>
                <w:lang w:bidi="ar"/>
                <w14:textFill>
                  <w14:solidFill>
                    <w14:schemeClr w14:val="tx1"/>
                  </w14:solidFill>
                </w14:textFill>
              </w:rPr>
              <w:t>垃圾桶、固废暂存间、危废暂存间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trPr>
        <w:tc>
          <w:tcPr>
            <w:tcW w:w="801" w:type="pct"/>
            <w:vMerge w:val="continue"/>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p>
        </w:tc>
        <w:tc>
          <w:tcPr>
            <w:tcW w:w="996"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szCs w:val="21"/>
                <w:highlight w:val="none"/>
                <w14:textFill>
                  <w14:solidFill>
                    <w14:schemeClr w14:val="tx1"/>
                  </w14:solidFill>
                </w14:textFill>
              </w:rPr>
            </w:pPr>
            <w:r>
              <w:rPr>
                <w:color w:val="000000" w:themeColor="text1"/>
                <w:kern w:val="0"/>
                <w:szCs w:val="21"/>
                <w:highlight w:val="none"/>
                <w:lang w:bidi="ar"/>
                <w14:textFill>
                  <w14:solidFill>
                    <w14:schemeClr w14:val="tx1"/>
                  </w14:solidFill>
                </w14:textFill>
              </w:rPr>
              <w:t>噪声</w:t>
            </w:r>
          </w:p>
        </w:tc>
        <w:tc>
          <w:tcPr>
            <w:tcW w:w="3202" w:type="pc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szCs w:val="21"/>
                <w:highlight w:val="none"/>
                <w14:textFill>
                  <w14:solidFill>
                    <w14:schemeClr w14:val="tx1"/>
                  </w14:solidFill>
                </w14:textFill>
              </w:rPr>
            </w:pPr>
            <w:r>
              <w:rPr>
                <w:color w:val="000000" w:themeColor="text1"/>
                <w:kern w:val="0"/>
                <w:szCs w:val="21"/>
                <w:highlight w:val="none"/>
                <w:lang w:bidi="ar"/>
                <w14:textFill>
                  <w14:solidFill>
                    <w14:schemeClr w14:val="tx1"/>
                  </w14:solidFill>
                </w14:textFill>
              </w:rPr>
              <w:t>隔声板、防震垫</w:t>
            </w:r>
          </w:p>
        </w:tc>
      </w:tr>
    </w:tbl>
    <w:p>
      <w:pPr>
        <w:adjustRightInd w:val="0"/>
        <w:snapToGrid w:val="0"/>
        <w:spacing w:line="360" w:lineRule="auto"/>
        <w:rPr>
          <w:b/>
          <w:color w:val="000000" w:themeColor="text1"/>
          <w:kern w:val="0"/>
          <w:position w:val="6"/>
          <w:sz w:val="24"/>
          <w:szCs w:val="20"/>
          <w:highlight w:val="none"/>
          <w14:textFill>
            <w14:solidFill>
              <w14:schemeClr w14:val="tx1"/>
            </w14:solidFill>
          </w14:textFill>
        </w:rPr>
      </w:pPr>
      <w:r>
        <w:rPr>
          <w:rFonts w:hint="eastAsia"/>
          <w:b/>
          <w:color w:val="000000" w:themeColor="text1"/>
          <w:kern w:val="0"/>
          <w:position w:val="6"/>
          <w:sz w:val="24"/>
          <w:szCs w:val="20"/>
          <w:highlight w:val="none"/>
          <w:lang w:eastAsia="zh-CN"/>
          <w14:textFill>
            <w14:solidFill>
              <w14:schemeClr w14:val="tx1"/>
            </w14:solidFill>
          </w14:textFill>
        </w:rPr>
        <w:t>（</w:t>
      </w:r>
      <w:r>
        <w:rPr>
          <w:rFonts w:hint="eastAsia"/>
          <w:b/>
          <w:color w:val="000000" w:themeColor="text1"/>
          <w:kern w:val="0"/>
          <w:position w:val="6"/>
          <w:sz w:val="24"/>
          <w:szCs w:val="20"/>
          <w:highlight w:val="none"/>
          <w:lang w:val="en-US" w:eastAsia="zh-CN"/>
          <w14:textFill>
            <w14:solidFill>
              <w14:schemeClr w14:val="tx1"/>
            </w14:solidFill>
          </w14:textFill>
        </w:rPr>
        <w:t>3</w:t>
      </w:r>
      <w:r>
        <w:rPr>
          <w:rFonts w:hint="eastAsia"/>
          <w:b/>
          <w:color w:val="000000" w:themeColor="text1"/>
          <w:kern w:val="0"/>
          <w:position w:val="6"/>
          <w:sz w:val="24"/>
          <w:szCs w:val="20"/>
          <w:highlight w:val="none"/>
          <w:lang w:eastAsia="zh-CN"/>
          <w14:textFill>
            <w14:solidFill>
              <w14:schemeClr w14:val="tx1"/>
            </w14:solidFill>
          </w14:textFill>
        </w:rPr>
        <w:t>）</w:t>
      </w:r>
      <w:r>
        <w:rPr>
          <w:b/>
          <w:color w:val="000000" w:themeColor="text1"/>
          <w:kern w:val="0"/>
          <w:position w:val="6"/>
          <w:sz w:val="24"/>
          <w:szCs w:val="20"/>
          <w:highlight w:val="none"/>
          <w14:textFill>
            <w14:solidFill>
              <w14:schemeClr w14:val="tx1"/>
            </w14:solidFill>
          </w14:textFill>
        </w:rPr>
        <w:t>主要原辅材料、产能及生产设备</w:t>
      </w:r>
    </w:p>
    <w:p>
      <w:pPr>
        <w:adjustRightInd w:val="0"/>
        <w:snapToGrid w:val="0"/>
        <w:spacing w:line="360" w:lineRule="auto"/>
        <w:ind w:firstLine="236" w:firstLineChars="98"/>
        <w:rPr>
          <w:b/>
          <w:color w:val="000000" w:themeColor="text1"/>
          <w:kern w:val="0"/>
          <w:position w:val="6"/>
          <w:sz w:val="24"/>
          <w:szCs w:val="20"/>
          <w:highlight w:val="none"/>
          <w14:textFill>
            <w14:solidFill>
              <w14:schemeClr w14:val="tx1"/>
            </w14:solidFill>
          </w14:textFill>
        </w:rPr>
      </w:pPr>
      <w:r>
        <w:rPr>
          <w:rFonts w:hint="eastAsia"/>
          <w:b/>
          <w:color w:val="000000" w:themeColor="text1"/>
          <w:kern w:val="0"/>
          <w:position w:val="6"/>
          <w:sz w:val="24"/>
          <w:szCs w:val="20"/>
          <w:highlight w:val="none"/>
          <w:lang w:val="en-US" w:eastAsia="zh-CN"/>
          <w14:textFill>
            <w14:solidFill>
              <w14:schemeClr w14:val="tx1"/>
            </w14:solidFill>
          </w14:textFill>
        </w:rPr>
        <w:t>（3.1）</w:t>
      </w:r>
      <w:r>
        <w:rPr>
          <w:b/>
          <w:color w:val="000000" w:themeColor="text1"/>
          <w:kern w:val="0"/>
          <w:position w:val="6"/>
          <w:sz w:val="24"/>
          <w:szCs w:val="20"/>
          <w:highlight w:val="none"/>
          <w14:textFill>
            <w14:solidFill>
              <w14:schemeClr w14:val="tx1"/>
            </w14:solidFill>
          </w14:textFill>
        </w:rPr>
        <w:t>主要原辅材料</w:t>
      </w:r>
    </w:p>
    <w:p>
      <w:pPr>
        <w:adjustRightInd w:val="0"/>
        <w:spacing w:line="360" w:lineRule="auto"/>
        <w:ind w:left="51" w:firstLine="427" w:firstLineChars="178"/>
        <w:textAlignment w:val="baseline"/>
        <w:rPr>
          <w:b/>
          <w:color w:val="000000" w:themeColor="text1"/>
          <w:kern w:val="21"/>
          <w:sz w:val="24"/>
          <w:highlight w:val="none"/>
          <w14:textFill>
            <w14:solidFill>
              <w14:schemeClr w14:val="tx1"/>
            </w14:solidFill>
          </w14:textFill>
        </w:rPr>
      </w:pPr>
      <w:r>
        <w:rPr>
          <w:color w:val="000000" w:themeColor="text1"/>
          <w:kern w:val="0"/>
          <w:position w:val="6"/>
          <w:sz w:val="24"/>
          <w:szCs w:val="20"/>
          <w:highlight w:val="none"/>
          <w14:textFill>
            <w14:solidFill>
              <w14:schemeClr w14:val="tx1"/>
            </w14:solidFill>
          </w14:textFill>
        </w:rPr>
        <w:t>本项目生产需要的主要原辅材料用量情况见表</w:t>
      </w:r>
      <w:r>
        <w:rPr>
          <w:rFonts w:hint="eastAsia"/>
          <w:color w:val="000000" w:themeColor="text1"/>
          <w:kern w:val="0"/>
          <w:position w:val="6"/>
          <w:sz w:val="24"/>
          <w:szCs w:val="20"/>
          <w:highlight w:val="none"/>
          <w14:textFill>
            <w14:solidFill>
              <w14:schemeClr w14:val="tx1"/>
            </w14:solidFill>
          </w14:textFill>
        </w:rPr>
        <w:t>2</w:t>
      </w:r>
      <w:r>
        <w:rPr>
          <w:color w:val="000000" w:themeColor="text1"/>
          <w:kern w:val="0"/>
          <w:position w:val="6"/>
          <w:sz w:val="24"/>
          <w:szCs w:val="20"/>
          <w:highlight w:val="none"/>
          <w14:textFill>
            <w14:solidFill>
              <w14:schemeClr w14:val="tx1"/>
            </w14:solidFill>
          </w14:textFill>
        </w:rPr>
        <w:t>。</w:t>
      </w:r>
    </w:p>
    <w:p>
      <w:pPr>
        <w:keepNext w:val="0"/>
        <w:keepLines w:val="0"/>
        <w:widowControl w:val="0"/>
        <w:suppressLineNumbers w:val="0"/>
        <w:adjustRightInd w:val="0"/>
        <w:spacing w:before="0" w:beforeAutospacing="0" w:after="0" w:afterAutospacing="0"/>
        <w:ind w:left="0" w:right="0"/>
        <w:jc w:val="center"/>
        <w:rPr>
          <w:b/>
          <w:bCs w:val="0"/>
          <w:color w:val="000000" w:themeColor="text1"/>
          <w:sz w:val="21"/>
          <w:szCs w:val="21"/>
          <w:highlight w:val="none"/>
          <w:lang w:val="en-US"/>
          <w14:textFill>
            <w14:solidFill>
              <w14:schemeClr w14:val="tx1"/>
            </w14:solidFill>
          </w14:textFill>
        </w:rPr>
      </w:pPr>
      <w:r>
        <w:rPr>
          <w:b/>
          <w:color w:val="000000" w:themeColor="text1"/>
          <w:kern w:val="21"/>
          <w:sz w:val="21"/>
          <w:szCs w:val="21"/>
          <w:highlight w:val="none"/>
          <w14:textFill>
            <w14:solidFill>
              <w14:schemeClr w14:val="tx1"/>
            </w14:solidFill>
          </w14:textFill>
        </w:rPr>
        <w:t>表</w:t>
      </w:r>
      <w:r>
        <w:rPr>
          <w:rFonts w:hint="eastAsia"/>
          <w:b/>
          <w:color w:val="000000" w:themeColor="text1"/>
          <w:kern w:val="21"/>
          <w:sz w:val="21"/>
          <w:szCs w:val="21"/>
          <w:highlight w:val="none"/>
          <w14:textFill>
            <w14:solidFill>
              <w14:schemeClr w14:val="tx1"/>
            </w14:solidFill>
          </w14:textFill>
        </w:rPr>
        <w:t>2</w:t>
      </w:r>
      <w:r>
        <w:rPr>
          <w:b/>
          <w:color w:val="000000" w:themeColor="text1"/>
          <w:kern w:val="21"/>
          <w:sz w:val="21"/>
          <w:szCs w:val="21"/>
          <w:highlight w:val="none"/>
          <w14:textFill>
            <w14:solidFill>
              <w14:schemeClr w14:val="tx1"/>
            </w14:solidFill>
          </w14:textFill>
        </w:rPr>
        <w:t xml:space="preserve"> 项目原辅材料清单一览表</w:t>
      </w:r>
    </w:p>
    <w:tbl>
      <w:tblPr>
        <w:tblStyle w:val="48"/>
        <w:tblW w:w="4919"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596"/>
        <w:gridCol w:w="2422"/>
        <w:gridCol w:w="411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名称</w:t>
            </w:r>
          </w:p>
        </w:tc>
        <w:tc>
          <w:tcPr>
            <w:tcW w:w="1325" w:type="pct"/>
            <w:noWrap w:val="0"/>
            <w:vAlign w:val="center"/>
          </w:tcPr>
          <w:p>
            <w:pPr>
              <w:keepNext w:val="0"/>
              <w:keepLines w:val="0"/>
              <w:suppressLineNumbers w:val="0"/>
              <w:spacing w:before="0" w:beforeAutospacing="0" w:after="0" w:afterAutospacing="0"/>
              <w:ind w:left="0" w:right="0"/>
              <w:jc w:val="center"/>
              <w:rPr>
                <w:rFonts w:hint="default" w:eastAsia="宋体"/>
                <w:b/>
                <w:bCs/>
                <w:color w:val="000000" w:themeColor="text1"/>
                <w:szCs w:val="21"/>
                <w:highlight w:val="none"/>
                <w:lang w:val="en-US" w:eastAsia="zh-CN"/>
                <w14:textFill>
                  <w14:solidFill>
                    <w14:schemeClr w14:val="tx1"/>
                  </w14:solidFill>
                </w14:textFill>
              </w:rPr>
            </w:pPr>
            <w:r>
              <w:rPr>
                <w:rFonts w:hint="eastAsia"/>
                <w:b/>
                <w:bCs/>
                <w:color w:val="000000" w:themeColor="text1"/>
                <w:szCs w:val="21"/>
                <w:highlight w:val="none"/>
                <w:lang w:val="en-US" w:eastAsia="zh-CN"/>
                <w14:textFill>
                  <w14:solidFill>
                    <w14:schemeClr w14:val="tx1"/>
                  </w14:solidFill>
                </w14:textFill>
              </w:rPr>
              <w:t>项目总用量</w:t>
            </w:r>
          </w:p>
        </w:tc>
        <w:tc>
          <w:tcPr>
            <w:tcW w:w="2253" w:type="pct"/>
            <w:noWrap w:val="0"/>
            <w:vAlign w:val="center"/>
          </w:tcPr>
          <w:p>
            <w:pPr>
              <w:keepNext w:val="0"/>
              <w:keepLines w:val="0"/>
              <w:suppressLineNumbers w:val="0"/>
              <w:spacing w:before="0" w:beforeAutospacing="0" w:after="0" w:afterAutospacing="0"/>
              <w:ind w:left="0" w:right="0"/>
              <w:jc w:val="center"/>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空</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PCB</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板</w:t>
            </w:r>
          </w:p>
        </w:tc>
        <w:tc>
          <w:tcPr>
            <w:tcW w:w="1325"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29672798片</w:t>
            </w:r>
          </w:p>
        </w:tc>
        <w:tc>
          <w:tcPr>
            <w:tcW w:w="2253" w:type="pct"/>
            <w:noWrap w:val="0"/>
            <w:vAlign w:val="center"/>
          </w:tcPr>
          <w:p>
            <w:pPr>
              <w:keepNext w:val="0"/>
              <w:keepLines w:val="0"/>
              <w:suppressLineNumbers w:val="0"/>
              <w:spacing w:before="0" w:beforeAutospacing="0" w:after="0" w:afterAutospacing="0"/>
              <w:ind w:left="0" w:right="0"/>
              <w:jc w:val="center"/>
              <w:rPr>
                <w:rFonts w:hint="eastAsia"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工业接着剂</w:t>
            </w:r>
          </w:p>
        </w:tc>
        <w:tc>
          <w:tcPr>
            <w:tcW w:w="1325" w:type="pct"/>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0.057t</w:t>
            </w:r>
          </w:p>
        </w:tc>
        <w:tc>
          <w:tcPr>
            <w:tcW w:w="2253"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甲苯</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40%</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，三氧化锑、甲基乙基酮、二氧化硅、二氧化钛、溴系阻燃剂、无机填充剂、粘结促进剂，聚酯树脂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酒精</w:t>
            </w:r>
          </w:p>
        </w:tc>
        <w:tc>
          <w:tcPr>
            <w:tcW w:w="1325" w:type="pct"/>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6.32t</w:t>
            </w:r>
          </w:p>
        </w:tc>
        <w:tc>
          <w:tcPr>
            <w:tcW w:w="2253"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纯度</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99.8%</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，最大存储量50kg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锡膏</w:t>
            </w:r>
          </w:p>
        </w:tc>
        <w:tc>
          <w:tcPr>
            <w:tcW w:w="1325"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1.52t</w:t>
            </w:r>
          </w:p>
        </w:tc>
        <w:tc>
          <w:tcPr>
            <w:tcW w:w="2253"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锡</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90%</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，银</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4%</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、铜、二已二醇单乙醚、改性松香</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锡条</w:t>
            </w:r>
          </w:p>
        </w:tc>
        <w:tc>
          <w:tcPr>
            <w:tcW w:w="1325"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107t</w:t>
            </w:r>
          </w:p>
        </w:tc>
        <w:tc>
          <w:tcPr>
            <w:tcW w:w="2253"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96%</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锡、</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4%</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银</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锡丝</w:t>
            </w:r>
          </w:p>
        </w:tc>
        <w:tc>
          <w:tcPr>
            <w:tcW w:w="1325"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13.3t</w:t>
            </w:r>
          </w:p>
        </w:tc>
        <w:tc>
          <w:tcPr>
            <w:tcW w:w="2253"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松脂、锡、铜</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助焊剂</w:t>
            </w:r>
          </w:p>
        </w:tc>
        <w:tc>
          <w:tcPr>
            <w:tcW w:w="1325"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52.8t</w:t>
            </w:r>
          </w:p>
        </w:tc>
        <w:tc>
          <w:tcPr>
            <w:tcW w:w="2253"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天然树脂、硬脂酸磺酸钠、新戊二醇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rFonts w:hint="eastAsia"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红胶</w:t>
            </w:r>
          </w:p>
        </w:tc>
        <w:tc>
          <w:tcPr>
            <w:tcW w:w="1325"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0.093t</w:t>
            </w:r>
          </w:p>
        </w:tc>
        <w:tc>
          <w:tcPr>
            <w:tcW w:w="2253"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双酚A型环氧树脂、双酚F型环氧树脂、滑石、硬化剂、稀释剂(二丁酯/乙酸乙酯/无水乙醇)、脱水剂、二氧化硅、稳定剂、红色有机颜料</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rFonts w:hint="eastAsia"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白硅胶</w:t>
            </w:r>
          </w:p>
        </w:tc>
        <w:tc>
          <w:tcPr>
            <w:tcW w:w="1325"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43.4t</w:t>
            </w:r>
          </w:p>
        </w:tc>
        <w:tc>
          <w:tcPr>
            <w:tcW w:w="2253"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聚二甲基硅氧烷、碳酸钙、烷氧基硅烷混合物</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rFonts w:hint="eastAsia"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清洗剂</w:t>
            </w:r>
          </w:p>
        </w:tc>
        <w:tc>
          <w:tcPr>
            <w:tcW w:w="1325"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0.087t</w:t>
            </w:r>
          </w:p>
        </w:tc>
        <w:tc>
          <w:tcPr>
            <w:tcW w:w="2253"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共溶媒(酒精)、水、琥珀辛酯磺酸钠、新戊二醇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rFonts w:hint="eastAsia"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三防漆</w:t>
            </w:r>
          </w:p>
        </w:tc>
        <w:tc>
          <w:tcPr>
            <w:tcW w:w="1325"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0.2t</w:t>
            </w:r>
          </w:p>
        </w:tc>
        <w:tc>
          <w:tcPr>
            <w:tcW w:w="2253"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八甲基三硅氧烷、二甲基甲基苯甲基氧基硅氧烷、甲苯10%、甲苯三甲氧基硅烷、四丁基钛酸盐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rFonts w:hint="eastAsia"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抗氧化粉</w:t>
            </w:r>
          </w:p>
        </w:tc>
        <w:tc>
          <w:tcPr>
            <w:tcW w:w="1325"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983g</w:t>
            </w:r>
          </w:p>
        </w:tc>
        <w:tc>
          <w:tcPr>
            <w:tcW w:w="2253"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还原因子、抗氧化因子、活性因子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rFonts w:hint="default"/>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漆包线</w:t>
            </w:r>
          </w:p>
        </w:tc>
        <w:tc>
          <w:tcPr>
            <w:tcW w:w="1325"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4000t</w:t>
            </w:r>
          </w:p>
        </w:tc>
        <w:tc>
          <w:tcPr>
            <w:tcW w:w="2253" w:type="pct"/>
            <w:noWrap w:val="0"/>
            <w:vAlign w:val="center"/>
          </w:tcPr>
          <w:p>
            <w:pPr>
              <w:keepNext w:val="0"/>
              <w:keepLines w:val="0"/>
              <w:suppressLineNumbers w:val="0"/>
              <w:spacing w:before="0" w:beforeAutospacing="0" w:after="0" w:afterAutospacing="0"/>
              <w:ind w:left="0" w:right="0"/>
              <w:jc w:val="center"/>
              <w:rPr>
                <w:rFonts w:hint="eastAsia"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rFonts w:hint="default"/>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磁芯磁环</w:t>
            </w:r>
          </w:p>
        </w:tc>
        <w:tc>
          <w:tcPr>
            <w:tcW w:w="1325"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4000万付</w:t>
            </w:r>
          </w:p>
        </w:tc>
        <w:tc>
          <w:tcPr>
            <w:tcW w:w="2253" w:type="pct"/>
            <w:noWrap w:val="0"/>
            <w:vAlign w:val="center"/>
          </w:tcPr>
          <w:p>
            <w:pPr>
              <w:keepNext w:val="0"/>
              <w:keepLines w:val="0"/>
              <w:suppressLineNumbers w:val="0"/>
              <w:spacing w:before="0" w:beforeAutospacing="0" w:after="0" w:afterAutospacing="0"/>
              <w:ind w:left="0" w:right="0"/>
              <w:jc w:val="center"/>
              <w:rPr>
                <w:rFonts w:hint="eastAsia"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rFonts w:hint="default"/>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盆架纸盆</w:t>
            </w:r>
          </w:p>
        </w:tc>
        <w:tc>
          <w:tcPr>
            <w:tcW w:w="1325"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1800万套</w:t>
            </w:r>
          </w:p>
        </w:tc>
        <w:tc>
          <w:tcPr>
            <w:tcW w:w="2253" w:type="pct"/>
            <w:noWrap w:val="0"/>
            <w:vAlign w:val="center"/>
          </w:tcPr>
          <w:p>
            <w:pPr>
              <w:keepNext w:val="0"/>
              <w:keepLines w:val="0"/>
              <w:suppressLineNumbers w:val="0"/>
              <w:spacing w:before="0" w:beforeAutospacing="0" w:after="0" w:afterAutospacing="0"/>
              <w:ind w:left="0" w:right="0"/>
              <w:jc w:val="center"/>
              <w:rPr>
                <w:rFonts w:hint="eastAsia"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rFonts w:hint="default"/>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音圈</w:t>
            </w:r>
          </w:p>
        </w:tc>
        <w:tc>
          <w:tcPr>
            <w:tcW w:w="1325"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1800万个</w:t>
            </w:r>
          </w:p>
        </w:tc>
        <w:tc>
          <w:tcPr>
            <w:tcW w:w="2253" w:type="pct"/>
            <w:noWrap w:val="0"/>
            <w:vAlign w:val="center"/>
          </w:tcPr>
          <w:p>
            <w:pPr>
              <w:keepNext w:val="0"/>
              <w:keepLines w:val="0"/>
              <w:suppressLineNumbers w:val="0"/>
              <w:spacing w:before="0" w:beforeAutospacing="0" w:after="0" w:afterAutospacing="0"/>
              <w:ind w:left="0" w:right="0"/>
              <w:jc w:val="center"/>
              <w:rPr>
                <w:rFonts w:hint="eastAsia"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rFonts w:hint="default"/>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磁钢</w:t>
            </w:r>
          </w:p>
        </w:tc>
        <w:tc>
          <w:tcPr>
            <w:tcW w:w="1325" w:type="pct"/>
            <w:noWrap w:val="0"/>
            <w:vAlign w:val="center"/>
          </w:tcPr>
          <w:p>
            <w:pPr>
              <w:keepNext w:val="0"/>
              <w:keepLines w:val="0"/>
              <w:suppressLineNumbers w:val="0"/>
              <w:spacing w:before="0" w:beforeAutospacing="0" w:after="0" w:afterAutospacing="0"/>
              <w:ind w:left="0" w:right="0"/>
              <w:jc w:val="center"/>
              <w:rPr>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1800万套</w:t>
            </w:r>
          </w:p>
        </w:tc>
        <w:tc>
          <w:tcPr>
            <w:tcW w:w="2253" w:type="pct"/>
            <w:noWrap w:val="0"/>
            <w:vAlign w:val="center"/>
          </w:tcPr>
          <w:p>
            <w:pPr>
              <w:keepNext w:val="0"/>
              <w:keepLines w:val="0"/>
              <w:suppressLineNumbers w:val="0"/>
              <w:spacing w:before="0" w:beforeAutospacing="0" w:after="0" w:afterAutospacing="0"/>
              <w:ind w:left="0" w:right="0"/>
              <w:jc w:val="center"/>
              <w:rPr>
                <w:rFonts w:hint="eastAsia"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rFonts w:hint="default"/>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塑料骨架</w:t>
            </w:r>
          </w:p>
        </w:tc>
        <w:tc>
          <w:tcPr>
            <w:tcW w:w="1325"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4000万个</w:t>
            </w:r>
          </w:p>
        </w:tc>
        <w:tc>
          <w:tcPr>
            <w:tcW w:w="2253" w:type="pct"/>
            <w:noWrap w:val="0"/>
            <w:vAlign w:val="center"/>
          </w:tcPr>
          <w:p>
            <w:pPr>
              <w:keepNext w:val="0"/>
              <w:keepLines w:val="0"/>
              <w:suppressLineNumbers w:val="0"/>
              <w:spacing w:before="0" w:beforeAutospacing="0" w:after="0" w:afterAutospacing="0"/>
              <w:ind w:left="0" w:right="0"/>
              <w:jc w:val="center"/>
              <w:rPr>
                <w:rFonts w:hint="eastAsia"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rFonts w:hint="default"/>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内芯底座</w:t>
            </w:r>
          </w:p>
        </w:tc>
        <w:tc>
          <w:tcPr>
            <w:tcW w:w="1325" w:type="pct"/>
            <w:noWrap w:val="0"/>
            <w:vAlign w:val="center"/>
          </w:tcPr>
          <w:p>
            <w:pPr>
              <w:keepNext w:val="0"/>
              <w:keepLines w:val="0"/>
              <w:suppressLineNumbers w:val="0"/>
              <w:spacing w:before="0" w:beforeAutospacing="0" w:after="0" w:afterAutospacing="0"/>
              <w:ind w:left="0" w:right="0"/>
              <w:jc w:val="center"/>
              <w:rPr>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4000万套</w:t>
            </w:r>
          </w:p>
        </w:tc>
        <w:tc>
          <w:tcPr>
            <w:tcW w:w="2253" w:type="pct"/>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rFonts w:hint="default"/>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套管</w:t>
            </w:r>
          </w:p>
        </w:tc>
        <w:tc>
          <w:tcPr>
            <w:tcW w:w="1325"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100万米</w:t>
            </w:r>
          </w:p>
        </w:tc>
        <w:tc>
          <w:tcPr>
            <w:tcW w:w="2253" w:type="pct"/>
            <w:noWrap w:val="0"/>
            <w:vAlign w:val="center"/>
          </w:tcPr>
          <w:p>
            <w:pPr>
              <w:keepNext w:val="0"/>
              <w:keepLines w:val="0"/>
              <w:suppressLineNumbers w:val="0"/>
              <w:spacing w:before="0" w:beforeAutospacing="0" w:after="0" w:afterAutospacing="0"/>
              <w:ind w:left="0" w:right="0"/>
              <w:jc w:val="center"/>
              <w:rPr>
                <w:rFonts w:hint="eastAsia"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rFonts w:hint="default"/>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绝缘胶带</w:t>
            </w:r>
          </w:p>
        </w:tc>
        <w:tc>
          <w:tcPr>
            <w:tcW w:w="1325"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30万卷</w:t>
            </w:r>
          </w:p>
        </w:tc>
        <w:tc>
          <w:tcPr>
            <w:tcW w:w="2253" w:type="pct"/>
            <w:noWrap w:val="0"/>
            <w:vAlign w:val="center"/>
          </w:tcPr>
          <w:p>
            <w:pPr>
              <w:keepNext w:val="0"/>
              <w:keepLines w:val="0"/>
              <w:suppressLineNumbers w:val="0"/>
              <w:spacing w:before="0" w:beforeAutospacing="0" w:after="0" w:afterAutospacing="0"/>
              <w:ind w:left="0" w:right="0"/>
              <w:jc w:val="center"/>
              <w:rPr>
                <w:rFonts w:hint="eastAsia"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rFonts w:hint="default"/>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挡边胶带</w:t>
            </w:r>
          </w:p>
        </w:tc>
        <w:tc>
          <w:tcPr>
            <w:tcW w:w="1325" w:type="pct"/>
            <w:noWrap w:val="0"/>
            <w:vAlign w:val="center"/>
          </w:tcPr>
          <w:p>
            <w:pPr>
              <w:keepNext w:val="0"/>
              <w:keepLines w:val="0"/>
              <w:suppressLineNumbers w:val="0"/>
              <w:spacing w:before="0" w:beforeAutospacing="0" w:after="0" w:afterAutospacing="0"/>
              <w:ind w:left="0" w:right="0"/>
              <w:jc w:val="center"/>
              <w:rPr>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30万卷</w:t>
            </w:r>
          </w:p>
        </w:tc>
        <w:tc>
          <w:tcPr>
            <w:tcW w:w="2253" w:type="pct"/>
            <w:noWrap w:val="0"/>
            <w:vAlign w:val="center"/>
          </w:tcPr>
          <w:p>
            <w:pPr>
              <w:keepNext w:val="0"/>
              <w:keepLines w:val="0"/>
              <w:suppressLineNumbers w:val="0"/>
              <w:spacing w:before="0" w:beforeAutospacing="0" w:after="0" w:afterAutospacing="0"/>
              <w:ind w:left="0" w:right="0"/>
              <w:jc w:val="center"/>
              <w:rPr>
                <w:rFonts w:hint="eastAsia"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rFonts w:hint="default"/>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胶水</w:t>
            </w:r>
          </w:p>
        </w:tc>
        <w:tc>
          <w:tcPr>
            <w:tcW w:w="1325"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10吨</w:t>
            </w:r>
          </w:p>
        </w:tc>
        <w:tc>
          <w:tcPr>
            <w:tcW w:w="2253"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黑胶、AB胶、白乳胶、硅胶</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rFonts w:hint="default"/>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绝缘漆</w:t>
            </w:r>
          </w:p>
        </w:tc>
        <w:tc>
          <w:tcPr>
            <w:tcW w:w="1325"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30吨</w:t>
            </w:r>
          </w:p>
        </w:tc>
        <w:tc>
          <w:tcPr>
            <w:tcW w:w="2253" w:type="pct"/>
            <w:noWrap w:val="0"/>
            <w:vAlign w:val="center"/>
          </w:tcPr>
          <w:p>
            <w:pPr>
              <w:keepNext w:val="0"/>
              <w:keepLines w:val="0"/>
              <w:suppressLineNumbers w:val="0"/>
              <w:spacing w:before="0" w:beforeAutospacing="0" w:after="0" w:afterAutospacing="0"/>
              <w:ind w:left="0" w:right="0"/>
              <w:jc w:val="center"/>
              <w:rPr>
                <w:rFonts w:hint="eastAsia" w:eastAsia="宋体"/>
                <w:color w:val="000000" w:themeColor="text1"/>
                <w:szCs w:val="21"/>
                <w:highlight w:val="none"/>
                <w:lang w:val="en-US" w:eastAsia="zh-CN"/>
                <w14:textFill>
                  <w14:solidFill>
                    <w14:schemeClr w14:val="tx1"/>
                  </w14:solidFill>
                </w14:textFill>
              </w:rPr>
            </w:pPr>
            <w:r>
              <w:rPr>
                <w:color w:val="000000" w:themeColor="text1"/>
                <w:szCs w:val="21"/>
                <w:highlight w:val="none"/>
                <w14:textFill>
                  <w14:solidFill>
                    <w14:schemeClr w14:val="tx1"/>
                  </w14:solidFill>
                </w14:textFill>
              </w:rPr>
              <w:t>聚酯滴浸树脂、主要成分为不饱和树脂80%、固化剂（过氧化苯甲酸叔丁酯、叔丁基过苯甲酸酯、过苯甲酸特丁酯）5%、助溶剂（2-苯基-1-丙烯、α-甲基苯乙烯、苯基异丙烯）5%、主溶剂（苯乙烯）15%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rFonts w:hint="default"/>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稀释剂</w:t>
            </w:r>
          </w:p>
        </w:tc>
        <w:tc>
          <w:tcPr>
            <w:tcW w:w="1325"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15吨</w:t>
            </w:r>
          </w:p>
        </w:tc>
        <w:tc>
          <w:tcPr>
            <w:tcW w:w="2253" w:type="pct"/>
            <w:noWrap w:val="0"/>
            <w:vAlign w:val="center"/>
          </w:tcPr>
          <w:p>
            <w:pPr>
              <w:keepNext w:val="0"/>
              <w:keepLines w:val="0"/>
              <w:suppressLineNumbers w:val="0"/>
              <w:spacing w:before="0" w:beforeAutospacing="0" w:after="0" w:afterAutospacing="0"/>
              <w:ind w:left="0" w:right="0"/>
              <w:jc w:val="center"/>
              <w:rPr>
                <w:rFonts w:hint="eastAsia"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新鲜水</w:t>
            </w:r>
          </w:p>
        </w:tc>
        <w:tc>
          <w:tcPr>
            <w:tcW w:w="1325" w:type="pct"/>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180000</w:t>
            </w:r>
            <w:r>
              <w:rPr>
                <w:color w:val="000000" w:themeColor="text1"/>
                <w:szCs w:val="21"/>
                <w:highlight w:val="none"/>
                <w14:textFill>
                  <w14:solidFill>
                    <w14:schemeClr w14:val="tx1"/>
                  </w14:solidFill>
                </w14:textFill>
              </w:rPr>
              <w:t>t/a</w:t>
            </w:r>
          </w:p>
        </w:tc>
        <w:tc>
          <w:tcPr>
            <w:tcW w:w="2253"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市政供水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421" w:type="pct"/>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电力</w:t>
            </w:r>
          </w:p>
        </w:tc>
        <w:tc>
          <w:tcPr>
            <w:tcW w:w="1325"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770</w:t>
            </w:r>
            <w:r>
              <w:rPr>
                <w:color w:val="000000" w:themeColor="text1"/>
                <w:szCs w:val="21"/>
                <w:highlight w:val="none"/>
                <w14:textFill>
                  <w14:solidFill>
                    <w14:schemeClr w14:val="tx1"/>
                  </w14:solidFill>
                </w14:textFill>
              </w:rPr>
              <w:t>万kw·h</w:t>
            </w:r>
          </w:p>
        </w:tc>
        <w:tc>
          <w:tcPr>
            <w:tcW w:w="2253" w:type="pct"/>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经济开发区电网</w:t>
            </w:r>
          </w:p>
        </w:tc>
      </w:tr>
    </w:tbl>
    <w:p>
      <w:pPr>
        <w:keepNext w:val="0"/>
        <w:keepLines w:val="0"/>
        <w:widowControl w:val="0"/>
        <w:suppressLineNumbers w:val="0"/>
        <w:spacing w:before="0" w:beforeAutospacing="0" w:after="0" w:afterAutospacing="0"/>
        <w:ind w:left="0" w:right="0" w:firstLine="422" w:firstLineChars="200"/>
        <w:jc w:val="center"/>
        <w:rPr>
          <w:b/>
          <w:color w:val="000000" w:themeColor="text1"/>
          <w:szCs w:val="21"/>
          <w:highlight w:val="none"/>
          <w:lang w:val="en-US"/>
          <w14:textFill>
            <w14:solidFill>
              <w14:schemeClr w14:val="tx1"/>
            </w14:solidFill>
          </w14:textFill>
        </w:rPr>
      </w:pPr>
      <w:r>
        <w:rPr>
          <w:rFonts w:hint="eastAsia" w:ascii="Times New Roman" w:hAnsi="Times New Roman" w:eastAsia="宋体" w:cs="宋体"/>
          <w:b/>
          <w:color w:val="000000" w:themeColor="text1"/>
          <w:kern w:val="2"/>
          <w:sz w:val="21"/>
          <w:szCs w:val="21"/>
          <w:highlight w:val="none"/>
          <w:lang w:val="en-US" w:eastAsia="zh-CN" w:bidi="ar"/>
          <w14:textFill>
            <w14:solidFill>
              <w14:schemeClr w14:val="tx1"/>
            </w14:solidFill>
          </w14:textFill>
        </w:rPr>
        <w:t>表3 主要原辅料成分表</w:t>
      </w:r>
    </w:p>
    <w:tbl>
      <w:tblPr>
        <w:tblStyle w:val="48"/>
        <w:tblW w:w="4999"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855"/>
        <w:gridCol w:w="742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9" w:type="pct"/>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物料名称</w:t>
            </w:r>
          </w:p>
        </w:tc>
        <w:tc>
          <w:tcPr>
            <w:tcW w:w="4000" w:type="pct"/>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组成成分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9" w:type="pct"/>
            <w:noWrap w:val="0"/>
            <w:vAlign w:val="center"/>
          </w:tcPr>
          <w:p>
            <w:pPr>
              <w:keepNext w:val="0"/>
              <w:keepLines w:val="0"/>
              <w:suppressLineNumbers w:val="0"/>
              <w:spacing w:before="0" w:beforeAutospacing="0" w:after="0" w:afterAutospacing="0"/>
              <w:ind w:left="0" w:right="0"/>
              <w:jc w:val="center"/>
              <w:rPr>
                <w:rFonts w:hint="eastAsia"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白硅胶</w:t>
            </w:r>
          </w:p>
        </w:tc>
        <w:tc>
          <w:tcPr>
            <w:tcW w:w="4000" w:type="pct"/>
            <w:noWrap w:val="0"/>
            <w:vAlign w:val="center"/>
          </w:tcPr>
          <w:p>
            <w:pPr>
              <w:keepNext w:val="0"/>
              <w:keepLines w:val="0"/>
              <w:suppressLineNumbers w:val="0"/>
              <w:spacing w:before="0" w:beforeAutospacing="0" w:after="0" w:afterAutospacing="0"/>
              <w:ind w:left="0" w:right="0"/>
              <w:jc w:val="left"/>
              <w:rPr>
                <w:rFonts w:hint="eastAsia" w:eastAsia="宋体"/>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主要成分：聚二甲基硅氧烷、碳酸钙、烷氧基硅烷混合物；</w:t>
            </w:r>
            <w:r>
              <w:rPr>
                <w:rFonts w:ascii="Times New Roman" w:hAnsi="Times New Roman" w:eastAsia="宋体" w:cs="Times New Roman"/>
                <w:color w:val="000000" w:themeColor="text1"/>
                <w:szCs w:val="21"/>
                <w:highlight w:val="none"/>
                <w14:textFill>
                  <w14:solidFill>
                    <w14:schemeClr w14:val="tx1"/>
                  </w14:solidFill>
                </w14:textFill>
              </w:rPr>
              <w:t>化学式xSiO</w:t>
            </w:r>
            <w:r>
              <w:rPr>
                <w:rFonts w:hint="default" w:ascii="Times New Roman" w:hAnsi="Times New Roman" w:eastAsia="宋体" w:cs="Times New Roman"/>
                <w:color w:val="000000" w:themeColor="text1"/>
                <w:szCs w:val="21"/>
                <w:highlight w:val="none"/>
                <w14:textFill>
                  <w14:solidFill>
                    <w14:schemeClr w14:val="tx1"/>
                  </w14:solidFill>
                </w14:textFill>
              </w:rPr>
              <w:t>2·yH2O。透明或乳白色粒状固体。具有开放的多孔结构,吸附性强,能</w: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"https://baike.baidu.com/item/%E5%90%B8%E9%99%84" \t "https://baike.baidu.com/item/%E7%A1%85%E8%83%B6/_blank" </w:instrTex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color w:val="000000" w:themeColor="text1"/>
                <w:szCs w:val="21"/>
                <w:highlight w:val="none"/>
                <w14:textFill>
                  <w14:solidFill>
                    <w14:schemeClr w14:val="tx1"/>
                  </w14:solidFill>
                </w14:textFill>
              </w:rPr>
              <w:t>吸附</w: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end"/>
            </w:r>
            <w:r>
              <w:rPr>
                <w:rFonts w:hint="default" w:ascii="Times New Roman" w:hAnsi="Times New Roman" w:eastAsia="宋体" w:cs="Times New Roman"/>
                <w:color w:val="000000" w:themeColor="text1"/>
                <w:szCs w:val="21"/>
                <w:highlight w:val="none"/>
                <w14:textFill>
                  <w14:solidFill>
                    <w14:schemeClr w14:val="tx1"/>
                  </w14:solidFill>
                </w14:textFill>
              </w:rPr>
              <w:t>多种物质。在</w: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"https://baike.baidu.com/item/%E6%B0%B4%E7%8E%BB%E7%92%83" \t "https://baike.baidu.com/item/%E7%A1%85%E8%83%B6/_blank" </w:instrTex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color w:val="000000" w:themeColor="text1"/>
                <w:szCs w:val="21"/>
                <w:highlight w:val="none"/>
                <w14:textFill>
                  <w14:solidFill>
                    <w14:schemeClr w14:val="tx1"/>
                  </w14:solidFill>
                </w14:textFill>
              </w:rPr>
              <w:t>水玻璃</w: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end"/>
            </w:r>
            <w:r>
              <w:rPr>
                <w:rFonts w:hint="default" w:ascii="Times New Roman" w:hAnsi="Times New Roman" w:eastAsia="宋体" w:cs="Times New Roman"/>
                <w:color w:val="000000" w:themeColor="text1"/>
                <w:szCs w:val="21"/>
                <w:highlight w:val="none"/>
                <w14:textFill>
                  <w14:solidFill>
                    <w14:schemeClr w14:val="tx1"/>
                  </w14:solidFill>
                </w14:textFill>
              </w:rPr>
              <w:t>的水溶液中加入稀</w: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"https://baike.baidu.com/item/%E7%A1%AB%E9%85%B8" \t "https://baike.baidu.com/item/%E7%A1%85%E8%83%B6/_blank" </w:instrTex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color w:val="000000" w:themeColor="text1"/>
                <w:szCs w:val="21"/>
                <w:highlight w:val="none"/>
                <w14:textFill>
                  <w14:solidFill>
                    <w14:schemeClr w14:val="tx1"/>
                  </w14:solidFill>
                </w14:textFill>
              </w:rPr>
              <w:t>硫酸</w: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end"/>
            </w:r>
            <w:r>
              <w:rPr>
                <w:rFonts w:hint="default" w:ascii="Times New Roman" w:hAnsi="Times New Roman" w:eastAsia="宋体" w:cs="Times New Roman"/>
                <w:color w:val="000000" w:themeColor="text1"/>
                <w:szCs w:val="21"/>
                <w:highlight w:val="none"/>
                <w14:textFill>
                  <w14:solidFill>
                    <w14:schemeClr w14:val="tx1"/>
                  </w14:solidFill>
                </w14:textFill>
              </w:rPr>
              <w:t>（或</w: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"https://baike.baidu.com/item/%E7%9B%90%E9%85%B8" \t "https://baike.baidu.com/item/%E7%A1%85%E8%83%B6/_blank" </w:instrTex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color w:val="000000" w:themeColor="text1"/>
                <w:szCs w:val="21"/>
                <w:highlight w:val="none"/>
                <w14:textFill>
                  <w14:solidFill>
                    <w14:schemeClr w14:val="tx1"/>
                  </w14:solidFill>
                </w14:textFill>
              </w:rPr>
              <w:t>盐酸</w: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end"/>
            </w:r>
            <w:r>
              <w:rPr>
                <w:rFonts w:hint="default" w:ascii="Times New Roman" w:hAnsi="Times New Roman" w:eastAsia="宋体" w:cs="Times New Roman"/>
                <w:color w:val="000000" w:themeColor="text1"/>
                <w:szCs w:val="21"/>
                <w:highlight w:val="none"/>
                <w14:textFill>
                  <w14:solidFill>
                    <w14:schemeClr w14:val="tx1"/>
                  </w14:solidFill>
                </w14:textFill>
              </w:rPr>
              <w:t>）并静置，便成为含水</w: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"https://baike.baidu.com/item/%E7%A1%85%E9%85%B8%E5%87%9D%E8%83%B6" \t "https://baike.baidu.com/item/%E7%A1%85%E8%83%B6/_blank" </w:instrTex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color w:val="000000" w:themeColor="text1"/>
                <w:szCs w:val="21"/>
                <w:highlight w:val="none"/>
                <w14:textFill>
                  <w14:solidFill>
                    <w14:schemeClr w14:val="tx1"/>
                  </w14:solidFill>
                </w14:textFill>
              </w:rPr>
              <w:t>硅酸凝胶</w: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end"/>
            </w:r>
            <w:r>
              <w:rPr>
                <w:rFonts w:hint="default" w:ascii="Times New Roman" w:hAnsi="Times New Roman" w:eastAsia="宋体" w:cs="Times New Roman"/>
                <w:color w:val="000000" w:themeColor="text1"/>
                <w:szCs w:val="21"/>
                <w:highlight w:val="none"/>
                <w14:textFill>
                  <w14:solidFill>
                    <w14:schemeClr w14:val="tx1"/>
                  </w14:solidFill>
                </w14:textFill>
              </w:rPr>
              <w:t>而固态化。以水洗清除溶解在其中的</w: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"https://baike.baidu.com/item/%E7%94%B5%E8%A7%A3%E8%B4%A8" \t "https://baike.baidu.com/item/%E7%A1%85%E8%83%B6/_blank" </w:instrTex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color w:val="000000" w:themeColor="text1"/>
                <w:szCs w:val="21"/>
                <w:highlight w:val="none"/>
                <w14:textFill>
                  <w14:solidFill>
                    <w14:schemeClr w14:val="tx1"/>
                  </w14:solidFill>
                </w14:textFill>
              </w:rPr>
              <w:t>电解质</w: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end"/>
            </w:r>
            <w:r>
              <w:rPr>
                <w:rFonts w:hint="default" w:ascii="Times New Roman" w:hAnsi="Times New Roman" w:eastAsia="宋体" w:cs="Times New Roman"/>
                <w:color w:val="000000" w:themeColor="text1"/>
                <w:szCs w:val="21"/>
                <w:highlight w:val="none"/>
                <w14:textFill>
                  <w14:solidFill>
                    <w14:schemeClr w14:val="tx1"/>
                  </w14:solidFill>
                </w14:textFill>
              </w:rPr>
              <w:t>Na+和SO4 2-( Cl-)离子，干燥后就可得硅胶。如吸收水分,部分硅胶吸湿量约达40%，甚至300%。用于气体干燥，气体吸收，液体脱水，色层分析等，也用做</w: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"https://baike.baidu.com/item/%E5%82%AC%E5%8C%96%E5%89%82" \t "https://baike.baidu.com/item/%E7%A1%85%E8%83%B6/_blank" </w:instrTex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color w:val="000000" w:themeColor="text1"/>
                <w:szCs w:val="21"/>
                <w:highlight w:val="none"/>
                <w14:textFill>
                  <w14:solidFill>
                    <w14:schemeClr w14:val="tx1"/>
                  </w14:solidFill>
                </w14:textFill>
              </w:rPr>
              <w:t>催化剂</w: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end"/>
            </w:r>
            <w:r>
              <w:rPr>
                <w:rFonts w:hint="default" w:ascii="Times New Roman" w:hAnsi="Times New Roman" w:eastAsia="宋体" w:cs="Times New Roman"/>
                <w:color w:val="000000" w:themeColor="text1"/>
                <w:szCs w:val="21"/>
                <w:highlight w:val="none"/>
                <w14:textFill>
                  <w14:solidFill>
                    <w14:schemeClr w14:val="tx1"/>
                  </w14:solidFill>
                </w14:textFill>
              </w:rPr>
              <w:t>。如加入</w: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begin"/>
            </w:r>
            <w:r>
              <w:rPr>
                <w:rFonts w:hint="default" w:ascii="Times New Roman" w:hAnsi="Times New Roman" w:eastAsia="宋体" w:cs="Times New Roman"/>
                <w:color w:val="000000" w:themeColor="text1"/>
                <w:szCs w:val="21"/>
                <w:highlight w:val="none"/>
                <w14:textFill>
                  <w14:solidFill>
                    <w14:schemeClr w14:val="tx1"/>
                  </w14:solidFill>
                </w14:textFill>
              </w:rPr>
              <w:instrText xml:space="preserve"> HYPERLINK "https://baike.baidu.com/item/%E6%B0%AF%E5%8C%96%E9%92%B4" \t "https://baike.baidu.com/item/%E7%A1%85%E8%83%B6/_blank" </w:instrTex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separate"/>
            </w:r>
            <w:r>
              <w:rPr>
                <w:rFonts w:hint="default" w:ascii="Times New Roman" w:hAnsi="Times New Roman" w:eastAsia="宋体" w:cs="Times New Roman"/>
                <w:color w:val="000000" w:themeColor="text1"/>
                <w:szCs w:val="21"/>
                <w:highlight w:val="none"/>
                <w14:textFill>
                  <w14:solidFill>
                    <w14:schemeClr w14:val="tx1"/>
                  </w14:solidFill>
                </w14:textFill>
              </w:rPr>
              <w:t>氯化钴</w:t>
            </w:r>
            <w:r>
              <w:rPr>
                <w:rFonts w:hint="default" w:ascii="Times New Roman" w:hAnsi="Times New Roman" w:eastAsia="宋体" w:cs="Times New Roman"/>
                <w:color w:val="000000" w:themeColor="text1"/>
                <w:szCs w:val="21"/>
                <w:highlight w:val="none"/>
                <w14:textFill>
                  <w14:solidFill>
                    <w14:schemeClr w14:val="tx1"/>
                  </w14:solidFill>
                </w14:textFill>
              </w:rPr>
              <w:fldChar w:fldCharType="end"/>
            </w:r>
            <w:r>
              <w:rPr>
                <w:rFonts w:hint="default" w:ascii="Times New Roman" w:hAnsi="Times New Roman" w:eastAsia="宋体" w:cs="Times New Roman"/>
                <w:color w:val="000000" w:themeColor="text1"/>
                <w:szCs w:val="21"/>
                <w:highlight w:val="none"/>
                <w14:textFill>
                  <w14:solidFill>
                    <w14:schemeClr w14:val="tx1"/>
                  </w14:solidFill>
                </w14:textFill>
              </w:rPr>
              <w:t>,干燥时呈蓝色,吸水后呈红色。可再生反复使用</w:t>
            </w:r>
            <w:r>
              <w:rPr>
                <w:rFonts w:hint="eastAsia" w:ascii="Times New Roman" w:hAnsi="Times New Roman" w:eastAsia="宋体" w:cs="Times New Roman"/>
                <w:color w:val="000000" w:themeColor="text1"/>
                <w:szCs w:val="21"/>
                <w:highlight w:val="none"/>
                <w:lang w:eastAsia="zh-CN"/>
                <w14:textFill>
                  <w14:solidFill>
                    <w14:schemeClr w14:val="tx1"/>
                  </w14:solidFill>
                </w14:textFill>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9" w:type="pct"/>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锡条、锡丝、锡膏</w:t>
            </w:r>
          </w:p>
        </w:tc>
        <w:tc>
          <w:tcPr>
            <w:tcW w:w="4000" w:type="pct"/>
            <w:noWrap w:val="0"/>
            <w:vAlign w:val="center"/>
          </w:tcPr>
          <w:p>
            <w:pPr>
              <w:keepNext w:val="0"/>
              <w:keepLines w:val="0"/>
              <w:suppressLineNumbers w:val="0"/>
              <w:spacing w:before="0" w:beforeAutospacing="0" w:after="0" w:afterAutospacing="0"/>
              <w:ind w:left="0" w:right="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锡条：用于线路板焊接，纯锡制造，湿润性、流动性好，易上锡。 焊点光亮、饱满、不会虚焊等不良现象。加入足量的</w:t>
            </w:r>
            <w:r>
              <w:rPr>
                <w:color w:val="000000" w:themeColor="text1"/>
                <w:szCs w:val="21"/>
                <w:highlight w:val="none"/>
                <w14:textFill>
                  <w14:solidFill>
                    <w14:schemeClr w14:val="tx1"/>
                  </w14:solidFill>
                </w14:textFill>
              </w:rPr>
              <w:fldChar w:fldCharType="begin"/>
            </w:r>
            <w:r>
              <w:rPr>
                <w:color w:val="000000" w:themeColor="text1"/>
                <w:szCs w:val="21"/>
                <w:highlight w:val="none"/>
                <w14:textFill>
                  <w14:solidFill>
                    <w14:schemeClr w14:val="tx1"/>
                  </w14:solidFill>
                </w14:textFill>
              </w:rPr>
              <w:instrText xml:space="preserve"> HYPERLINK "https://baike.baidu.com/item/%E6%8A%97%E6%B0%A7%E5%8C%96/10448923" \t "_blank" </w:instrText>
            </w:r>
            <w:r>
              <w:rPr>
                <w:color w:val="000000" w:themeColor="text1"/>
                <w:szCs w:val="21"/>
                <w:highlight w:val="none"/>
                <w14:textFill>
                  <w14:solidFill>
                    <w14:schemeClr w14:val="tx1"/>
                  </w14:solidFill>
                </w14:textFill>
              </w:rPr>
              <w:fldChar w:fldCharType="separate"/>
            </w:r>
            <w:r>
              <w:rPr>
                <w:color w:val="000000" w:themeColor="text1"/>
                <w:szCs w:val="21"/>
                <w:highlight w:val="none"/>
                <w14:textFill>
                  <w14:solidFill>
                    <w14:schemeClr w14:val="tx1"/>
                  </w14:solidFill>
                </w14:textFill>
              </w:rPr>
              <w:t>抗氧化</w:t>
            </w:r>
            <w:r>
              <w:rPr>
                <w:color w:val="000000" w:themeColor="text1"/>
                <w:szCs w:val="21"/>
                <w:highlight w:val="none"/>
                <w14:textFill>
                  <w14:solidFill>
                    <w14:schemeClr w14:val="tx1"/>
                  </w14:solidFill>
                </w14:textFill>
              </w:rPr>
              <w:fldChar w:fldCharType="end"/>
            </w:r>
            <w:r>
              <w:rPr>
                <w:color w:val="000000" w:themeColor="text1"/>
                <w:szCs w:val="21"/>
                <w:highlight w:val="none"/>
                <w14:textFill>
                  <w14:solidFill>
                    <w14:schemeClr w14:val="tx1"/>
                  </w14:solidFill>
                </w14:textFill>
              </w:rPr>
              <w:t>元素，抗氧化能力强。纯锡制造，锡渣少，减少不必要的浪费。</w:t>
            </w:r>
          </w:p>
          <w:p>
            <w:pPr>
              <w:keepNext w:val="0"/>
              <w:keepLines w:val="0"/>
              <w:suppressLineNumbers w:val="0"/>
              <w:spacing w:before="0" w:beforeAutospacing="0" w:after="0" w:afterAutospacing="0"/>
              <w:ind w:left="0" w:right="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焊锡丝：是由锡合金和助剂两部分组成，合金成份分为锡铅、无铅助剂均匀灌注到锡合金中间部位。焊锡丝种类不同助剂也就不同，助剂部分是提高焊锡丝在焊接过程中的辅热传导，去除氧化，降低被焊接材质表面张力，去除被焊接材质表面油污，增大焊接面积。焊锡丝的特质是具有一定的长度与直径的锡合金丝，在电子原器件的焊接中可与电烙铁或激光配合使用。</w:t>
            </w:r>
          </w:p>
          <w:p>
            <w:pPr>
              <w:keepNext w:val="0"/>
              <w:keepLines w:val="0"/>
              <w:suppressLineNumbers w:val="0"/>
              <w:spacing w:before="0" w:beforeAutospacing="0" w:after="0" w:afterAutospacing="0"/>
              <w:ind w:left="0" w:right="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焊锡膏：是伴随着</w:t>
            </w:r>
            <w:r>
              <w:rPr>
                <w:color w:val="000000" w:themeColor="text1"/>
                <w:szCs w:val="21"/>
                <w:highlight w:val="none"/>
                <w14:textFill>
                  <w14:solidFill>
                    <w14:schemeClr w14:val="tx1"/>
                  </w14:solidFill>
                </w14:textFill>
              </w:rPr>
              <w:fldChar w:fldCharType="begin"/>
            </w:r>
            <w:r>
              <w:rPr>
                <w:color w:val="000000" w:themeColor="text1"/>
                <w:szCs w:val="21"/>
                <w:highlight w:val="none"/>
                <w14:textFill>
                  <w14:solidFill>
                    <w14:schemeClr w14:val="tx1"/>
                  </w14:solidFill>
                </w14:textFill>
              </w:rPr>
              <w:instrText xml:space="preserve"> HYPERLINK "https://baike.baidu.com/item/SMT/263051" \t "_blank" </w:instrText>
            </w:r>
            <w:r>
              <w:rPr>
                <w:color w:val="000000" w:themeColor="text1"/>
                <w:szCs w:val="21"/>
                <w:highlight w:val="none"/>
                <w14:textFill>
                  <w14:solidFill>
                    <w14:schemeClr w14:val="tx1"/>
                  </w14:solidFill>
                </w14:textFill>
              </w:rPr>
              <w:fldChar w:fldCharType="separate"/>
            </w:r>
            <w:r>
              <w:rPr>
                <w:color w:val="000000" w:themeColor="text1"/>
                <w:szCs w:val="21"/>
                <w:highlight w:val="none"/>
                <w14:textFill>
                  <w14:solidFill>
                    <w14:schemeClr w14:val="tx1"/>
                  </w14:solidFill>
                </w14:textFill>
              </w:rPr>
              <w:t>SMT</w:t>
            </w:r>
            <w:r>
              <w:rPr>
                <w:color w:val="000000" w:themeColor="text1"/>
                <w:szCs w:val="21"/>
                <w:highlight w:val="none"/>
                <w14:textFill>
                  <w14:solidFill>
                    <w14:schemeClr w14:val="tx1"/>
                  </w14:solidFill>
                </w14:textFill>
              </w:rPr>
              <w:fldChar w:fldCharType="end"/>
            </w:r>
            <w:r>
              <w:rPr>
                <w:color w:val="000000" w:themeColor="text1"/>
                <w:szCs w:val="21"/>
                <w:highlight w:val="none"/>
                <w14:textFill>
                  <w14:solidFill>
                    <w14:schemeClr w14:val="tx1"/>
                  </w14:solidFill>
                </w14:textFill>
              </w:rPr>
              <w:t>应运而生的一种新型</w:t>
            </w:r>
            <w:r>
              <w:rPr>
                <w:color w:val="000000" w:themeColor="text1"/>
                <w:szCs w:val="21"/>
                <w:highlight w:val="none"/>
                <w14:textFill>
                  <w14:solidFill>
                    <w14:schemeClr w14:val="tx1"/>
                  </w14:solidFill>
                </w14:textFill>
              </w:rPr>
              <w:fldChar w:fldCharType="begin"/>
            </w:r>
            <w:r>
              <w:rPr>
                <w:color w:val="000000" w:themeColor="text1"/>
                <w:szCs w:val="21"/>
                <w:highlight w:val="none"/>
                <w14:textFill>
                  <w14:solidFill>
                    <w14:schemeClr w14:val="tx1"/>
                  </w14:solidFill>
                </w14:textFill>
              </w:rPr>
              <w:instrText xml:space="preserve"> HYPERLINK "https://baike.baidu.com/item/%E7%84%8A%E6%8E%A5%E6%9D%90%E6%96%99/1846706" \t "_blank" </w:instrText>
            </w:r>
            <w:r>
              <w:rPr>
                <w:color w:val="000000" w:themeColor="text1"/>
                <w:szCs w:val="21"/>
                <w:highlight w:val="none"/>
                <w14:textFill>
                  <w14:solidFill>
                    <w14:schemeClr w14:val="tx1"/>
                  </w14:solidFill>
                </w14:textFill>
              </w:rPr>
              <w:fldChar w:fldCharType="separate"/>
            </w:r>
            <w:r>
              <w:rPr>
                <w:color w:val="000000" w:themeColor="text1"/>
                <w:szCs w:val="21"/>
                <w:highlight w:val="none"/>
                <w14:textFill>
                  <w14:solidFill>
                    <w14:schemeClr w14:val="tx1"/>
                  </w14:solidFill>
                </w14:textFill>
              </w:rPr>
              <w:t>焊接材料</w:t>
            </w:r>
            <w:r>
              <w:rPr>
                <w:color w:val="000000" w:themeColor="text1"/>
                <w:szCs w:val="21"/>
                <w:highlight w:val="none"/>
                <w14:textFill>
                  <w14:solidFill>
                    <w14:schemeClr w14:val="tx1"/>
                  </w14:solidFill>
                </w14:textFill>
              </w:rPr>
              <w:fldChar w:fldCharType="end"/>
            </w:r>
            <w:r>
              <w:rPr>
                <w:color w:val="000000" w:themeColor="text1"/>
                <w:szCs w:val="21"/>
                <w:highlight w:val="none"/>
                <w14:textFill>
                  <w14:solidFill>
                    <w14:schemeClr w14:val="tx1"/>
                  </w14:solidFill>
                </w14:textFill>
              </w:rPr>
              <w:t>，是由焊锡粉、助焊剂以及其它的</w:t>
            </w:r>
            <w:r>
              <w:rPr>
                <w:color w:val="000000" w:themeColor="text1"/>
                <w:szCs w:val="21"/>
                <w:highlight w:val="none"/>
                <w14:textFill>
                  <w14:solidFill>
                    <w14:schemeClr w14:val="tx1"/>
                  </w14:solidFill>
                </w14:textFill>
              </w:rPr>
              <w:fldChar w:fldCharType="begin"/>
            </w:r>
            <w:r>
              <w:rPr>
                <w:color w:val="000000" w:themeColor="text1"/>
                <w:szCs w:val="21"/>
                <w:highlight w:val="none"/>
                <w14:textFill>
                  <w14:solidFill>
                    <w14:schemeClr w14:val="tx1"/>
                  </w14:solidFill>
                </w14:textFill>
              </w:rPr>
              <w:instrText xml:space="preserve"> HYPERLINK "https://baike.baidu.com/item/%E8%A1%A8%E9%9D%A2%E6%B4%BB%E6%80%A7%E5%89%82/5032610" \t "_blank" </w:instrText>
            </w:r>
            <w:r>
              <w:rPr>
                <w:color w:val="000000" w:themeColor="text1"/>
                <w:szCs w:val="21"/>
                <w:highlight w:val="none"/>
                <w14:textFill>
                  <w14:solidFill>
                    <w14:schemeClr w14:val="tx1"/>
                  </w14:solidFill>
                </w14:textFill>
              </w:rPr>
              <w:fldChar w:fldCharType="separate"/>
            </w:r>
            <w:r>
              <w:rPr>
                <w:color w:val="000000" w:themeColor="text1"/>
                <w:szCs w:val="21"/>
                <w:highlight w:val="none"/>
                <w14:textFill>
                  <w14:solidFill>
                    <w14:schemeClr w14:val="tx1"/>
                  </w14:solidFill>
                </w14:textFill>
              </w:rPr>
              <w:t>表面活性剂</w:t>
            </w:r>
            <w:r>
              <w:rPr>
                <w:color w:val="000000" w:themeColor="text1"/>
                <w:szCs w:val="21"/>
                <w:highlight w:val="none"/>
                <w14:textFill>
                  <w14:solidFill>
                    <w14:schemeClr w14:val="tx1"/>
                  </w14:solidFill>
                </w14:textFill>
              </w:rPr>
              <w:fldChar w:fldCharType="end"/>
            </w:r>
            <w:r>
              <w:rPr>
                <w:color w:val="000000" w:themeColor="text1"/>
                <w:szCs w:val="21"/>
                <w:highlight w:val="none"/>
                <w14:textFill>
                  <w14:solidFill>
                    <w14:schemeClr w14:val="tx1"/>
                  </w14:solidFill>
                </w14:textFill>
              </w:rPr>
              <w:t>、触变剂等加以混合，形成的膏状混合物。主要用于SMT行业</w:t>
            </w:r>
            <w:r>
              <w:rPr>
                <w:color w:val="000000" w:themeColor="text1"/>
                <w:szCs w:val="21"/>
                <w:highlight w:val="none"/>
                <w14:textFill>
                  <w14:solidFill>
                    <w14:schemeClr w14:val="tx1"/>
                  </w14:solidFill>
                </w14:textFill>
              </w:rPr>
              <w:fldChar w:fldCharType="begin"/>
            </w:r>
            <w:r>
              <w:rPr>
                <w:color w:val="000000" w:themeColor="text1"/>
                <w:szCs w:val="21"/>
                <w:highlight w:val="none"/>
                <w14:textFill>
                  <w14:solidFill>
                    <w14:schemeClr w14:val="tx1"/>
                  </w14:solidFill>
                </w14:textFill>
              </w:rPr>
              <w:instrText xml:space="preserve"> HYPERLINK "https://baike.baidu.com/item/PCB/146397" \t "_blank" </w:instrText>
            </w:r>
            <w:r>
              <w:rPr>
                <w:color w:val="000000" w:themeColor="text1"/>
                <w:szCs w:val="21"/>
                <w:highlight w:val="none"/>
                <w14:textFill>
                  <w14:solidFill>
                    <w14:schemeClr w14:val="tx1"/>
                  </w14:solidFill>
                </w14:textFill>
              </w:rPr>
              <w:fldChar w:fldCharType="separate"/>
            </w:r>
            <w:r>
              <w:rPr>
                <w:color w:val="000000" w:themeColor="text1"/>
                <w:szCs w:val="21"/>
                <w:highlight w:val="none"/>
                <w14:textFill>
                  <w14:solidFill>
                    <w14:schemeClr w14:val="tx1"/>
                  </w14:solidFill>
                </w14:textFill>
              </w:rPr>
              <w:t>PCB</w:t>
            </w:r>
            <w:r>
              <w:rPr>
                <w:color w:val="000000" w:themeColor="text1"/>
                <w:szCs w:val="21"/>
                <w:highlight w:val="none"/>
                <w14:textFill>
                  <w14:solidFill>
                    <w14:schemeClr w14:val="tx1"/>
                  </w14:solidFill>
                </w14:textFill>
              </w:rPr>
              <w:fldChar w:fldCharType="end"/>
            </w:r>
            <w:r>
              <w:rPr>
                <w:color w:val="000000" w:themeColor="text1"/>
                <w:szCs w:val="21"/>
                <w:highlight w:val="none"/>
                <w14:textFill>
                  <w14:solidFill>
                    <w14:schemeClr w14:val="tx1"/>
                  </w14:solidFill>
                </w14:textFill>
              </w:rPr>
              <w:t>表面</w:t>
            </w:r>
            <w:r>
              <w:rPr>
                <w:color w:val="000000" w:themeColor="text1"/>
                <w:szCs w:val="21"/>
                <w:highlight w:val="none"/>
                <w14:textFill>
                  <w14:solidFill>
                    <w14:schemeClr w14:val="tx1"/>
                  </w14:solidFill>
                </w14:textFill>
              </w:rPr>
              <w:fldChar w:fldCharType="begin"/>
            </w:r>
            <w:r>
              <w:rPr>
                <w:color w:val="000000" w:themeColor="text1"/>
                <w:szCs w:val="21"/>
                <w:highlight w:val="none"/>
                <w14:textFill>
                  <w14:solidFill>
                    <w14:schemeClr w14:val="tx1"/>
                  </w14:solidFill>
                </w14:textFill>
              </w:rPr>
              <w:instrText xml:space="preserve"> HYPERLINK "https://baike.baidu.com/item/%E7%94%B5%E9%98%BB/3315365" \t "_blank" </w:instrText>
            </w:r>
            <w:r>
              <w:rPr>
                <w:color w:val="000000" w:themeColor="text1"/>
                <w:szCs w:val="21"/>
                <w:highlight w:val="none"/>
                <w14:textFill>
                  <w14:solidFill>
                    <w14:schemeClr w14:val="tx1"/>
                  </w14:solidFill>
                </w14:textFill>
              </w:rPr>
              <w:fldChar w:fldCharType="separate"/>
            </w:r>
            <w:r>
              <w:rPr>
                <w:color w:val="000000" w:themeColor="text1"/>
                <w:szCs w:val="21"/>
                <w:highlight w:val="none"/>
                <w14:textFill>
                  <w14:solidFill>
                    <w14:schemeClr w14:val="tx1"/>
                  </w14:solidFill>
                </w14:textFill>
              </w:rPr>
              <w:t>电阻</w:t>
            </w:r>
            <w:r>
              <w:rPr>
                <w:color w:val="000000" w:themeColor="text1"/>
                <w:szCs w:val="21"/>
                <w:highlight w:val="none"/>
                <w14:textFill>
                  <w14:solidFill>
                    <w14:schemeClr w14:val="tx1"/>
                  </w14:solidFill>
                </w14:textFill>
              </w:rPr>
              <w:fldChar w:fldCharType="end"/>
            </w:r>
            <w:r>
              <w:rPr>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fldChar w:fldCharType="begin"/>
            </w:r>
            <w:r>
              <w:rPr>
                <w:color w:val="000000" w:themeColor="text1"/>
                <w:szCs w:val="21"/>
                <w:highlight w:val="none"/>
                <w14:textFill>
                  <w14:solidFill>
                    <w14:schemeClr w14:val="tx1"/>
                  </w14:solidFill>
                </w14:textFill>
              </w:rPr>
              <w:instrText xml:space="preserve"> HYPERLINK "https://baike.baidu.com/item/%E7%94%B5%E5%AE%B9/12031635" \t "_blank" </w:instrText>
            </w:r>
            <w:r>
              <w:rPr>
                <w:color w:val="000000" w:themeColor="text1"/>
                <w:szCs w:val="21"/>
                <w:highlight w:val="none"/>
                <w14:textFill>
                  <w14:solidFill>
                    <w14:schemeClr w14:val="tx1"/>
                  </w14:solidFill>
                </w14:textFill>
              </w:rPr>
              <w:fldChar w:fldCharType="separate"/>
            </w:r>
            <w:r>
              <w:rPr>
                <w:color w:val="000000" w:themeColor="text1"/>
                <w:szCs w:val="21"/>
                <w:highlight w:val="none"/>
                <w14:textFill>
                  <w14:solidFill>
                    <w14:schemeClr w14:val="tx1"/>
                  </w14:solidFill>
                </w14:textFill>
              </w:rPr>
              <w:t>电容</w:t>
            </w:r>
            <w:r>
              <w:rPr>
                <w:color w:val="000000" w:themeColor="text1"/>
                <w:szCs w:val="21"/>
                <w:highlight w:val="none"/>
                <w14:textFill>
                  <w14:solidFill>
                    <w14:schemeClr w14:val="tx1"/>
                  </w14:solidFill>
                </w14:textFill>
              </w:rPr>
              <w:fldChar w:fldCharType="end"/>
            </w:r>
            <w:r>
              <w:rPr>
                <w:color w:val="000000" w:themeColor="text1"/>
                <w:szCs w:val="21"/>
                <w:highlight w:val="none"/>
                <w14:textFill>
                  <w14:solidFill>
                    <w14:schemeClr w14:val="tx1"/>
                  </w14:solidFill>
                </w14:textFill>
              </w:rPr>
              <w:t>、</w:t>
            </w:r>
            <w:r>
              <w:rPr>
                <w:color w:val="000000" w:themeColor="text1"/>
                <w:szCs w:val="21"/>
                <w:highlight w:val="none"/>
                <w14:textFill>
                  <w14:solidFill>
                    <w14:schemeClr w14:val="tx1"/>
                  </w14:solidFill>
                </w14:textFill>
              </w:rPr>
              <w:fldChar w:fldCharType="begin"/>
            </w:r>
            <w:r>
              <w:rPr>
                <w:color w:val="000000" w:themeColor="text1"/>
                <w:szCs w:val="21"/>
                <w:highlight w:val="none"/>
                <w14:textFill>
                  <w14:solidFill>
                    <w14:schemeClr w14:val="tx1"/>
                  </w14:solidFill>
                </w14:textFill>
              </w:rPr>
              <w:instrText xml:space="preserve"> HYPERLINK "https://baike.baidu.com/item/IC/4950052" \t "_blank" </w:instrText>
            </w:r>
            <w:r>
              <w:rPr>
                <w:color w:val="000000" w:themeColor="text1"/>
                <w:szCs w:val="21"/>
                <w:highlight w:val="none"/>
                <w14:textFill>
                  <w14:solidFill>
                    <w14:schemeClr w14:val="tx1"/>
                  </w14:solidFill>
                </w14:textFill>
              </w:rPr>
              <w:fldChar w:fldCharType="separate"/>
            </w:r>
            <w:r>
              <w:rPr>
                <w:color w:val="000000" w:themeColor="text1"/>
                <w:szCs w:val="21"/>
                <w:highlight w:val="none"/>
                <w14:textFill>
                  <w14:solidFill>
                    <w14:schemeClr w14:val="tx1"/>
                  </w14:solidFill>
                </w14:textFill>
              </w:rPr>
              <w:t>IC</w:t>
            </w:r>
            <w:r>
              <w:rPr>
                <w:color w:val="000000" w:themeColor="text1"/>
                <w:szCs w:val="21"/>
                <w:highlight w:val="none"/>
                <w14:textFill>
                  <w14:solidFill>
                    <w14:schemeClr w14:val="tx1"/>
                  </w14:solidFill>
                </w14:textFill>
              </w:rPr>
              <w:fldChar w:fldCharType="end"/>
            </w:r>
            <w:r>
              <w:rPr>
                <w:color w:val="000000" w:themeColor="text1"/>
                <w:szCs w:val="21"/>
                <w:highlight w:val="none"/>
                <w14:textFill>
                  <w14:solidFill>
                    <w14:schemeClr w14:val="tx1"/>
                  </w14:solidFill>
                </w14:textFill>
              </w:rPr>
              <w:t>等</w:t>
            </w:r>
            <w:r>
              <w:rPr>
                <w:color w:val="000000" w:themeColor="text1"/>
                <w:szCs w:val="21"/>
                <w:highlight w:val="none"/>
                <w14:textFill>
                  <w14:solidFill>
                    <w14:schemeClr w14:val="tx1"/>
                  </w14:solidFill>
                </w14:textFill>
              </w:rPr>
              <w:fldChar w:fldCharType="begin"/>
            </w:r>
            <w:r>
              <w:rPr>
                <w:color w:val="000000" w:themeColor="text1"/>
                <w:szCs w:val="21"/>
                <w:highlight w:val="none"/>
                <w14:textFill>
                  <w14:solidFill>
                    <w14:schemeClr w14:val="tx1"/>
                  </w14:solidFill>
                </w14:textFill>
              </w:rPr>
              <w:instrText xml:space="preserve"> HYPERLINK "https://baike.baidu.com/item/%E7%94%B5%E5%AD%90%E5%85%83%E5%99%A8%E4%BB%B6/9042493" \t "_blank" </w:instrText>
            </w:r>
            <w:r>
              <w:rPr>
                <w:color w:val="000000" w:themeColor="text1"/>
                <w:szCs w:val="21"/>
                <w:highlight w:val="none"/>
                <w14:textFill>
                  <w14:solidFill>
                    <w14:schemeClr w14:val="tx1"/>
                  </w14:solidFill>
                </w14:textFill>
              </w:rPr>
              <w:fldChar w:fldCharType="separate"/>
            </w:r>
            <w:r>
              <w:rPr>
                <w:color w:val="000000" w:themeColor="text1"/>
                <w:szCs w:val="21"/>
                <w:highlight w:val="none"/>
                <w14:textFill>
                  <w14:solidFill>
                    <w14:schemeClr w14:val="tx1"/>
                  </w14:solidFill>
                </w14:textFill>
              </w:rPr>
              <w:t>电子元器件</w:t>
            </w:r>
            <w:r>
              <w:rPr>
                <w:color w:val="000000" w:themeColor="text1"/>
                <w:szCs w:val="21"/>
                <w:highlight w:val="none"/>
                <w14:textFill>
                  <w14:solidFill>
                    <w14:schemeClr w14:val="tx1"/>
                  </w14:solidFill>
                </w14:textFill>
              </w:rPr>
              <w:fldChar w:fldCharType="end"/>
            </w:r>
            <w:r>
              <w:rPr>
                <w:color w:val="000000" w:themeColor="text1"/>
                <w:szCs w:val="21"/>
                <w:highlight w:val="none"/>
                <w14:textFill>
                  <w14:solidFill>
                    <w14:schemeClr w14:val="tx1"/>
                  </w14:solidFill>
                </w14:textFill>
              </w:rPr>
              <w:t>的焊接。</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9" w:type="pct"/>
            <w:noWrap w:val="0"/>
            <w:vAlign w:val="center"/>
          </w:tcPr>
          <w:p>
            <w:pPr>
              <w:keepNext w:val="0"/>
              <w:keepLines w:val="0"/>
              <w:suppressLineNumbers w:val="0"/>
              <w:spacing w:before="0" w:beforeAutospacing="0" w:after="0" w:afterAutospacing="0"/>
              <w:ind w:left="0" w:right="0"/>
              <w:jc w:val="center"/>
              <w:rPr>
                <w:rFonts w:hint="eastAsia"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酒精</w:t>
            </w:r>
          </w:p>
        </w:tc>
        <w:tc>
          <w:tcPr>
            <w:tcW w:w="4000" w:type="pct"/>
            <w:noWrap w:val="0"/>
            <w:vAlign w:val="center"/>
          </w:tcPr>
          <w:p>
            <w:pPr>
              <w:keepNext w:val="0"/>
              <w:keepLines w:val="0"/>
              <w:suppressLineNumbers w:val="0"/>
              <w:spacing w:before="0" w:beforeAutospacing="0" w:after="0" w:afterAutospacing="0"/>
              <w:ind w:left="0" w:right="0"/>
              <w:jc w:val="left"/>
              <w:rPr>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主要成分：纯度</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99.8%</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w:t>
            </w:r>
            <w:r>
              <w:rPr>
                <w:color w:val="000000" w:themeColor="text1"/>
                <w:highlight w:val="none"/>
                <w14:textFill>
                  <w14:solidFill>
                    <w14:schemeClr w14:val="tx1"/>
                  </w14:solidFill>
                </w14:textFill>
              </w:rPr>
              <w:drawing>
                <wp:inline distT="0" distB="0" distL="114300" distR="114300">
                  <wp:extent cx="4935220" cy="2800985"/>
                  <wp:effectExtent l="0" t="0" r="17780" b="1841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20"/>
                          <a:stretch>
                            <a:fillRect/>
                          </a:stretch>
                        </pic:blipFill>
                        <pic:spPr>
                          <a:xfrm>
                            <a:off x="0" y="0"/>
                            <a:ext cx="4935220" cy="2800985"/>
                          </a:xfrm>
                          <a:prstGeom prst="rect">
                            <a:avLst/>
                          </a:prstGeom>
                          <a:noFill/>
                          <a:ln>
                            <a:noFill/>
                          </a:ln>
                        </pic:spPr>
                      </pic:pic>
                    </a:graphicData>
                  </a:graphic>
                </wp:inline>
              </w:drawing>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99" w:type="pct"/>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助焊剂</w:t>
            </w:r>
          </w:p>
        </w:tc>
        <w:tc>
          <w:tcPr>
            <w:tcW w:w="4000" w:type="pct"/>
            <w:noWrap w:val="0"/>
            <w:vAlign w:val="center"/>
          </w:tcPr>
          <w:p>
            <w:pPr>
              <w:keepNext w:val="0"/>
              <w:keepLines w:val="0"/>
              <w:suppressLineNumbers w:val="0"/>
              <w:spacing w:before="0" w:beforeAutospacing="0" w:after="0" w:afterAutospacing="0"/>
              <w:ind w:left="0" w:right="0"/>
              <w:jc w:val="left"/>
              <w:rPr>
                <w:rFonts w:hint="eastAsia" w:eastAsia="宋体"/>
                <w:color w:val="000000" w:themeColor="text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主要成分：天然树脂、硬脂酸磺酸钠、新戊二醇；</w:t>
            </w:r>
            <w:r>
              <w:rPr>
                <w:rFonts w:ascii="Times New Roman" w:hAnsi="Times New Roman" w:eastAsia="宋体" w:cs="Times New Roman"/>
                <w:color w:val="000000" w:themeColor="text1"/>
                <w:szCs w:val="21"/>
                <w:highlight w:val="none"/>
                <w14:textFill>
                  <w14:solidFill>
                    <w14:schemeClr w14:val="tx1"/>
                  </w14:solidFill>
                </w14:textFill>
              </w:rPr>
              <w:t>含卤素的表面活性剂活性强，助焊能力高，但因卤素离子很难清洗干净，离子残留度高，卤素元素（主要是氯化物）有强腐蚀性，故不适合用作免洗助焊剂的原料，不含卤素的表面活性剂，活性稍有弱，但离子残留少.表面活性剂主要是脂肪酸族或芳香族的非离子型表面活性剂，其主要功能是减小焊料与引线脚金属两者接触时产生的表面张力，增强表面润湿力，增强有机酸活化剂的渗透力，也可起发泡剂的作用</w:t>
            </w:r>
            <w:r>
              <w:rPr>
                <w:rFonts w:hint="eastAsia" w:ascii="Times New Roman" w:hAnsi="Times New Roman" w:eastAsia="宋体" w:cs="Times New Roman"/>
                <w:color w:val="000000" w:themeColor="text1"/>
                <w:szCs w:val="21"/>
                <w:highlight w:val="none"/>
                <w:lang w:eastAsia="zh-CN"/>
                <w14:textFill>
                  <w14:solidFill>
                    <w14:schemeClr w14:val="tx1"/>
                  </w14:solidFill>
                </w14:textFill>
              </w:rPr>
              <w:t>。</w:t>
            </w:r>
          </w:p>
        </w:tc>
      </w:tr>
    </w:tbl>
    <w:p>
      <w:pPr>
        <w:numPr>
          <w:ilvl w:val="0"/>
          <w:numId w:val="0"/>
        </w:numPr>
        <w:adjustRightInd w:val="0"/>
        <w:snapToGrid w:val="0"/>
        <w:spacing w:before="156" w:beforeLines="50" w:line="360" w:lineRule="auto"/>
        <w:rPr>
          <w:b/>
          <w:color w:val="000000" w:themeColor="text1"/>
          <w:kern w:val="0"/>
          <w:position w:val="6"/>
          <w:sz w:val="24"/>
          <w:szCs w:val="20"/>
          <w:highlight w:val="none"/>
          <w14:textFill>
            <w14:solidFill>
              <w14:schemeClr w14:val="tx1"/>
            </w14:solidFill>
          </w14:textFill>
        </w:rPr>
      </w:pPr>
      <w:r>
        <w:rPr>
          <w:rFonts w:hint="eastAsia"/>
          <w:b/>
          <w:color w:val="000000" w:themeColor="text1"/>
          <w:kern w:val="0"/>
          <w:position w:val="6"/>
          <w:sz w:val="24"/>
          <w:szCs w:val="20"/>
          <w:highlight w:val="none"/>
          <w:lang w:eastAsia="zh-CN"/>
          <w14:textFill>
            <w14:solidFill>
              <w14:schemeClr w14:val="tx1"/>
            </w14:solidFill>
          </w14:textFill>
        </w:rPr>
        <w:t>（</w:t>
      </w:r>
      <w:r>
        <w:rPr>
          <w:rFonts w:hint="eastAsia"/>
          <w:b/>
          <w:color w:val="000000" w:themeColor="text1"/>
          <w:kern w:val="0"/>
          <w:position w:val="6"/>
          <w:sz w:val="24"/>
          <w:szCs w:val="20"/>
          <w:highlight w:val="none"/>
          <w:lang w:val="en-US" w:eastAsia="zh-CN"/>
          <w14:textFill>
            <w14:solidFill>
              <w14:schemeClr w14:val="tx1"/>
            </w14:solidFill>
          </w14:textFill>
        </w:rPr>
        <w:t>3.2</w:t>
      </w:r>
      <w:r>
        <w:rPr>
          <w:rFonts w:hint="eastAsia"/>
          <w:b/>
          <w:color w:val="000000" w:themeColor="text1"/>
          <w:kern w:val="0"/>
          <w:position w:val="6"/>
          <w:sz w:val="24"/>
          <w:szCs w:val="20"/>
          <w:highlight w:val="none"/>
          <w:lang w:eastAsia="zh-CN"/>
          <w14:textFill>
            <w14:solidFill>
              <w14:schemeClr w14:val="tx1"/>
            </w14:solidFill>
          </w14:textFill>
        </w:rPr>
        <w:t>）</w:t>
      </w:r>
      <w:r>
        <w:rPr>
          <w:b/>
          <w:color w:val="000000" w:themeColor="text1"/>
          <w:kern w:val="0"/>
          <w:position w:val="6"/>
          <w:sz w:val="24"/>
          <w:szCs w:val="20"/>
          <w:highlight w:val="none"/>
          <w14:textFill>
            <w14:solidFill>
              <w14:schemeClr w14:val="tx1"/>
            </w14:solidFill>
          </w14:textFill>
        </w:rPr>
        <w:t>项目产品方案</w:t>
      </w:r>
    </w:p>
    <w:p>
      <w:pPr>
        <w:pStyle w:val="61"/>
        <w:ind w:firstLine="48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项目建成后形成</w:t>
      </w:r>
      <w:r>
        <w:rPr>
          <w:rFonts w:hint="eastAsia"/>
          <w:color w:val="000000" w:themeColor="text1"/>
          <w:highlight w:val="none"/>
          <w:lang w:eastAsia="zh-CN"/>
          <w14:textFill>
            <w14:solidFill>
              <w14:schemeClr w14:val="tx1"/>
            </w14:solidFill>
          </w14:textFill>
        </w:rPr>
        <w:t>年产650万台机芯板项目</w:t>
      </w:r>
      <w:r>
        <w:rPr>
          <w:rFonts w:hint="eastAsia"/>
          <w:color w:val="000000" w:themeColor="text1"/>
          <w:highlight w:val="none"/>
          <w14:textFill>
            <w14:solidFill>
              <w14:schemeClr w14:val="tx1"/>
            </w14:solidFill>
          </w14:textFill>
        </w:rPr>
        <w:t>，产品情况见表</w:t>
      </w:r>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w:t>
      </w:r>
    </w:p>
    <w:p>
      <w:pPr>
        <w:pStyle w:val="33"/>
        <w:keepNext w:val="0"/>
        <w:keepLines w:val="0"/>
        <w:widowControl w:val="0"/>
        <w:suppressLineNumbers w:val="0"/>
        <w:spacing w:before="0" w:beforeAutospacing="0" w:after="120" w:afterAutospacing="0"/>
        <w:ind w:left="0" w:right="0"/>
        <w:jc w:val="center"/>
        <w:rPr>
          <w:color w:val="000000" w:themeColor="text1"/>
          <w:sz w:val="21"/>
          <w:szCs w:val="21"/>
          <w:highlight w:val="none"/>
          <w:lang w:val="en-US"/>
          <w14:textFill>
            <w14:solidFill>
              <w14:schemeClr w14:val="tx1"/>
            </w14:solidFill>
          </w14:textFill>
        </w:rPr>
      </w:pPr>
      <w:r>
        <w:rPr>
          <w:b/>
          <w:color w:val="000000" w:themeColor="text1"/>
          <w:kern w:val="21"/>
          <w:sz w:val="21"/>
          <w:szCs w:val="21"/>
          <w:highlight w:val="none"/>
          <w14:textFill>
            <w14:solidFill>
              <w14:schemeClr w14:val="tx1"/>
            </w14:solidFill>
          </w14:textFill>
        </w:rPr>
        <w:t>表</w:t>
      </w:r>
      <w:r>
        <w:rPr>
          <w:rFonts w:hint="eastAsia"/>
          <w:b/>
          <w:color w:val="000000" w:themeColor="text1"/>
          <w:kern w:val="21"/>
          <w:sz w:val="21"/>
          <w:szCs w:val="21"/>
          <w:highlight w:val="none"/>
          <w:lang w:val="en-US" w:eastAsia="zh-CN"/>
          <w14:textFill>
            <w14:solidFill>
              <w14:schemeClr w14:val="tx1"/>
            </w14:solidFill>
          </w14:textFill>
        </w:rPr>
        <w:t>6</w:t>
      </w:r>
      <w:r>
        <w:rPr>
          <w:b/>
          <w:color w:val="000000" w:themeColor="text1"/>
          <w:kern w:val="21"/>
          <w:sz w:val="21"/>
          <w:szCs w:val="21"/>
          <w:highlight w:val="none"/>
          <w14:textFill>
            <w14:solidFill>
              <w14:schemeClr w14:val="tx1"/>
            </w14:solidFill>
          </w14:textFill>
        </w:rPr>
        <w:t xml:space="preserve">  项目产品方案</w:t>
      </w:r>
    </w:p>
    <w:tbl>
      <w:tblPr>
        <w:tblStyle w:val="48"/>
        <w:tblW w:w="4999"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3828"/>
        <w:gridCol w:w="2838"/>
        <w:gridCol w:w="137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69" w:type="pct"/>
            <w:noWrap w:val="0"/>
            <w:vAlign w:val="center"/>
          </w:tcPr>
          <w:p>
            <w:pPr>
              <w:keepNext w:val="0"/>
              <w:keepLines w:val="0"/>
              <w:suppressLineNumbers w:val="0"/>
              <w:spacing w:before="0" w:beforeAutospacing="0" w:after="0" w:afterAutospacing="0"/>
              <w:ind w:left="0" w:right="0"/>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序号</w:t>
            </w:r>
          </w:p>
        </w:tc>
        <w:tc>
          <w:tcPr>
            <w:tcW w:w="2061" w:type="pct"/>
            <w:noWrap w:val="0"/>
            <w:vAlign w:val="center"/>
          </w:tcPr>
          <w:p>
            <w:pPr>
              <w:keepNext w:val="0"/>
              <w:keepLines w:val="0"/>
              <w:suppressLineNumbers w:val="0"/>
              <w:spacing w:before="0" w:beforeAutospacing="0" w:after="0" w:afterAutospacing="0"/>
              <w:ind w:left="0" w:right="0"/>
              <w:jc w:val="center"/>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名称</w:t>
            </w:r>
          </w:p>
        </w:tc>
        <w:tc>
          <w:tcPr>
            <w:tcW w:w="1528" w:type="pct"/>
            <w:noWrap w:val="0"/>
            <w:vAlign w:val="center"/>
          </w:tcPr>
          <w:p>
            <w:pPr>
              <w:keepNext w:val="0"/>
              <w:keepLines w:val="0"/>
              <w:suppressLineNumbers w:val="0"/>
              <w:spacing w:before="0" w:beforeAutospacing="0" w:after="0" w:afterAutospacing="0"/>
              <w:ind w:left="0" w:right="0"/>
              <w:jc w:val="center"/>
              <w:rPr>
                <w:rFonts w:ascii="Times New Roman" w:hAnsi="Times New Roman" w:eastAsia="宋体" w:cs="Times New Roman"/>
                <w:color w:val="000000" w:themeColor="text1"/>
                <w:szCs w:val="21"/>
                <w:highlight w:val="none"/>
                <w14:textFill>
                  <w14:solidFill>
                    <w14:schemeClr w14:val="tx1"/>
                  </w14:solidFill>
                </w14:textFill>
              </w:rPr>
            </w:pPr>
            <w:r>
              <w:rPr>
                <w:rFonts w:ascii="Times New Roman" w:hAnsi="Times New Roman" w:eastAsia="宋体" w:cs="Times New Roman"/>
                <w:color w:val="000000" w:themeColor="text1"/>
                <w:szCs w:val="21"/>
                <w:highlight w:val="none"/>
                <w14:textFill>
                  <w14:solidFill>
                    <w14:schemeClr w14:val="tx1"/>
                  </w14:solidFill>
                </w14:textFill>
              </w:rPr>
              <w:t>产量</w:t>
            </w:r>
          </w:p>
        </w:tc>
        <w:tc>
          <w:tcPr>
            <w:tcW w:w="741" w:type="pct"/>
            <w:noWrap w:val="0"/>
            <w:vAlign w:val="center"/>
          </w:tcPr>
          <w:p>
            <w:pPr>
              <w:keepNext w:val="0"/>
              <w:keepLines w:val="0"/>
              <w:suppressLineNumbers w:val="0"/>
              <w:spacing w:before="0" w:beforeAutospacing="0" w:after="0" w:afterAutospacing="0"/>
              <w:ind w:left="0" w:right="0"/>
              <w:jc w:val="center"/>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669"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1</w:t>
            </w:r>
          </w:p>
        </w:tc>
        <w:tc>
          <w:tcPr>
            <w:tcW w:w="2061" w:type="pct"/>
            <w:noWrap w:val="0"/>
            <w:vAlign w:val="center"/>
          </w:tcPr>
          <w:p>
            <w:pPr>
              <w:keepNext w:val="0"/>
              <w:keepLines w:val="0"/>
              <w:suppressLineNumbers w:val="0"/>
              <w:spacing w:before="0" w:beforeAutospacing="0" w:after="0" w:afterAutospacing="0"/>
              <w:ind w:left="0" w:right="0"/>
              <w:jc w:val="center"/>
              <w:rPr>
                <w:rFonts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eastAsia="zh-CN"/>
                <w14:textFill>
                  <w14:solidFill>
                    <w14:schemeClr w14:val="tx1"/>
                  </w14:solidFill>
                </w14:textFill>
              </w:rPr>
              <w:t>机芯板</w:t>
            </w:r>
          </w:p>
        </w:tc>
        <w:tc>
          <w:tcPr>
            <w:tcW w:w="1528" w:type="pct"/>
            <w:noWrap w:val="0"/>
            <w:vAlign w:val="center"/>
          </w:tcPr>
          <w:p>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650</w:t>
            </w:r>
            <w:r>
              <w:rPr>
                <w:rFonts w:hint="eastAsia" w:ascii="Times New Roman" w:hAnsi="Times New Roman" w:eastAsia="宋体" w:cs="Times New Roman"/>
                <w:color w:val="000000" w:themeColor="text1"/>
                <w:szCs w:val="21"/>
                <w:highlight w:val="none"/>
                <w14:textFill>
                  <w14:solidFill>
                    <w14:schemeClr w14:val="tx1"/>
                  </w14:solidFill>
                </w14:textFill>
              </w:rPr>
              <w:t>万</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台</w:t>
            </w:r>
          </w:p>
        </w:tc>
        <w:tc>
          <w:tcPr>
            <w:tcW w:w="741" w:type="pct"/>
            <w:noWrap w:val="0"/>
            <w:vAlign w:val="center"/>
          </w:tcPr>
          <w:p>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w:t>
            </w:r>
          </w:p>
        </w:tc>
      </w:tr>
    </w:tbl>
    <w:p>
      <w:pPr>
        <w:adjustRightInd w:val="0"/>
        <w:snapToGrid w:val="0"/>
        <w:spacing w:before="156" w:beforeLines="50" w:line="360" w:lineRule="auto"/>
        <w:ind w:firstLine="482" w:firstLineChars="200"/>
        <w:rPr>
          <w:b/>
          <w:color w:val="000000" w:themeColor="text1"/>
          <w:kern w:val="0"/>
          <w:position w:val="6"/>
          <w:sz w:val="24"/>
          <w:szCs w:val="20"/>
          <w:highlight w:val="none"/>
          <w14:textFill>
            <w14:solidFill>
              <w14:schemeClr w14:val="tx1"/>
            </w14:solidFill>
          </w14:textFill>
        </w:rPr>
      </w:pPr>
      <w:r>
        <w:rPr>
          <w:b/>
          <w:color w:val="000000" w:themeColor="text1"/>
          <w:kern w:val="0"/>
          <w:position w:val="6"/>
          <w:sz w:val="24"/>
          <w:szCs w:val="20"/>
          <w:highlight w:val="none"/>
          <w14:textFill>
            <w14:solidFill>
              <w14:schemeClr w14:val="tx1"/>
            </w14:solidFill>
          </w14:textFill>
        </w:rPr>
        <w:t>（3</w:t>
      </w:r>
      <w:r>
        <w:rPr>
          <w:rFonts w:hint="eastAsia"/>
          <w:b/>
          <w:color w:val="000000" w:themeColor="text1"/>
          <w:kern w:val="0"/>
          <w:position w:val="6"/>
          <w:sz w:val="24"/>
          <w:szCs w:val="20"/>
          <w:highlight w:val="none"/>
          <w:lang w:val="en-US" w:eastAsia="zh-CN"/>
          <w14:textFill>
            <w14:solidFill>
              <w14:schemeClr w14:val="tx1"/>
            </w14:solidFill>
          </w14:textFill>
        </w:rPr>
        <w:t>.3</w:t>
      </w:r>
      <w:r>
        <w:rPr>
          <w:b/>
          <w:color w:val="000000" w:themeColor="text1"/>
          <w:kern w:val="0"/>
          <w:position w:val="6"/>
          <w:sz w:val="24"/>
          <w:szCs w:val="20"/>
          <w:highlight w:val="none"/>
          <w14:textFill>
            <w14:solidFill>
              <w14:schemeClr w14:val="tx1"/>
            </w14:solidFill>
          </w14:textFill>
        </w:rPr>
        <w:t>）项目生产设备配置</w:t>
      </w:r>
    </w:p>
    <w:p>
      <w:pPr>
        <w:adjustRightInd w:val="0"/>
        <w:spacing w:line="360" w:lineRule="auto"/>
        <w:ind w:firstLine="480" w:firstLineChars="200"/>
        <w:textAlignment w:val="baseline"/>
        <w:rPr>
          <w:b/>
          <w:color w:val="000000" w:themeColor="text1"/>
          <w:kern w:val="21"/>
          <w:szCs w:val="21"/>
          <w:highlight w:val="none"/>
          <w14:textFill>
            <w14:solidFill>
              <w14:schemeClr w14:val="tx1"/>
            </w14:solidFill>
          </w14:textFill>
        </w:rPr>
      </w:pPr>
      <w:r>
        <w:rPr>
          <w:color w:val="000000" w:themeColor="text1"/>
          <w:kern w:val="0"/>
          <w:position w:val="6"/>
          <w:sz w:val="24"/>
          <w:szCs w:val="20"/>
          <w:highlight w:val="none"/>
          <w14:textFill>
            <w14:solidFill>
              <w14:schemeClr w14:val="tx1"/>
            </w14:solidFill>
          </w14:textFill>
        </w:rPr>
        <w:t>本项目设备配置清单见表</w:t>
      </w:r>
      <w:r>
        <w:rPr>
          <w:rFonts w:hint="eastAsia"/>
          <w:color w:val="000000" w:themeColor="text1"/>
          <w:kern w:val="0"/>
          <w:position w:val="6"/>
          <w:sz w:val="24"/>
          <w:szCs w:val="20"/>
          <w:highlight w:val="none"/>
          <w:lang w:val="en-US" w:eastAsia="zh-CN"/>
          <w14:textFill>
            <w14:solidFill>
              <w14:schemeClr w14:val="tx1"/>
            </w14:solidFill>
          </w14:textFill>
        </w:rPr>
        <w:t>7</w:t>
      </w:r>
      <w:r>
        <w:rPr>
          <w:color w:val="000000" w:themeColor="text1"/>
          <w:kern w:val="0"/>
          <w:position w:val="6"/>
          <w:sz w:val="24"/>
          <w:szCs w:val="20"/>
          <w:highlight w:val="none"/>
          <w14:textFill>
            <w14:solidFill>
              <w14:schemeClr w14:val="tx1"/>
            </w14:solidFill>
          </w14:textFill>
        </w:rPr>
        <w:t>。</w:t>
      </w:r>
    </w:p>
    <w:p>
      <w:pPr>
        <w:bidi w:val="0"/>
        <w:jc w:val="center"/>
        <w:rPr>
          <w:rFonts w:hint="default" w:ascii="宋体" w:hAnsi="宋体" w:eastAsia="宋体" w:cs="宋体"/>
          <w:b/>
          <w:bCs w:val="0"/>
          <w:color w:val="000000" w:themeColor="text1"/>
          <w:kern w:val="21"/>
          <w:szCs w:val="21"/>
          <w:highlight w:val="none"/>
          <w:lang w:val="en-US" w:eastAsia="zh-CN" w:bidi="ar-SA"/>
          <w14:textFill>
            <w14:solidFill>
              <w14:schemeClr w14:val="tx1"/>
            </w14:solidFill>
          </w14:textFill>
        </w:rPr>
      </w:pPr>
      <w:r>
        <w:rPr>
          <w:b/>
          <w:bCs/>
          <w:color w:val="000000" w:themeColor="text1"/>
          <w:highlight w:val="none"/>
          <w:lang w:val="en-US" w:eastAsia="zh-CN"/>
          <w14:textFill>
            <w14:solidFill>
              <w14:schemeClr w14:val="tx1"/>
            </w14:solidFill>
          </w14:textFill>
        </w:rPr>
        <w:t>表</w:t>
      </w:r>
      <w:r>
        <w:rPr>
          <w:rFonts w:hint="eastAsia"/>
          <w:b/>
          <w:bCs/>
          <w:color w:val="000000" w:themeColor="text1"/>
          <w:highlight w:val="none"/>
          <w:lang w:val="en-US" w:eastAsia="zh-CN"/>
          <w14:textFill>
            <w14:solidFill>
              <w14:schemeClr w14:val="tx1"/>
            </w14:solidFill>
          </w14:textFill>
        </w:rPr>
        <w:t xml:space="preserve">7 </w:t>
      </w:r>
      <w:r>
        <w:rPr>
          <w:b/>
          <w:bCs/>
          <w:color w:val="000000" w:themeColor="text1"/>
          <w:highlight w:val="none"/>
          <w:lang w:val="en-US" w:eastAsia="zh-CN"/>
          <w14:textFill>
            <w14:solidFill>
              <w14:schemeClr w14:val="tx1"/>
            </w14:solidFill>
          </w14:textFill>
        </w:rPr>
        <w:t>项目生产设备清单一览表</w:t>
      </w:r>
    </w:p>
    <w:p>
      <w:pPr>
        <w:keepNext w:val="0"/>
        <w:keepLines w:val="0"/>
        <w:widowControl w:val="0"/>
        <w:suppressLineNumbers w:val="0"/>
        <w:adjustRightInd w:val="0"/>
        <w:spacing w:before="0" w:beforeAutospacing="0" w:after="0" w:afterAutospacing="0"/>
        <w:ind w:left="0" w:right="0"/>
        <w:jc w:val="both"/>
        <w:rPr>
          <w:vanish/>
          <w:color w:val="000000" w:themeColor="text1"/>
          <w:szCs w:val="21"/>
          <w:highlight w:val="none"/>
          <w:lang w:val="en-US"/>
          <w14:textFill>
            <w14:solidFill>
              <w14:schemeClr w14:val="tx1"/>
            </w14:solidFill>
          </w14:textFill>
        </w:rPr>
      </w:pPr>
    </w:p>
    <w:tbl>
      <w:tblPr>
        <w:tblStyle w:val="48"/>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3754"/>
        <w:gridCol w:w="2786"/>
        <w:gridCol w:w="710"/>
        <w:gridCol w:w="122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b/>
                <w:bCs/>
                <w:color w:val="000000" w:themeColor="text1"/>
                <w:kern w:val="0"/>
                <w:sz w:val="21"/>
                <w:szCs w:val="21"/>
                <w:highlight w:val="none"/>
                <w14:textFill>
                  <w14:solidFill>
                    <w14:schemeClr w14:val="tx1"/>
                  </w14:solidFill>
                </w14:textFill>
              </w:rPr>
            </w:pPr>
            <w:r>
              <w:rPr>
                <w:rFonts w:hint="default" w:ascii="Times New Roman" w:hAnsi="Times New Roman" w:cs="Times New Roman"/>
                <w:b/>
                <w:bCs/>
                <w:color w:val="000000" w:themeColor="text1"/>
                <w:kern w:val="0"/>
                <w:sz w:val="21"/>
                <w:szCs w:val="21"/>
                <w:highlight w:val="none"/>
                <w14:textFill>
                  <w14:solidFill>
                    <w14:schemeClr w14:val="tx1"/>
                  </w14:solidFill>
                </w14:textFill>
              </w:rPr>
              <w:t>序号</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b/>
                <w:bCs/>
                <w:color w:val="000000" w:themeColor="text1"/>
                <w:kern w:val="0"/>
                <w:sz w:val="21"/>
                <w:szCs w:val="21"/>
                <w:highlight w:val="none"/>
                <w14:textFill>
                  <w14:solidFill>
                    <w14:schemeClr w14:val="tx1"/>
                  </w14:solidFill>
                </w14:textFill>
              </w:rPr>
            </w:pPr>
            <w:r>
              <w:rPr>
                <w:rFonts w:hint="default" w:ascii="Times New Roman" w:hAnsi="Times New Roman" w:cs="Times New Roman"/>
                <w:b/>
                <w:bCs/>
                <w:color w:val="000000" w:themeColor="text1"/>
                <w:kern w:val="0"/>
                <w:sz w:val="21"/>
                <w:szCs w:val="21"/>
                <w:highlight w:val="none"/>
                <w14:textFill>
                  <w14:solidFill>
                    <w14:schemeClr w14:val="tx1"/>
                  </w14:solidFill>
                </w14:textFill>
              </w:rPr>
              <w:t>设备名称</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b/>
                <w:bCs/>
                <w:color w:val="000000" w:themeColor="text1"/>
                <w:kern w:val="0"/>
                <w:sz w:val="21"/>
                <w:szCs w:val="21"/>
                <w:highlight w:val="none"/>
                <w14:textFill>
                  <w14:solidFill>
                    <w14:schemeClr w14:val="tx1"/>
                  </w14:solidFill>
                </w14:textFill>
              </w:rPr>
            </w:pPr>
            <w:r>
              <w:rPr>
                <w:rFonts w:hint="default" w:ascii="Times New Roman" w:hAnsi="Times New Roman" w:cs="Times New Roman"/>
                <w:b/>
                <w:bCs/>
                <w:color w:val="000000" w:themeColor="text1"/>
                <w:kern w:val="0"/>
                <w:sz w:val="21"/>
                <w:szCs w:val="21"/>
                <w:highlight w:val="none"/>
                <w14:textFill>
                  <w14:solidFill>
                    <w14:schemeClr w14:val="tx1"/>
                  </w14:solidFill>
                </w14:textFill>
              </w:rPr>
              <w:t>型号/规格</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b/>
                <w:bCs/>
                <w:color w:val="000000" w:themeColor="text1"/>
                <w:kern w:val="0"/>
                <w:sz w:val="21"/>
                <w:szCs w:val="21"/>
                <w:highlight w:val="none"/>
                <w14:textFill>
                  <w14:solidFill>
                    <w14:schemeClr w14:val="tx1"/>
                  </w14:solidFill>
                </w14:textFill>
              </w:rPr>
            </w:pPr>
            <w:r>
              <w:rPr>
                <w:rFonts w:hint="default" w:ascii="Times New Roman" w:hAnsi="Times New Roman" w:cs="Times New Roman"/>
                <w:b/>
                <w:bCs/>
                <w:color w:val="000000" w:themeColor="text1"/>
                <w:kern w:val="0"/>
                <w:sz w:val="21"/>
                <w:szCs w:val="21"/>
                <w:highlight w:val="none"/>
                <w14:textFill>
                  <w14:solidFill>
                    <w14:schemeClr w14:val="tx1"/>
                  </w14:solidFill>
                </w14:textFill>
              </w:rPr>
              <w:t>单位</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b/>
                <w:bCs/>
                <w:color w:val="000000" w:themeColor="text1"/>
                <w:kern w:val="0"/>
                <w:sz w:val="21"/>
                <w:szCs w:val="21"/>
                <w:highlight w:val="none"/>
                <w14:textFill>
                  <w14:solidFill>
                    <w14:schemeClr w14:val="tx1"/>
                  </w14:solidFill>
                </w14:textFill>
              </w:rPr>
            </w:pPr>
            <w:r>
              <w:rPr>
                <w:rFonts w:hint="default" w:ascii="Times New Roman" w:hAnsi="Times New Roman" w:cs="Times New Roman"/>
                <w:b/>
                <w:bCs/>
                <w:color w:val="000000" w:themeColor="text1"/>
                <w:kern w:val="0"/>
                <w:sz w:val="21"/>
                <w:szCs w:val="21"/>
                <w:highlight w:val="none"/>
                <w14:textFill>
                  <w14:solidFill>
                    <w14:schemeClr w14:val="tx1"/>
                  </w14:solidFill>
                </w14:textFill>
              </w:rPr>
              <w:t>扩建后项目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插件机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JM20 MAI-H4</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点胶机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SD-451V</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锡炉</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TW-350CSNP-HA</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自动取夹具</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RCX240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自动剪脚机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美斯图ts3000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ICT测试设备</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雅达T-2000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高压初测一体机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正博9500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综合测试设备</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锐源 CTA600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楼顶排风机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10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空压机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寿力LS-16</w:t>
            </w:r>
          </w:p>
        </w:tc>
        <w:tc>
          <w:tcPr>
            <w:tcW w:w="382"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11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空压机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啊特达斯GA75</w:t>
            </w:r>
          </w:p>
        </w:tc>
        <w:tc>
          <w:tcPr>
            <w:tcW w:w="382"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12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中央空调</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麦克维尔 MWCP135AD</w:t>
            </w:r>
          </w:p>
        </w:tc>
        <w:tc>
          <w:tcPr>
            <w:tcW w:w="382"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13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中央空调</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麦克维尔MWCP205A</w:t>
            </w:r>
          </w:p>
        </w:tc>
        <w:tc>
          <w:tcPr>
            <w:tcW w:w="382"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14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全自动铆钉机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创远MD-08DL</w:t>
            </w:r>
          </w:p>
        </w:tc>
        <w:tc>
          <w:tcPr>
            <w:tcW w:w="382"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15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全自动铆钉机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恩成200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16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自动跳线插件机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松下 JVK2</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17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自动卧式插件机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环球6241F</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18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自动卧式插件机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松下AVK2</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19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自动立式插件机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松下 RHS2</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20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自动立式插件机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环球6380B</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21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印刷机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GKG G5</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22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三洋高速贴片机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X210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23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富士多功能贴片机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XP243</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24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多多回流炉</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p>
        </w:tc>
        <w:tc>
          <w:tcPr>
            <w:tcW w:w="382"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25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 xml:space="preserve"> 点胶机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AU99</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26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三洋高速贴片机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X200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2</w:t>
            </w:r>
            <w:r>
              <w:rPr>
                <w:rFonts w:hint="default" w:ascii="Times New Roman" w:hAnsi="Times New Roman" w:cs="Times New Roman"/>
                <w:color w:val="000000" w:themeColor="text1"/>
                <w:sz w:val="21"/>
                <w:szCs w:val="21"/>
                <w:highlight w:val="none"/>
                <w14:textFill>
                  <w14:solidFill>
                    <w14:schemeClr w14:val="tx1"/>
                  </w14:solidFill>
                </w14:textFill>
              </w:rPr>
              <w:cr/>
            </w:r>
            <w:r>
              <w:rPr>
                <w:rFonts w:hint="default" w:ascii="Times New Roman" w:hAnsi="Times New Roman" w:cs="Times New Roman"/>
                <w:color w:val="000000" w:themeColor="text1"/>
                <w:sz w:val="21"/>
                <w:szCs w:val="21"/>
                <w:highlight w:val="none"/>
                <w14:textFill>
                  <w14:solidFill>
                    <w14:schemeClr w14:val="tx1"/>
                  </w14:solidFill>
                </w14:textFill>
              </w:rPr>
              <w:t>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三洋多功能贴片机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TM5100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28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多多回流炉</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29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 xml:space="preserve"> 点胶机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AU99</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30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富士 贴片机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XP143</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31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富士多功能贴片机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XP243</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32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劲拓回流炉</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33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印刷机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 xml:space="preserve">DEK </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34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富士贴片机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 xml:space="preserve"> XP143</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35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富士多功能贴片机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XP243</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36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劲拓回流炉</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37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 xml:space="preserve"> 印刷机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DEK</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38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贴片机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JUKI 2070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39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长荣回流炉</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40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印刷机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 xml:space="preserve">GKG K6 </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41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贴片机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JUKI 2070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42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长荣回流炉</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43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 xml:space="preserve"> 印刷机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DEK</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44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 xml:space="preserve"> 贴片机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JUKI 2070CL</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45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多多回流炉</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46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印刷机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 xml:space="preserve">GKG K6 </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47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贴片机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 xml:space="preserve">JUKI 2070CL </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48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多多回流炉</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49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b w:val="0"/>
                <w:bCs w:val="0"/>
                <w:color w:val="000000" w:themeColor="text1"/>
                <w:sz w:val="21"/>
                <w:szCs w:val="21"/>
                <w:highlight w:val="none"/>
                <w14:textFill>
                  <w14:solidFill>
                    <w14:schemeClr w14:val="tx1"/>
                  </w14:solidFill>
                </w14:textFill>
              </w:rPr>
            </w:pP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绕线机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LD-F60B</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b w:val="0"/>
                <w:bCs w:val="0"/>
                <w:color w:val="000000" w:themeColor="text1"/>
                <w:kern w:val="0"/>
                <w:sz w:val="21"/>
                <w:szCs w:val="21"/>
                <w:highlight w:val="none"/>
                <w14:textFill>
                  <w14:solidFill>
                    <w14:schemeClr w14:val="tx1"/>
                  </w14:solidFill>
                </w14:textFill>
              </w:rPr>
            </w:pP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
                <w14:textFill>
                  <w14:solidFill>
                    <w14:schemeClr w14:val="tx1"/>
                  </w14:solidFill>
                </w14:textFill>
              </w:rPr>
            </w:pPr>
            <w:r>
              <w:rPr>
                <w:rFonts w:hint="default" w:ascii="Times New Roman" w:hAnsi="Times New Roman" w:cs="Times New Roman"/>
                <w:color w:val="000000" w:themeColor="text1"/>
                <w:sz w:val="21"/>
                <w:szCs w:val="21"/>
                <w:highlight w:val="none"/>
                <w:lang w:val="en"/>
                <w14:textFill>
                  <w14:solidFill>
                    <w14:schemeClr w14:val="tx1"/>
                  </w14:solidFill>
                </w14:textFill>
              </w:rPr>
              <w:t>50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传输线体</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400mm*21m</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51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b w:val="0"/>
                <w:bCs w:val="0"/>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电感分选仪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YD2775B</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b w:val="0"/>
                <w:bCs w:val="0"/>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b w:val="0"/>
                <w:bCs w:val="0"/>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52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连体柜式炉(烘箱)</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P909</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53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输送带</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PVC托板式</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54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绝缘耐压测试仪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9072A+TR</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55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喷码机一元件厂生产部</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S320(53U)</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56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张力计一元件厂技术品质部</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T-101-02</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57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自动变压器扫描测试仪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TH2819XB</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58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3250测试盒</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3001A</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59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匝间/绝缘耐压测试仪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CS9918NB</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60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测试盒</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变压器扫描3001A</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61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变压器扫描测试盒</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3001A3001A</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62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圈数测量仪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YG-108</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63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耐压测试仪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台湾华仪7132</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64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交直流绝缘耐压测试仪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TH9201S</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65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自动变压器测试系统</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TH2819XB</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66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整排式焊锡机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ETS-2E</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67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绕线机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TL-A102B</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4</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68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浸焊净化工程</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光达环保</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69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自动包胶带机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TM-1566</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70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红外线隧道烤箱</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10000mm*1200m</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*1200mm</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71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回流输送线</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10000mm*1090mm</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*750mm</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72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绕线机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TL-A100B</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73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半自动包胶带机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TL-A100B</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74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全自动真空含浸机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HFM-204单杠</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75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绕线机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LD-F100B</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76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PVC流水线</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;25M*W0.4M</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77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半自动编带机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JHH-50C型</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78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绕线机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CCW-12</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79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电感分选仪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YD2775B</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80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千燥箱</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101A-2</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81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震动盘</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220V</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82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电量测量仪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GDW401B</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83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热缩封装机隧道式</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US-52</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84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程控恒流源10A</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VR7W711</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85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高速绕线机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WJ</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86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焊锡机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FTS-2S</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87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电容剪脚机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SF-601</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88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万用表</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GDM-8145</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89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空心线圈绕线机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BT-02</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90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磁环气动切脚机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XLY-16B</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91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精密LR1测试仪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VR111</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92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程控恒流源</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VR711</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93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耐压测试仪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19073</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94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电感测量仪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YD2775B</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95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直流电阻测试仪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TH2512B</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96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线圈测试仪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TH-200R</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97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耐压测试仪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AAP190731H38</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98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锡渣分离器</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99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精密LCR测试仪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VRIIIA</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100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程控恒流源</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VR7210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101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综合测试仪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VR180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102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精密LCR 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VR115</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103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绝缘耐压测试仪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VR582</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104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空心线圈绕线机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BT-02</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105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油墨移印机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LT-125AE</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106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全自动绕线机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MSC3608</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107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空心线圈绕线机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BT-020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108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音频扫频信号发生器</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TH312-100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109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FO测试仪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GVS7117C</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110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电声测试仪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LMS</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111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可燃气体报警器</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SST-9801A</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112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升降式自动含浸机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113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红外线隧道炉(配温度计)</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长10M*宽1.2M*</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高1070M</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114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自动含浸机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115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绕线机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LD-F100B</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116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绕线机手排式</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LD-60S</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117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真空浸渍机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2*4B</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118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焊锡机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ETS-2S</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119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电感测试仪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YD2775B</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120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微欧姆机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2511</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121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不锈钢烘箱</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SLDL-03</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122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耐压测试仪一元件厂生产部</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19073</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123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自动变压器测试系统一元件</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TH2819XB</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124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平衡度测试仪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1063</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125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耐压测试仪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TH9201B</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126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匝间绝缘测试仪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TH2882A-3</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127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绕线机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TL-A902</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128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自动双轴包胶机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TSC869-A</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129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CNC 锡炉</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130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绕线机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TL-A902</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131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全自动双轴包胶机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TSC869-A</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132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绕线机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TL-A601</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133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程控恒温恒湿试验机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MHP-150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134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小高温箱</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ST-120B1</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135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耐燃试验机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GT-7057</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136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耐燃机控制箱</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GT-7057</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137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微机单向刮漆试验仪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WDG-400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138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电感直流偏置电流源</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TH1773</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139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宽频数字电桥</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TH2816A</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140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程控恒流源</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VR7220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141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耐压测试仪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19073</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142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直流低阻测试仪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TH2512B</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143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交直流耐压绝缘测试仪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TH9201S</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144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耐压绝缘测试仪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EX-TECH</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145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变压器综合测试仪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TH2819XB</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146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变压器综合测试仪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YG-108-2(2m)</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147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风柜风管维修安装工程</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光达环保</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148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自动包胶带机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HF-1648</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149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气动式双刀零件成型机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HEDA-811A</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150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气动式零件成型机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HEDA-811</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151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绕线机TL-A100B</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3"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152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绕线机TL-A601</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br w:type="textWrapping"/>
            </w: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153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台式点胶机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D331A-1</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154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电动整脚机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PA-3000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155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电动整脚机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PA-3000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156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耐压测试器</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19073</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eastAsia="zh-CN"/>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157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张力器</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MTC300BC</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158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电子张力计</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指针式 0-300g</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159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8轴全自动绕线机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MSC3608</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160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绕线机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LD-F100B</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161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包胶机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TM-1948SPN</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162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包胶机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TM-1566N</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163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台式点胶机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S331A-1</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164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红外线隧道炉工程</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165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commentRangeStart w:id="1"/>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双粒鸡眼机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WL-1002</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commentRangeEnd w:id="1"/>
            <w:r>
              <w:commentReference w:id="1"/>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166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PVC输送线加长翻新</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167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四工位试音屏蔽房</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168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隧道式烘炉</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金华昌</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169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PVC皮带生产线</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20m长*400mm宽</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170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隔音房</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171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打胶机单头单点</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BY</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172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微型椭圆双点涂胶机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BTYT2</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173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喷码机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S320(53U)</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174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单头双点涂胶机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TYA2-2</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175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微型双点涂胶机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TYM2-2</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176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单头三点涂胶机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TYA3-2</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177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高强度电容式充磁机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YYCM-C</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178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YD-1微型双头点胶机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179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电声测试仪</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FD1212D101</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180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电声测试仪</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FD1212D102</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181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红外线隧道炉</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182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立式配电柜</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315A 160A*3</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183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喷码机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 xml:space="preserve"> CT-16</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184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喷码机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S320(1)</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185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喷码机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S320(2)</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186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微型双点涂胶机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TYM2-2</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187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水箱水冷充台</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160mm</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188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高强度电容式充磁机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TYCM-C</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189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双粒鸡眼机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WL-1002</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190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数字自动扫频仪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0520A(60W)</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191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电声测试仪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DF1316-60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192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数字自动扫频仪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0530A(60W)</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193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测试仪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GV317</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194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阻抗仪</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GVS152A</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195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音频扫描信号发生器</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TH1312-60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196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微型椭圆单点涂胶机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B型TYT1</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197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充磁机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YD2020电容式</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198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PVC皮带生产线</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22m*400mm</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199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排风系统</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广宇公司建造</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200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脚控冲床</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JB04-1A</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201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微型双点涂胶机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TYM2-2</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202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涂胶机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B型TYT1</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203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涂胶机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B型TYT2</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204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全自动点胶机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YD-200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205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点胶机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YD-AB</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206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电容式充磁机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YD20*170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207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单头双点胶机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208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微型双点胶机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209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D型充台</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210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台式压力机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JB04-1T</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211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裁线机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HYX-50型</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212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b/>
                <w:bCs/>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车床</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b/>
                <w:bCs/>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C6132A/750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213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切割机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DK7732/42</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214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commentRangeStart w:id="2"/>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铣床</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3VA</w:t>
            </w:r>
            <w:commentRangeEnd w:id="2"/>
            <w:r>
              <w:commentReference w:id="2"/>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215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隔音房</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广宇公司建造</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216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配电柜</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217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上海“申江”牌储气罐</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lm3/8kg</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218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气动式电感折弯成型机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bottom"/>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BT-811</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lang w:val="en-US" w:eastAsia="zh-CN" w:bidi="ar-SA"/>
                <w14:textFill>
                  <w14:solidFill>
                    <w14:schemeClr w14:val="tx1"/>
                  </w14:solidFill>
                </w14:textFill>
              </w:rPr>
            </w:pPr>
            <w:r>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219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ASM电脑</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220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全自动锡膏印刷机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SMT线体项目</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221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回流焊机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NS-1000II-N</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222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西门子高速贴片机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SMT线体项目</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223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 xml:space="preserve">全自动锡膏印刷机 </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SMT线体项目</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224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全自动上板机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全自动上板机</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225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10温区新型无铅回流焊锡机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226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K6全自动视觉印刷机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227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12温区无铅回流焊</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KTR-1200D</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228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1米接驳台/PLC控制</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BC-350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229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2米接驳台/PLC控制</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BC-350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230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自动紧凑式多功能贴片机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231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LENS震动盘</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232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接驳台</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233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震动盘</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234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J20改造</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235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反射LENS 震动盘</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236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透镜接驳台</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237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冷却接驳台</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238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标准接驳台</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239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机芯LENS震动盘</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240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真空吸取式上板机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241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AI设备连线改造</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242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振动盘送料系统</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243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灯条PCB板材自动取板</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244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180度旋转接驳台</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180度旋转接驳台</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245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全自动锡膏印刷机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SMT线体项目</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246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回流焊机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NS-1000II-N</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247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西门子高速贴片机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SMT线体项目</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248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JUKI中速贴片机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SMT线体项目</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249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高速贴片机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JUKI/KE-3010AL</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250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 xml:space="preserve">回流焊 </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IPC-710A</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251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 xml:space="preserve">西门子贴片机 </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SIPLACE TX2</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252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接驳台 0.5米</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SMT线体项目</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253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上板机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SMT线体项目</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254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全自动点胶机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SMT线体项目</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255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 xml:space="preserve">全自动烧录设备 </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PG-320P+(含TU4-AUSOP8 /PF-168+  /VBGA153E*4</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256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烧录器</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PF-410+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257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 xml:space="preserve">浦洛拷贝机 </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PRO-848E 1拷8</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258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回流焊机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259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点胶机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260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印刷机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261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喷码机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262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强铭母片机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263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在线喷码机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264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卧式拉力试验机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265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强冷缓存机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266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X-ray检测设备</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SMT线体项目</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267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烧录器（母片机） E</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MMC UPM-010E</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268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光线插件机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NM-2057A</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269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自动插件机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NM-2057A</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270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西门子高速贴片机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SMT线体项目</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271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轴向自动插件机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环球6241F</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272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全自动丝网印刷机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273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贴片机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274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全自动铆钉机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MD  08DL</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275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高速贴片机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JUKI</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276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JUKE贴片机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277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全自动非接触式高速点胶机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AU99H</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278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全自动铆钉设备</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EYELET-MD-08DL</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279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灯条测试线体</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280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烧录器</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BeeHive204</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281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西门子贴片机</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SIPLACE  D4</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282</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专用铝苦板多刀式分板机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CR--3500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283</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JUKI贴片机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JX-350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284</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X-RAY检测设备</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善思VIEW X2000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285</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 xml:space="preserve">AOI 设备    振华兴  </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VCTA-Z5</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286</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 xml:space="preserve">AI设备  </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NB168</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287</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 xml:space="preserve">SMT首件自动检测设备 </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BLUIRIS FAL-600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288</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LENS震动盘</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289</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回流焊炉</w:t>
            </w:r>
          </w:p>
        </w:tc>
        <w:tc>
          <w:tcPr>
            <w:tcW w:w="1500" w:type="pct"/>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290</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自动插件机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NM-2057A</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5"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291</w:t>
            </w:r>
          </w:p>
        </w:tc>
        <w:tc>
          <w:tcPr>
            <w:tcW w:w="2021"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铆钉机</w:t>
            </w:r>
          </w:p>
        </w:tc>
        <w:tc>
          <w:tcPr>
            <w:tcW w:w="1500"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MUL-SERTER200</w:t>
            </w:r>
          </w:p>
        </w:tc>
        <w:tc>
          <w:tcPr>
            <w:tcW w:w="382"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cs="Times New Roman"/>
                <w:color w:val="000000" w:themeColor="text1"/>
                <w:kern w:val="0"/>
                <w:sz w:val="21"/>
                <w:szCs w:val="21"/>
                <w:highlight w:val="none"/>
                <w14:textFill>
                  <w14:solidFill>
                    <w14:schemeClr w14:val="tx1"/>
                  </w14:solidFill>
                </w14:textFill>
              </w:rPr>
            </w:pPr>
            <w:r>
              <w:rPr>
                <w:rFonts w:hint="default" w:ascii="Times New Roman" w:hAnsi="Times New Roman" w:cs="Times New Roman"/>
                <w:color w:val="000000" w:themeColor="text1"/>
                <w:kern w:val="0"/>
                <w:sz w:val="21"/>
                <w:szCs w:val="21"/>
                <w:highlight w:val="none"/>
                <w14:textFill>
                  <w14:solidFill>
                    <w14:schemeClr w14:val="tx1"/>
                  </w14:solidFill>
                </w14:textFill>
              </w:rPr>
              <w:t>台</w:t>
            </w:r>
          </w:p>
        </w:tc>
        <w:tc>
          <w:tcPr>
            <w:tcW w:w="659" w:type="pct"/>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top"/>
              <w:rPr>
                <w:rFonts w:hint="default" w:ascii="Times New Roman" w:hAnsi="Times New Roman" w:cs="Times New Roman"/>
                <w:color w:val="000000" w:themeColor="text1"/>
                <w:kern w:val="0"/>
                <w:sz w:val="21"/>
                <w:szCs w:val="21"/>
                <w:highlight w:val="none"/>
                <w:lang w:val="en-US" w:eastAsia="zh-CN"/>
                <w14:textFill>
                  <w14:solidFill>
                    <w14:schemeClr w14:val="tx1"/>
                  </w14:solidFill>
                </w14:textFill>
              </w:rPr>
            </w:pPr>
            <w:r>
              <w:rPr>
                <w:rFonts w:hint="default" w:ascii="Times New Roman" w:hAnsi="Times New Roman" w:eastAsia="宋体" w:cs="Times New Roman"/>
                <w:i w:val="0"/>
                <w:iCs w:val="0"/>
                <w:color w:val="000000" w:themeColor="text1"/>
                <w:kern w:val="0"/>
                <w:sz w:val="21"/>
                <w:szCs w:val="21"/>
                <w:highlight w:val="none"/>
                <w:u w:val="none"/>
                <w:lang w:val="en-US" w:eastAsia="zh-CN" w:bidi="ar"/>
                <w14:textFill>
                  <w14:solidFill>
                    <w14:schemeClr w14:val="tx1"/>
                  </w14:solidFill>
                </w14:textFill>
              </w:rPr>
              <w:t>1</w:t>
            </w:r>
          </w:p>
        </w:tc>
      </w:tr>
    </w:tbl>
    <w:p>
      <w:pPr>
        <w:pStyle w:val="3"/>
        <w:bidi w:val="0"/>
        <w:rPr>
          <w:rFonts w:hint="default"/>
          <w:color w:val="000000" w:themeColor="text1"/>
          <w:highlight w:val="none"/>
          <w:lang w:val="en-US" w:eastAsia="zh-CN"/>
          <w14:textFill>
            <w14:solidFill>
              <w14:schemeClr w14:val="tx1"/>
            </w14:solidFill>
          </w14:textFill>
        </w:rPr>
      </w:pPr>
      <w:bookmarkStart w:id="207" w:name="_Toc8398"/>
      <w:r>
        <w:rPr>
          <w:rFonts w:hint="default"/>
          <w:color w:val="000000" w:themeColor="text1"/>
          <w:highlight w:val="none"/>
          <w:lang w:val="en-US" w:eastAsia="zh-CN"/>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2</w:t>
      </w:r>
      <w:r>
        <w:rPr>
          <w:rFonts w:hint="default"/>
          <w:color w:val="000000" w:themeColor="text1"/>
          <w:highlight w:val="none"/>
          <w:lang w:val="en-US" w:eastAsia="zh-CN"/>
          <w14:textFill>
            <w14:solidFill>
              <w14:schemeClr w14:val="tx1"/>
            </w14:solidFill>
          </w14:textFill>
        </w:rPr>
        <w:t xml:space="preserve"> 环境功能区划</w:t>
      </w:r>
      <w:bookmarkEnd w:id="207"/>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根据项目所处区域环境功能规划，评价区内环保目标为：</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①控制废气中污染物排放量，使废气</w:t>
      </w:r>
      <w:r>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焊接烟尘</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排放执行《</w:t>
      </w:r>
      <w:r>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大气污染物综合排放标准</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》（GB</w:t>
      </w:r>
      <w:r>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16297</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w:t>
      </w:r>
      <w:r>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1996</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w:t>
      </w:r>
      <w:r>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表2中二级标准要求</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，VOCs参照执行</w:t>
      </w:r>
      <w:r>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天津市</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地方标准《</w:t>
      </w:r>
      <w:r>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工业企业</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挥发性有机物排放</w:t>
      </w:r>
      <w:r>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控制</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标准》（DB</w:t>
      </w:r>
      <w:r>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12/524</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w:t>
      </w:r>
      <w:r>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2020</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w:t>
      </w:r>
      <w:r>
        <w:rPr>
          <w:rFonts w:hint="eastAsia"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表1电子工业标准</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，其中VOCs参照执行TVOC标准执行，确保环境空气质量达到《环境空气质量标准》（GB3095-2012）二级标准；</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 xml:space="preserve">②对主要噪声源设备做好消声、减振、降噪设施，确保厂区外声环境质量达到《声环境质量标准》（GB3096—2008）中 </w:t>
      </w:r>
      <w:r>
        <w:rPr>
          <w:rFonts w:hint="eastAsia" w:cs="Times New Roman"/>
          <w:b w:val="0"/>
          <w:bCs w:val="0"/>
          <w:color w:val="000000" w:themeColor="text1"/>
          <w:kern w:val="2"/>
          <w:sz w:val="24"/>
          <w:szCs w:val="24"/>
          <w:highlight w:val="none"/>
          <w:lang w:val="en-US" w:eastAsia="zh-CN" w:bidi="ar-SA"/>
          <w14:textFill>
            <w14:solidFill>
              <w14:schemeClr w14:val="tx1"/>
            </w14:solidFill>
          </w14:textFill>
        </w:rPr>
        <w:t>3</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类标准；</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③使地表水水质满足《地表水环境质量标准》（GB3838-2002）中Ⅲ类标准；</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④固体废物进行妥善处理与处置（其中危险废物交由有资质单位处理），使其对周围环境不产生不利影响。</w:t>
      </w:r>
    </w:p>
    <w:p>
      <w:pPr>
        <w:pStyle w:val="3"/>
        <w:bidi w:val="0"/>
        <w:rPr>
          <w:rFonts w:hint="default"/>
          <w:color w:val="000000" w:themeColor="text1"/>
          <w:highlight w:val="none"/>
          <w:lang w:val="en-US" w:eastAsia="zh-CN"/>
          <w14:textFill>
            <w14:solidFill>
              <w14:schemeClr w14:val="tx1"/>
            </w14:solidFill>
          </w14:textFill>
        </w:rPr>
      </w:pPr>
      <w:bookmarkStart w:id="208" w:name="_Toc17665"/>
      <w:r>
        <w:rPr>
          <w:rFonts w:hint="default"/>
          <w:color w:val="000000" w:themeColor="text1"/>
          <w:highlight w:val="none"/>
          <w:lang w:val="en-US" w:eastAsia="zh-CN"/>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3</w:t>
      </w:r>
      <w:r>
        <w:rPr>
          <w:rFonts w:hint="default"/>
          <w:color w:val="000000" w:themeColor="text1"/>
          <w:highlight w:val="none"/>
          <w:lang w:val="en-US" w:eastAsia="zh-CN"/>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自然环境概况</w:t>
      </w:r>
      <w:bookmarkEnd w:id="208"/>
    </w:p>
    <w:p>
      <w:pPr>
        <w:pStyle w:val="313"/>
        <w:keepNext w:val="0"/>
        <w:keepLines w:val="0"/>
        <w:pageBreakBefore w:val="0"/>
        <w:widowControl/>
        <w:kinsoku/>
        <w:wordWrap/>
        <w:overflowPunct/>
        <w:topLinePunct w:val="0"/>
        <w:autoSpaceDE/>
        <w:autoSpaceDN/>
        <w:bidi w:val="0"/>
        <w:adjustRightInd/>
        <w:snapToGrid/>
        <w:spacing w:line="360" w:lineRule="auto"/>
        <w:ind w:right="0"/>
        <w:rPr>
          <w:rFonts w:hint="default" w:ascii="宋体" w:hAnsi="宋体" w:eastAsia="宋体" w:cs="宋体"/>
          <w:b/>
          <w:bCs/>
          <w:color w:val="000000" w:themeColor="text1"/>
          <w:kern w:val="0"/>
          <w:sz w:val="24"/>
          <w:szCs w:val="24"/>
          <w:highlight w:val="none"/>
          <w:lang w:val="zh-CN" w:eastAsia="zh-CN" w:bidi="zh-CN"/>
          <w14:textFill>
            <w14:solidFill>
              <w14:schemeClr w14:val="tx1"/>
            </w14:solidFill>
          </w14:textFill>
        </w:rPr>
      </w:pPr>
      <w:r>
        <w:rPr>
          <w:rFonts w:hint="default" w:ascii="宋体" w:hAnsi="宋体" w:eastAsia="宋体" w:cs="宋体"/>
          <w:b/>
          <w:bCs/>
          <w:color w:val="000000" w:themeColor="text1"/>
          <w:kern w:val="0"/>
          <w:sz w:val="24"/>
          <w:szCs w:val="24"/>
          <w:highlight w:val="none"/>
          <w:lang w:val="zh-CN" w:eastAsia="zh-CN" w:bidi="zh-CN"/>
          <w14:textFill>
            <w14:solidFill>
              <w14:schemeClr w14:val="tx1"/>
            </w14:solidFill>
          </w14:textFill>
        </w:rPr>
        <w:t>1</w:t>
      </w:r>
      <w:r>
        <w:rPr>
          <w:rFonts w:hint="eastAsia" w:ascii="宋体" w:hAnsi="宋体" w:cs="宋体"/>
          <w:b/>
          <w:bCs/>
          <w:color w:val="000000" w:themeColor="text1"/>
          <w:kern w:val="0"/>
          <w:sz w:val="24"/>
          <w:szCs w:val="24"/>
          <w:highlight w:val="none"/>
          <w:lang w:val="zh-CN" w:eastAsia="zh-CN" w:bidi="zh-CN"/>
          <w14:textFill>
            <w14:solidFill>
              <w14:schemeClr w14:val="tx1"/>
            </w14:solidFill>
          </w14:textFill>
        </w:rPr>
        <w:t>.</w:t>
      </w:r>
      <w:r>
        <w:rPr>
          <w:rFonts w:hint="default" w:ascii="宋体" w:hAnsi="宋体" w:eastAsia="宋体" w:cs="宋体"/>
          <w:b/>
          <w:bCs/>
          <w:color w:val="000000" w:themeColor="text1"/>
          <w:kern w:val="0"/>
          <w:sz w:val="24"/>
          <w:szCs w:val="24"/>
          <w:highlight w:val="none"/>
          <w:lang w:val="zh-CN" w:eastAsia="zh-CN" w:bidi="zh-CN"/>
          <w14:textFill>
            <w14:solidFill>
              <w14:schemeClr w14:val="tx1"/>
            </w14:solidFill>
          </w14:textFill>
        </w:rPr>
        <w:t>地理位置</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highlight w:val="none"/>
          <w:lang w:val="zh-CN"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zh-CN" w:eastAsia="zh-CN"/>
          <w14:textFill>
            <w14:solidFill>
              <w14:schemeClr w14:val="tx1"/>
            </w14:solidFill>
          </w14:textFill>
        </w:rPr>
        <w:t>宜春市位于江西省西北部，界于东经113°54′～116°27′和北纬27°33′～29°06′ 之间。北毗九江市，东接南昌、抚州市，南连新余、吉安市，西邻萍乡市和湖南省。全市东西长约222.75km，南北宽约174km，总面积18669km</w:t>
      </w:r>
      <w:r>
        <w:rPr>
          <w:rFonts w:hint="default" w:ascii="Times New Roman" w:hAnsi="Times New Roman" w:eastAsia="宋体" w:cs="Times New Roman"/>
          <w:color w:val="000000" w:themeColor="text1"/>
          <w:sz w:val="24"/>
          <w:szCs w:val="24"/>
          <w:highlight w:val="none"/>
          <w:vertAlign w:val="superscript"/>
          <w:lang w:val="zh-CN" w:eastAsia="zh-CN"/>
          <w14:textFill>
            <w14:solidFill>
              <w14:schemeClr w14:val="tx1"/>
            </w14:solidFill>
          </w14:textFill>
        </w:rPr>
        <w:t>2</w:t>
      </w:r>
      <w:r>
        <w:rPr>
          <w:rFonts w:hint="default" w:ascii="Times New Roman" w:hAnsi="Times New Roman" w:eastAsia="宋体" w:cs="Times New Roman"/>
          <w:color w:val="000000" w:themeColor="text1"/>
          <w:sz w:val="24"/>
          <w:szCs w:val="24"/>
          <w:highlight w:val="none"/>
          <w:lang w:val="zh-CN" w:eastAsia="zh-CN"/>
          <w14:textFill>
            <w14:solidFill>
              <w14:schemeClr w14:val="tx1"/>
            </w14:solidFill>
          </w14:textFill>
        </w:rPr>
        <w:t>。工业园交通便捷，320国道穿园而过，区位优势明显。运输条件良好，地理位置优越，水电等市政配套设施齐全。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lang w:val="zh-CN" w:eastAsia="zh-CN"/>
          <w14:textFill>
            <w14:solidFill>
              <w14:schemeClr w14:val="tx1"/>
            </w14:solidFill>
          </w14:textFill>
        </w:rPr>
        <w:t>本项目位于</w:t>
      </w:r>
      <w:r>
        <w:rPr>
          <w:rFonts w:hint="eastAsia" w:cs="Times New Roman"/>
          <w:color w:val="000000" w:themeColor="text1"/>
          <w:sz w:val="24"/>
          <w:szCs w:val="24"/>
          <w:highlight w:val="none"/>
          <w:lang w:val="zh-CN" w:eastAsia="zh-CN"/>
          <w14:textFill>
            <w14:solidFill>
              <w14:schemeClr w14:val="tx1"/>
            </w14:solidFill>
          </w14:textFill>
        </w:rPr>
        <w:t>宜春经济技术开发区</w:t>
      </w:r>
      <w:r>
        <w:rPr>
          <w:rFonts w:hint="default" w:ascii="Times New Roman" w:hAnsi="Times New Roman" w:eastAsia="宋体" w:cs="Times New Roman"/>
          <w:color w:val="000000" w:themeColor="text1"/>
          <w:sz w:val="24"/>
          <w:szCs w:val="24"/>
          <w:highlight w:val="none"/>
          <w:lang w:val="zh-CN" w:eastAsia="zh-CN"/>
          <w14:textFill>
            <w14:solidFill>
              <w14:schemeClr w14:val="tx1"/>
            </w14:solidFill>
          </w14:textFill>
        </w:rPr>
        <w:t>，地处宜春市北面，紧临中心城区，处在320国道与沪昆高速公路交汇处，地理坐标为</w:t>
      </w:r>
      <w:r>
        <w:rPr>
          <w:rFonts w:hint="eastAsia" w:cs="Times New Roman"/>
          <w:color w:val="000000" w:themeColor="text1"/>
          <w:sz w:val="24"/>
          <w:szCs w:val="24"/>
          <w:highlight w:val="none"/>
          <w:lang w:val="zh-CN" w:eastAsia="zh-CN"/>
          <w14:textFill>
            <w14:solidFill>
              <w14:schemeClr w14:val="tx1"/>
            </w14:solidFill>
          </w14:textFill>
        </w:rPr>
        <w:t>东径114°23′34.718〞、北纬27°50′51.468〞</w:t>
      </w:r>
      <w:r>
        <w:rPr>
          <w:rFonts w:hint="default" w:ascii="Times New Roman" w:hAnsi="Times New Roman" w:eastAsia="宋体" w:cs="Times New Roman"/>
          <w:color w:val="000000" w:themeColor="text1"/>
          <w:sz w:val="24"/>
          <w:szCs w:val="24"/>
          <w:highlight w:val="none"/>
          <w:lang w:val="zh-CN" w:eastAsia="zh-CN"/>
          <w14:textFill>
            <w14:solidFill>
              <w14:schemeClr w14:val="tx1"/>
            </w14:solidFill>
          </w14:textFill>
        </w:rPr>
        <w:t>。</w:t>
      </w:r>
      <w:r>
        <w:rPr>
          <w:rFonts w:hint="eastAsia" w:cs="Times New Roman"/>
          <w:color w:val="000000" w:themeColor="text1"/>
          <w:sz w:val="24"/>
          <w:szCs w:val="24"/>
          <w:highlight w:val="none"/>
          <w:lang w:val="zh-CN" w:eastAsia="zh-CN"/>
          <w14:textFill>
            <w14:solidFill>
              <w14:schemeClr w14:val="tx1"/>
            </w14:solidFill>
          </w14:textFill>
        </w:rPr>
        <w:t>宜春经济技术开发区</w:t>
      </w:r>
      <w:r>
        <w:rPr>
          <w:rFonts w:hint="default" w:ascii="Times New Roman" w:hAnsi="Times New Roman" w:eastAsia="宋体" w:cs="Times New Roman"/>
          <w:color w:val="000000" w:themeColor="text1"/>
          <w:sz w:val="24"/>
          <w:szCs w:val="24"/>
          <w:highlight w:val="none"/>
          <w:lang w:val="zh-CN" w:eastAsia="zh-CN"/>
          <w14:textFill>
            <w14:solidFill>
              <w14:schemeClr w14:val="tx1"/>
            </w14:solidFill>
          </w14:textFill>
        </w:rPr>
        <w:t>于2001年7月在城南动工建设（时名宜春市科技工业园），2003年4月转移到城北建设，同年9月动工，2006年5月被批准为省级开发区，并将袁州医药工业园划归开发区统一管理。</w:t>
      </w:r>
      <w:r>
        <w:rPr>
          <w:rFonts w:hint="eastAsia" w:cs="Times New Roman"/>
          <w:color w:val="000000" w:themeColor="text1"/>
          <w:sz w:val="24"/>
          <w:szCs w:val="24"/>
          <w:highlight w:val="none"/>
          <w:lang w:val="zh-CN" w:eastAsia="zh-CN"/>
          <w14:textFill>
            <w14:solidFill>
              <w14:schemeClr w14:val="tx1"/>
            </w14:solidFill>
          </w14:textFill>
        </w:rPr>
        <w:t>宜春经济技术开发区</w:t>
      </w:r>
      <w:r>
        <w:rPr>
          <w:rFonts w:hint="default" w:ascii="Times New Roman" w:hAnsi="Times New Roman" w:eastAsia="宋体" w:cs="Times New Roman"/>
          <w:color w:val="000000" w:themeColor="text1"/>
          <w:sz w:val="24"/>
          <w:szCs w:val="24"/>
          <w:highlight w:val="none"/>
          <w:lang w:val="zh-CN" w:eastAsia="zh-CN"/>
          <w14:textFill>
            <w14:solidFill>
              <w14:schemeClr w14:val="tx1"/>
            </w14:solidFill>
          </w14:textFill>
        </w:rPr>
        <w:t>为</w:t>
      </w:r>
      <w:r>
        <w:rPr>
          <w:rFonts w:hint="eastAsia" w:ascii="Times New Roman" w:hAnsi="Times New Roman" w:cs="Times New Roman"/>
          <w:color w:val="000000" w:themeColor="text1"/>
          <w:sz w:val="24"/>
          <w:szCs w:val="24"/>
          <w:highlight w:val="none"/>
          <w:lang w:val="en-US" w:eastAsia="zh-CN"/>
          <w14:textFill>
            <w14:solidFill>
              <w14:schemeClr w14:val="tx1"/>
            </w14:solidFill>
          </w14:textFill>
        </w:rPr>
        <w:t>国家</w:t>
      </w:r>
      <w:r>
        <w:rPr>
          <w:rFonts w:hint="default" w:ascii="Times New Roman" w:hAnsi="Times New Roman" w:eastAsia="宋体" w:cs="Times New Roman"/>
          <w:color w:val="000000" w:themeColor="text1"/>
          <w:sz w:val="24"/>
          <w:szCs w:val="24"/>
          <w:highlight w:val="none"/>
          <w:lang w:val="zh-CN" w:eastAsia="zh-CN"/>
          <w14:textFill>
            <w14:solidFill>
              <w14:schemeClr w14:val="tx1"/>
            </w14:solidFill>
          </w14:textFill>
        </w:rPr>
        <w:t>级工业园区，位于宜春市袁州区中东部，沪昆高速从南侧横穿，东至上海，西至昆明，320国道纵贯开发区，南接中心城区，北至万载县，交通便利。</w:t>
      </w:r>
    </w:p>
    <w:p>
      <w:pPr>
        <w:pStyle w:val="313"/>
        <w:keepNext w:val="0"/>
        <w:keepLines w:val="0"/>
        <w:pageBreakBefore w:val="0"/>
        <w:widowControl/>
        <w:kinsoku/>
        <w:wordWrap/>
        <w:overflowPunct/>
        <w:topLinePunct w:val="0"/>
        <w:autoSpaceDE/>
        <w:autoSpaceDN/>
        <w:bidi w:val="0"/>
        <w:adjustRightInd/>
        <w:snapToGrid/>
        <w:spacing w:line="360" w:lineRule="auto"/>
        <w:ind w:right="0"/>
        <w:rPr>
          <w:rFonts w:hint="default" w:ascii="宋体" w:hAnsi="宋体" w:eastAsia="宋体" w:cs="宋体"/>
          <w:b/>
          <w:bCs/>
          <w:color w:val="000000" w:themeColor="text1"/>
          <w:kern w:val="0"/>
          <w:sz w:val="24"/>
          <w:szCs w:val="24"/>
          <w:highlight w:val="none"/>
          <w:lang w:val="zh-CN" w:eastAsia="zh-CN" w:bidi="zh-CN"/>
          <w14:textFill>
            <w14:solidFill>
              <w14:schemeClr w14:val="tx1"/>
            </w14:solidFill>
          </w14:textFill>
        </w:rPr>
      </w:pPr>
      <w:r>
        <w:rPr>
          <w:rFonts w:hint="default" w:ascii="宋体" w:hAnsi="宋体" w:eastAsia="宋体" w:cs="宋体"/>
          <w:b/>
          <w:bCs/>
          <w:color w:val="000000" w:themeColor="text1"/>
          <w:kern w:val="0"/>
          <w:sz w:val="24"/>
          <w:szCs w:val="24"/>
          <w:highlight w:val="none"/>
          <w:lang w:val="en-US" w:eastAsia="zh-CN" w:bidi="zh-CN"/>
          <w14:textFill>
            <w14:solidFill>
              <w14:schemeClr w14:val="tx1"/>
            </w14:solidFill>
          </w14:textFill>
        </w:rPr>
        <w:t>2</w:t>
      </w:r>
      <w:r>
        <w:rPr>
          <w:rFonts w:hint="eastAsia" w:ascii="宋体" w:hAnsi="宋体" w:cs="宋体"/>
          <w:b/>
          <w:bCs/>
          <w:color w:val="000000" w:themeColor="text1"/>
          <w:kern w:val="0"/>
          <w:sz w:val="24"/>
          <w:szCs w:val="24"/>
          <w:highlight w:val="none"/>
          <w:lang w:val="en-US" w:eastAsia="zh-CN" w:bidi="zh-CN"/>
          <w14:textFill>
            <w14:solidFill>
              <w14:schemeClr w14:val="tx1"/>
            </w14:solidFill>
          </w14:textFill>
        </w:rPr>
        <w:t>.</w:t>
      </w:r>
      <w:r>
        <w:rPr>
          <w:rFonts w:hint="default" w:ascii="宋体" w:hAnsi="宋体" w:eastAsia="宋体" w:cs="宋体"/>
          <w:b/>
          <w:bCs/>
          <w:color w:val="000000" w:themeColor="text1"/>
          <w:kern w:val="0"/>
          <w:sz w:val="24"/>
          <w:szCs w:val="24"/>
          <w:highlight w:val="none"/>
          <w:lang w:val="zh-CN" w:eastAsia="zh-CN" w:bidi="zh-CN"/>
          <w14:textFill>
            <w14:solidFill>
              <w14:schemeClr w14:val="tx1"/>
            </w14:solidFill>
          </w14:textFill>
        </w:rPr>
        <w:t>地形、地貌及地质</w:t>
      </w:r>
    </w:p>
    <w:p>
      <w:pPr>
        <w:bidi w:val="0"/>
        <w:spacing w:line="360" w:lineRule="auto"/>
        <w:ind w:firstLine="480" w:firstLineChars="200"/>
        <w:rPr>
          <w:rFonts w:hint="default"/>
          <w:color w:val="000000" w:themeColor="text1"/>
          <w:sz w:val="24"/>
          <w:szCs w:val="24"/>
          <w:highlight w:val="none"/>
          <w:lang w:val="zh-CN"/>
          <w14:textFill>
            <w14:solidFill>
              <w14:schemeClr w14:val="tx1"/>
            </w14:solidFill>
          </w14:textFill>
        </w:rPr>
      </w:pPr>
      <w:r>
        <w:rPr>
          <w:rFonts w:hint="default"/>
          <w:color w:val="000000" w:themeColor="text1"/>
          <w:sz w:val="24"/>
          <w:szCs w:val="24"/>
          <w:highlight w:val="none"/>
          <w:lang w:val="zh-CN"/>
          <w14:textFill>
            <w14:solidFill>
              <w14:schemeClr w14:val="tx1"/>
            </w14:solidFill>
          </w14:textFill>
        </w:rPr>
        <w:t>宜春市区地形北高南低，并西向东倾斜，从南向北贯穿排列着三条山脉，地势奇峻，山坡陡峭。在山脉之间分布有丘陵山岗，河谷盆地。区域内山地占面积的31.4％，低丘岗地占51.9％，平原为2.1％，水域面积为0.4％，有一二级支流16条流经全区。</w:t>
      </w:r>
    </w:p>
    <w:p>
      <w:pPr>
        <w:bidi w:val="0"/>
        <w:spacing w:line="360" w:lineRule="auto"/>
        <w:rPr>
          <w:rFonts w:hint="default"/>
          <w:color w:val="000000" w:themeColor="text1"/>
          <w:sz w:val="24"/>
          <w:szCs w:val="24"/>
          <w:highlight w:val="none"/>
          <w:lang w:val="zh-CN"/>
          <w14:textFill>
            <w14:solidFill>
              <w14:schemeClr w14:val="tx1"/>
            </w14:solidFill>
          </w14:textFill>
        </w:rPr>
      </w:pPr>
      <w:r>
        <w:rPr>
          <w:rFonts w:hint="default"/>
          <w:color w:val="000000" w:themeColor="text1"/>
          <w:sz w:val="24"/>
          <w:szCs w:val="24"/>
          <w:highlight w:val="none"/>
          <w:lang w:val="zh-CN"/>
          <w14:textFill>
            <w14:solidFill>
              <w14:schemeClr w14:val="tx1"/>
            </w14:solidFill>
          </w14:textFill>
        </w:rPr>
        <w:t>地形为低岗丘地，地势由北向南，由西向东倾斜，地形最高标高152.14m，最低标高81.76m。冲沟发育，地形起伏大，开发区内有三条小溪，在中部汇聚后由东南方向经渥江汇入袁河。沿小溪两侧土地大部分为水稻田及农民宅基地。山上树木植被较密，大多为松、杉等树木。</w:t>
      </w:r>
    </w:p>
    <w:p>
      <w:pPr>
        <w:bidi w:val="0"/>
        <w:spacing w:line="360" w:lineRule="auto"/>
        <w:rPr>
          <w:rFonts w:hint="default"/>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宜春经济技术开发区</w:t>
      </w:r>
      <w:r>
        <w:rPr>
          <w:rFonts w:hint="default"/>
          <w:color w:val="000000" w:themeColor="text1"/>
          <w:sz w:val="24"/>
          <w:szCs w:val="24"/>
          <w:highlight w:val="none"/>
          <w:lang w:val="zh-CN"/>
          <w14:textFill>
            <w14:solidFill>
              <w14:schemeClr w14:val="tx1"/>
            </w14:solidFill>
          </w14:textFill>
        </w:rPr>
        <w:t>地形为丘陵地带，海拔多在70～180米之间，地形最高标高230.6米，最低标高81.76米，冲沟发育，地形起伏较大，区内分布有三条主溪沟，由东北、西北、西南穿越场地，在中部汇聚后向东南方向汇入袁河，沿沟溪两侧土地大部分为水稻田及农民宅基地，山丘植被茂密，大多为松、杉等树木。</w:t>
      </w:r>
    </w:p>
    <w:p>
      <w:pPr>
        <w:bidi w:val="0"/>
        <w:spacing w:line="360" w:lineRule="auto"/>
        <w:rPr>
          <w:rFonts w:hint="default"/>
          <w:color w:val="000000" w:themeColor="text1"/>
          <w:sz w:val="24"/>
          <w:szCs w:val="24"/>
          <w:highlight w:val="none"/>
          <w:lang w:val="zh-CN"/>
          <w14:textFill>
            <w14:solidFill>
              <w14:schemeClr w14:val="tx1"/>
            </w14:solidFill>
          </w14:textFill>
        </w:rPr>
      </w:pPr>
      <w:r>
        <w:rPr>
          <w:rFonts w:hint="default"/>
          <w:color w:val="000000" w:themeColor="text1"/>
          <w:sz w:val="24"/>
          <w:szCs w:val="24"/>
          <w:highlight w:val="none"/>
          <w:lang w:val="zh-CN"/>
          <w14:textFill>
            <w14:solidFill>
              <w14:schemeClr w14:val="tx1"/>
            </w14:solidFill>
          </w14:textFill>
        </w:rPr>
        <w:t>境内所在地区基层以灰白、深灰白的白云质、硅质灰岩为主，属于中等风化硬质岩石，地基承载力设计值为4.8Mpa。基岩以上覆盖物主要是第四纪更新统残坡积红色粘土，平均厚度12.94m，中压缩性土，承载力标准值270Kpa，局部下层有棕褐色粘土，平均厚度1.34m，均匀密度1.34m，均匀密度的可塑状粘土，承载力标准值131Kpa。依据《中国地震烈度区划图1990年（江西部分）》属小于Ⅵ地震烈度区，一般建、构筑物可不考虑设防。</w:t>
      </w:r>
    </w:p>
    <w:p>
      <w:pPr>
        <w:pStyle w:val="313"/>
        <w:keepNext w:val="0"/>
        <w:keepLines w:val="0"/>
        <w:pageBreakBefore w:val="0"/>
        <w:widowControl/>
        <w:kinsoku/>
        <w:wordWrap/>
        <w:overflowPunct/>
        <w:topLinePunct w:val="0"/>
        <w:autoSpaceDE/>
        <w:autoSpaceDN/>
        <w:bidi w:val="0"/>
        <w:adjustRightInd/>
        <w:snapToGrid/>
        <w:spacing w:line="360" w:lineRule="auto"/>
        <w:ind w:right="0"/>
        <w:rPr>
          <w:rFonts w:hint="default" w:ascii="宋体" w:hAnsi="宋体" w:eastAsia="宋体" w:cs="宋体"/>
          <w:b/>
          <w:bCs/>
          <w:color w:val="000000" w:themeColor="text1"/>
          <w:kern w:val="0"/>
          <w:sz w:val="24"/>
          <w:szCs w:val="24"/>
          <w:highlight w:val="none"/>
          <w:lang w:val="en-US" w:eastAsia="zh-CN" w:bidi="zh-CN"/>
          <w14:textFill>
            <w14:solidFill>
              <w14:schemeClr w14:val="tx1"/>
            </w14:solidFill>
          </w14:textFill>
        </w:rPr>
      </w:pPr>
      <w:r>
        <w:rPr>
          <w:rFonts w:hint="default" w:ascii="宋体" w:hAnsi="宋体" w:eastAsia="宋体" w:cs="宋体"/>
          <w:b/>
          <w:bCs/>
          <w:color w:val="000000" w:themeColor="text1"/>
          <w:kern w:val="0"/>
          <w:sz w:val="24"/>
          <w:szCs w:val="24"/>
          <w:highlight w:val="none"/>
          <w:lang w:val="en-US" w:eastAsia="zh-CN" w:bidi="zh-CN"/>
          <w14:textFill>
            <w14:solidFill>
              <w14:schemeClr w14:val="tx1"/>
            </w14:solidFill>
          </w14:textFill>
        </w:rPr>
        <w:t>3</w:t>
      </w:r>
      <w:r>
        <w:rPr>
          <w:rFonts w:hint="eastAsia" w:ascii="宋体" w:hAnsi="宋体" w:cs="宋体"/>
          <w:b/>
          <w:bCs/>
          <w:color w:val="000000" w:themeColor="text1"/>
          <w:kern w:val="0"/>
          <w:sz w:val="24"/>
          <w:szCs w:val="24"/>
          <w:highlight w:val="none"/>
          <w:lang w:val="en-US" w:eastAsia="zh-CN" w:bidi="zh-CN"/>
          <w14:textFill>
            <w14:solidFill>
              <w14:schemeClr w14:val="tx1"/>
            </w14:solidFill>
          </w14:textFill>
        </w:rPr>
        <w:t>.</w:t>
      </w:r>
      <w:r>
        <w:rPr>
          <w:rFonts w:hint="default" w:ascii="宋体" w:hAnsi="宋体" w:eastAsia="宋体" w:cs="宋体"/>
          <w:b/>
          <w:bCs/>
          <w:color w:val="000000" w:themeColor="text1"/>
          <w:kern w:val="0"/>
          <w:sz w:val="24"/>
          <w:szCs w:val="24"/>
          <w:highlight w:val="none"/>
          <w:lang w:val="en-US" w:eastAsia="zh-CN" w:bidi="zh-CN"/>
          <w14:textFill>
            <w14:solidFill>
              <w14:schemeClr w14:val="tx1"/>
            </w14:solidFill>
          </w14:textFill>
        </w:rPr>
        <w:t>气候气象</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宜春市属中亚热带季风气候区，四季分明，春秋季短而夏冬季长，冬季冷而夏季热，春季湿而秋季干，热量丰富，降水充沛，日照充足，霜期短，气候资源丰富。但由于季风进退迟早和强弱程度不同、地形起伏、垂直高度相差悬殊、气候因子时空分布不均等，使气候呈多样性，天气变化大，并导致旱涝、酷暑、低温、风雹等气象灾害时有发生。全市年平均气温16.2℃∽17.7℃，东南部较高，西北部较低；冬季最冷月1月平均气温4.6℃-5.3℃,南部高于北部；夏季最热月7月平均气温27.3℃-29.6℃，东部高于西部；春秋季各县（市、区）气温差异较夏季小，比冬季大；无霜期256天-281天，高安最长，万载最短；日平均气温稳定通过0℃的活动积温5926℃-6478℃，高安最多，铜鼓最少；≥10℃积温为5050℃-5644℃，丰城最多，铜鼓最少。极端最高气温41.6℃，1953年8月16日出现在袁州区；极端最低气温－15.8℃，1991年12月29日出现在奉新县。</w:t>
      </w:r>
    </w:p>
    <w:p>
      <w:pPr>
        <w:pStyle w:val="313"/>
        <w:keepNext w:val="0"/>
        <w:keepLines w:val="0"/>
        <w:pageBreakBefore w:val="0"/>
        <w:widowControl/>
        <w:kinsoku/>
        <w:wordWrap/>
        <w:overflowPunct/>
        <w:topLinePunct w:val="0"/>
        <w:autoSpaceDE/>
        <w:autoSpaceDN/>
        <w:bidi w:val="0"/>
        <w:adjustRightInd/>
        <w:snapToGrid/>
        <w:spacing w:line="360" w:lineRule="auto"/>
        <w:ind w:right="0"/>
        <w:rPr>
          <w:rFonts w:hint="default" w:ascii="宋体" w:hAnsi="宋体" w:eastAsia="宋体" w:cs="宋体"/>
          <w:b/>
          <w:bCs/>
          <w:color w:val="000000" w:themeColor="text1"/>
          <w:kern w:val="0"/>
          <w:sz w:val="24"/>
          <w:szCs w:val="24"/>
          <w:highlight w:val="none"/>
          <w:lang w:val="en-US" w:eastAsia="zh-CN" w:bidi="zh-CN"/>
          <w14:textFill>
            <w14:solidFill>
              <w14:schemeClr w14:val="tx1"/>
            </w14:solidFill>
          </w14:textFill>
        </w:rPr>
      </w:pPr>
      <w:r>
        <w:rPr>
          <w:rFonts w:hint="default" w:ascii="宋体" w:hAnsi="宋体" w:eastAsia="宋体" w:cs="宋体"/>
          <w:b/>
          <w:bCs/>
          <w:color w:val="000000" w:themeColor="text1"/>
          <w:kern w:val="0"/>
          <w:sz w:val="24"/>
          <w:szCs w:val="24"/>
          <w:highlight w:val="none"/>
          <w:lang w:val="en-US" w:eastAsia="zh-CN" w:bidi="zh-CN"/>
          <w14:textFill>
            <w14:solidFill>
              <w14:schemeClr w14:val="tx1"/>
            </w14:solidFill>
          </w14:textFill>
        </w:rPr>
        <w:t>4</w:t>
      </w:r>
      <w:r>
        <w:rPr>
          <w:rFonts w:hint="eastAsia" w:ascii="宋体" w:hAnsi="宋体" w:cs="宋体"/>
          <w:b/>
          <w:bCs/>
          <w:color w:val="000000" w:themeColor="text1"/>
          <w:kern w:val="0"/>
          <w:sz w:val="24"/>
          <w:szCs w:val="24"/>
          <w:highlight w:val="none"/>
          <w:lang w:val="en-US" w:eastAsia="zh-CN" w:bidi="zh-CN"/>
          <w14:textFill>
            <w14:solidFill>
              <w14:schemeClr w14:val="tx1"/>
            </w14:solidFill>
          </w14:textFill>
        </w:rPr>
        <w:t>.</w:t>
      </w:r>
      <w:r>
        <w:rPr>
          <w:rFonts w:hint="default" w:ascii="宋体" w:hAnsi="宋体" w:eastAsia="宋体" w:cs="宋体"/>
          <w:b/>
          <w:bCs/>
          <w:color w:val="000000" w:themeColor="text1"/>
          <w:kern w:val="0"/>
          <w:sz w:val="24"/>
          <w:szCs w:val="24"/>
          <w:highlight w:val="none"/>
          <w:lang w:val="en-US" w:eastAsia="zh-CN" w:bidi="zh-CN"/>
          <w14:textFill>
            <w14:solidFill>
              <w14:schemeClr w14:val="tx1"/>
            </w14:solidFill>
          </w14:textFill>
        </w:rPr>
        <w:t>水文</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宜春市有一二级支流16条流经全区，主要水体为袁河、锦河、潦河、肖江。</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eastAsia" w:cs="Times New Roman"/>
          <w:color w:val="000000" w:themeColor="text1"/>
          <w:sz w:val="24"/>
          <w:szCs w:val="24"/>
          <w:highlight w:val="none"/>
          <w:lang w:val="en-US" w:eastAsia="zh-CN"/>
          <w14:textFill>
            <w14:solidFill>
              <w14:schemeClr w14:val="tx1"/>
            </w14:solidFill>
          </w14:textFill>
        </w:rPr>
        <w:t>宜春经济技术开发区</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有</w:t>
      </w:r>
      <w:r>
        <w:rPr>
          <w:rFonts w:hint="eastAsia" w:cs="Times New Roman"/>
          <w:color w:val="FF0000"/>
          <w:sz w:val="24"/>
          <w:szCs w:val="24"/>
          <w:highlight w:val="none"/>
          <w:lang w:val="en-US" w:eastAsia="zh-CN"/>
        </w:rPr>
        <w:t>三阳河</w:t>
      </w:r>
      <w:r>
        <w:rPr>
          <w:rFonts w:hint="eastAsia" w:cs="Times New Roman"/>
          <w:color w:val="FF0000"/>
          <w:sz w:val="24"/>
          <w:szCs w:val="24"/>
          <w:highlight w:val="none"/>
          <w:lang w:eastAsia="zh-CN"/>
        </w:rPr>
        <w:t>，</w:t>
      </w:r>
      <w:r>
        <w:rPr>
          <w:rFonts w:hint="eastAsia" w:cs="Times New Roman"/>
          <w:color w:val="FF0000"/>
          <w:sz w:val="24"/>
          <w:szCs w:val="24"/>
          <w:highlight w:val="none"/>
          <w:lang w:val="en-US" w:eastAsia="zh-CN"/>
        </w:rPr>
        <w:t>雷桥小溪及工业园水渠</w:t>
      </w:r>
      <w:r>
        <w:rPr>
          <w:rFonts w:hint="default" w:ascii="Times New Roman" w:hAnsi="Times New Roman" w:eastAsia="宋体" w:cs="Times New Roman"/>
          <w:color w:val="FF0000"/>
          <w:sz w:val="24"/>
          <w:szCs w:val="24"/>
          <w:highlight w:val="none"/>
          <w:lang w:eastAsia="zh-CN"/>
        </w:rPr>
        <w:t>穿越</w:t>
      </w: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排水由依地势排入渥江，最终进入袁河，袁河是宜春市最大的地表水体，流经西村、湖田、春台、下浦、渥江和彬江等六个乡镇，全长52千米，河宽50～250米，河深0.8～5米，河床堆积卵石及砂砾为主，年平均流量58.2m3/s，年平均流速0.20m/s。</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宜春市平均年降水量为1624.9mm，各县（市、区）年降水量1545.6mm-1736.3mm，铜鼓最多，丰城最少；4-6月降水量全市平均为754.2mm，占年总量的46.4%；由于季风影响，上半年各月降水量呈逐月增加，下半年各月降水量呈递减趋势；全市各地每季降水量占年总量的百分比分别是，第一季度21%，第二季度46%，第三季度22%，第四季度11%；5-6月降水最多，全市平均月降水量为273.9mm,12月降水最少，全市平均降水量为52.8mm。年最大降水量为2848.5mm，1998年出现在铜鼓县；年最小降水量1025.5mm，1978年出现在高安市。市内水资源十分丰富，多年平均水资源总量达1821.51亿立方米。</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地表水资源地表水资源来自降水，全市多年平均降水总量311.87亿立方米，平均降水量在1624.9毫米左右，平均地表水资源为179.24亿立方米，年人均占有水量3402亿立方米。地下水资源市地下水源丰富，全市多年平均地下水（浅层）资源量为49.60亿立方米，平均地下水基流模数为26.57万立方米/年平方公里。市内地下水包括平原、山丘等类型。古之“宜春”就有因县侧有泉“莹媚如春，饮之宜人”而得名。宜春又是江西省地下热水及矿水分布较密地区之一。比较著名的有：袁州区温汤温泉，水温达62℃，流量为10升/秒，闻名遐迩。铜鼓县温塘温泉属镭水温泉，可作医疗矿水。</w:t>
      </w:r>
    </w:p>
    <w:p>
      <w:pPr>
        <w:pStyle w:val="313"/>
        <w:keepNext w:val="0"/>
        <w:keepLines w:val="0"/>
        <w:pageBreakBefore w:val="0"/>
        <w:widowControl/>
        <w:kinsoku/>
        <w:wordWrap/>
        <w:overflowPunct/>
        <w:topLinePunct w:val="0"/>
        <w:autoSpaceDE/>
        <w:autoSpaceDN/>
        <w:bidi w:val="0"/>
        <w:adjustRightInd/>
        <w:snapToGrid/>
        <w:spacing w:line="360" w:lineRule="auto"/>
        <w:ind w:right="0"/>
        <w:rPr>
          <w:rFonts w:hint="default" w:ascii="宋体" w:hAnsi="宋体" w:eastAsia="宋体" w:cs="宋体"/>
          <w:b/>
          <w:bCs/>
          <w:color w:val="000000" w:themeColor="text1"/>
          <w:kern w:val="0"/>
          <w:sz w:val="24"/>
          <w:szCs w:val="24"/>
          <w:highlight w:val="none"/>
          <w:lang w:val="en-US" w:eastAsia="zh-CN" w:bidi="zh-CN"/>
          <w14:textFill>
            <w14:solidFill>
              <w14:schemeClr w14:val="tx1"/>
            </w14:solidFill>
          </w14:textFill>
        </w:rPr>
      </w:pPr>
      <w:r>
        <w:rPr>
          <w:rFonts w:hint="default" w:ascii="宋体" w:hAnsi="宋体" w:eastAsia="宋体" w:cs="宋体"/>
          <w:b/>
          <w:bCs/>
          <w:color w:val="000000" w:themeColor="text1"/>
          <w:kern w:val="0"/>
          <w:sz w:val="24"/>
          <w:szCs w:val="24"/>
          <w:highlight w:val="none"/>
          <w:lang w:val="en-US" w:eastAsia="zh-CN" w:bidi="zh-CN"/>
          <w14:textFill>
            <w14:solidFill>
              <w14:schemeClr w14:val="tx1"/>
            </w14:solidFill>
          </w14:textFill>
        </w:rPr>
        <w:t>5</w:t>
      </w:r>
      <w:r>
        <w:rPr>
          <w:rFonts w:hint="eastAsia" w:ascii="宋体" w:hAnsi="宋体" w:cs="宋体"/>
          <w:b/>
          <w:bCs/>
          <w:color w:val="000000" w:themeColor="text1"/>
          <w:kern w:val="0"/>
          <w:sz w:val="24"/>
          <w:szCs w:val="24"/>
          <w:highlight w:val="none"/>
          <w:lang w:val="en-US" w:eastAsia="zh-CN" w:bidi="zh-CN"/>
          <w14:textFill>
            <w14:solidFill>
              <w14:schemeClr w14:val="tx1"/>
            </w14:solidFill>
          </w14:textFill>
        </w:rPr>
        <w:t>.</w:t>
      </w:r>
      <w:r>
        <w:rPr>
          <w:rFonts w:hint="default" w:ascii="宋体" w:hAnsi="宋体" w:eastAsia="宋体" w:cs="宋体"/>
          <w:b/>
          <w:bCs/>
          <w:color w:val="000000" w:themeColor="text1"/>
          <w:kern w:val="0"/>
          <w:sz w:val="24"/>
          <w:szCs w:val="24"/>
          <w:highlight w:val="none"/>
          <w:lang w:val="en-US" w:eastAsia="zh-CN" w:bidi="zh-CN"/>
          <w14:textFill>
            <w14:solidFill>
              <w14:schemeClr w14:val="tx1"/>
            </w14:solidFill>
          </w14:textFill>
        </w:rPr>
        <w:t>自然资源</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cs="Times New Roman"/>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color w:val="000000" w:themeColor="text1"/>
          <w:sz w:val="24"/>
          <w:szCs w:val="24"/>
          <w:highlight w:val="none"/>
          <w:lang w:eastAsia="zh-CN"/>
          <w14:textFill>
            <w14:solidFill>
              <w14:schemeClr w14:val="tx1"/>
            </w14:solidFill>
          </w14:textFill>
        </w:rPr>
        <w:t>宜春土地、动植物、水资源、能源、矿产等自然资源相当丰富。全市森林覆盖率为53.8%，是江西重点林区和全国重点毛竹产区。已探明水力资源60万千瓦，占全省水能理论蕴藏量的10.4%。已探明储量的矿产56种，其中钽铌被誉为江西“五朵金花”之一，宜春钽铌矿是我国最大钽铌锂原料生产基地；锂矿可开采量占全国89.3%，硅灰石储量约占全国1/4，原煤、岩盐、石灰石等储量列江西第一。宜春是苎麻的故乡，同时也是江西野生猕猴桃的主要产区，奉新猕猴桃产量居全省之冠</w:t>
      </w:r>
      <w:r>
        <w:rPr>
          <w:rFonts w:hint="eastAsia" w:cs="Times New Roman"/>
          <w:color w:val="000000" w:themeColor="text1"/>
          <w:sz w:val="24"/>
          <w:szCs w:val="24"/>
          <w:highlight w:val="none"/>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cs="Times New Roman"/>
          <w:b/>
          <w:bCs/>
          <w:color w:val="FF0000"/>
          <w:sz w:val="24"/>
          <w:szCs w:val="24"/>
          <w:highlight w:val="none"/>
          <w:lang w:val="en-US" w:eastAsia="zh-CN"/>
        </w:rPr>
      </w:pPr>
      <w:r>
        <w:rPr>
          <w:rFonts w:hint="eastAsia" w:cs="Times New Roman"/>
          <w:b/>
          <w:bCs/>
          <w:color w:val="FF0000"/>
          <w:sz w:val="24"/>
          <w:szCs w:val="24"/>
          <w:highlight w:val="none"/>
          <w:lang w:val="en-US" w:eastAsia="zh-CN"/>
        </w:rPr>
        <w:t>6、产业</w:t>
      </w:r>
    </w:p>
    <w:p>
      <w:pPr>
        <w:widowControl/>
        <w:autoSpaceDE w:val="0"/>
        <w:autoSpaceDN w:val="0"/>
        <w:adjustRightInd w:val="0"/>
        <w:snapToGrid w:val="0"/>
        <w:spacing w:line="360" w:lineRule="auto"/>
        <w:ind w:firstLine="480"/>
        <w:jc w:val="left"/>
        <w:rPr>
          <w:rFonts w:hint="default" w:ascii="Times New Roman" w:hAnsi="Times New Roman" w:eastAsia="宋体" w:cs="Times New Roman"/>
          <w:snapToGrid/>
          <w:color w:val="FF0000"/>
          <w:kern w:val="0"/>
          <w:sz w:val="24"/>
          <w:szCs w:val="24"/>
          <w:highlight w:val="none"/>
          <w:lang w:val="en-US" w:eastAsia="zh-CN" w:bidi="ar-SA"/>
        </w:rPr>
      </w:pPr>
      <w:r>
        <w:rPr>
          <w:rFonts w:hint="default" w:ascii="Times New Roman" w:hAnsi="Times New Roman" w:eastAsia="宋体" w:cs="Times New Roman"/>
          <w:snapToGrid/>
          <w:color w:val="FF0000"/>
          <w:kern w:val="0"/>
          <w:sz w:val="24"/>
          <w:szCs w:val="24"/>
          <w:highlight w:val="none"/>
          <w:lang w:val="en-US" w:eastAsia="zh-CN" w:bidi="ar-SA"/>
        </w:rPr>
        <w:t>2016年12月，</w:t>
      </w:r>
      <w:r>
        <w:rPr>
          <w:rFonts w:hint="eastAsia" w:cs="Times New Roman"/>
          <w:snapToGrid/>
          <w:color w:val="FF0000"/>
          <w:kern w:val="0"/>
          <w:sz w:val="24"/>
          <w:szCs w:val="24"/>
          <w:highlight w:val="none"/>
          <w:lang w:val="en-US" w:eastAsia="zh-CN" w:bidi="ar-SA"/>
        </w:rPr>
        <w:t>宜春经济技术开发区</w:t>
      </w:r>
      <w:r>
        <w:rPr>
          <w:rFonts w:hint="default" w:ascii="Times New Roman" w:hAnsi="Times New Roman" w:eastAsia="宋体" w:cs="Times New Roman"/>
          <w:snapToGrid/>
          <w:color w:val="FF0000"/>
          <w:kern w:val="0"/>
          <w:sz w:val="24"/>
          <w:szCs w:val="24"/>
          <w:highlight w:val="none"/>
          <w:lang w:val="en-US" w:eastAsia="zh-CN" w:bidi="ar-SA"/>
        </w:rPr>
        <w:t>总产值326.71亿元，规划区内统计工业总产值为257.75亿元，主导产业（机电、锂电、医药及新材料）产值约为223.32亿元，占规划区总收入的68%。2016年统计规划区现有企业336家，其中已建成企业282家，在建22家，未建32家。</w:t>
      </w:r>
    </w:p>
    <w:p>
      <w:pPr>
        <w:widowControl/>
        <w:autoSpaceDE w:val="0"/>
        <w:autoSpaceDN w:val="0"/>
        <w:adjustRightInd w:val="0"/>
        <w:snapToGrid w:val="0"/>
        <w:spacing w:line="360" w:lineRule="auto"/>
        <w:ind w:firstLine="480"/>
        <w:jc w:val="left"/>
        <w:rPr>
          <w:rFonts w:eastAsia="宋体"/>
          <w:color w:val="FF0000"/>
          <w:kern w:val="0"/>
          <w:sz w:val="24"/>
          <w:szCs w:val="24"/>
        </w:rPr>
      </w:pPr>
      <w:r>
        <w:rPr>
          <w:rFonts w:hint="default" w:ascii="Times New Roman" w:hAnsi="Times New Roman" w:eastAsia="宋体" w:cs="Times New Roman"/>
          <w:snapToGrid/>
          <w:color w:val="FF0000"/>
          <w:kern w:val="0"/>
          <w:sz w:val="24"/>
          <w:szCs w:val="24"/>
          <w:highlight w:val="none"/>
          <w:lang w:val="en-US" w:eastAsia="zh-CN" w:bidi="ar-SA"/>
        </w:rPr>
        <w:t>园区建成企业已建用地1095.91公顷，建成企业闲置用地494.58公顷，建成企业土地利用率为68.90%。园区建成投产企业已建用地841.86公顷，建成投产企业闲置用地241.08公顷，建成投产企业土地利用率为77.73%。机械、锂电、医药、新型材料类企业在企业数量、用地面积、和员工数量上远超其他产业，成为园区产业的主导。医药、服装、新材料类产业地均产值较高，机械、锂电、食品等地均产值接近，其余地均产值较低。建成投产企业地均产值为13.7亿/平方公里</w:t>
      </w:r>
      <w:r>
        <w:rPr>
          <w:rFonts w:hint="eastAsia" w:ascii="Times New Roman" w:hAnsi="Times New Roman" w:eastAsia="宋体" w:cs="Times New Roman"/>
          <w:snapToGrid/>
          <w:color w:val="FF0000"/>
          <w:kern w:val="0"/>
          <w:sz w:val="24"/>
          <w:szCs w:val="24"/>
          <w:highlight w:val="none"/>
          <w:lang w:val="en-US" w:eastAsia="zh-CN" w:bidi="ar-SA"/>
        </w:rPr>
        <w:t>。</w:t>
      </w:r>
      <w:r>
        <w:rPr>
          <w:rFonts w:eastAsia="宋体"/>
          <w:color w:val="FF0000"/>
          <w:sz w:val="24"/>
          <w:szCs w:val="24"/>
        </w:rPr>
        <w:t>产业现状见表及图。</w:t>
      </w:r>
    </w:p>
    <w:p>
      <w:pPr>
        <w:pStyle w:val="320"/>
        <w:adjustRightInd w:val="0"/>
        <w:snapToGrid w:val="0"/>
        <w:spacing w:line="240" w:lineRule="auto"/>
        <w:rPr>
          <w:rFonts w:eastAsia="宋体"/>
          <w:color w:val="FF0000"/>
          <w:sz w:val="24"/>
          <w:szCs w:val="24"/>
        </w:rPr>
      </w:pPr>
      <w:r>
        <w:rPr>
          <w:rFonts w:eastAsia="宋体"/>
          <w:color w:val="FF0000"/>
          <w:sz w:val="24"/>
          <w:szCs w:val="24"/>
        </w:rPr>
        <w:t xml:space="preserve"> 宜春经济技术开发区主导产业及主要企业一览表</w:t>
      </w:r>
    </w:p>
    <w:tbl>
      <w:tblPr>
        <w:tblStyle w:val="48"/>
        <w:tblW w:w="0" w:type="auto"/>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1188"/>
        <w:gridCol w:w="4590"/>
        <w:gridCol w:w="3704"/>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11" w:hRule="atLeast"/>
          <w:jc w:val="center"/>
        </w:trPr>
        <w:tc>
          <w:tcPr>
            <w:tcW w:w="1188" w:type="dxa"/>
            <w:tcBorders>
              <w:top w:val="single" w:color="auto" w:sz="12" w:space="0"/>
              <w:bottom w:val="single" w:color="auto" w:sz="6" w:space="0"/>
            </w:tcBorders>
            <w:noWrap w:val="0"/>
            <w:vAlign w:val="center"/>
          </w:tcPr>
          <w:p>
            <w:pPr>
              <w:keepNext w:val="0"/>
              <w:keepLines w:val="0"/>
              <w:widowControl/>
              <w:suppressLineNumbers w:val="0"/>
              <w:adjustRightInd w:val="0"/>
              <w:snapToGrid w:val="0"/>
              <w:spacing w:before="0" w:beforeAutospacing="0" w:after="0" w:afterAutospacing="0" w:line="320" w:lineRule="exact"/>
              <w:ind w:left="0" w:right="0" w:firstLine="0" w:firstLineChars="0"/>
              <w:jc w:val="center"/>
              <w:rPr>
                <w:rFonts w:eastAsia="宋体"/>
                <w:b/>
                <w:color w:val="FF0000"/>
                <w:sz w:val="21"/>
                <w:szCs w:val="21"/>
              </w:rPr>
            </w:pPr>
            <w:r>
              <w:rPr>
                <w:rFonts w:eastAsia="宋体"/>
                <w:b/>
                <w:color w:val="FF0000"/>
                <w:sz w:val="21"/>
                <w:szCs w:val="21"/>
              </w:rPr>
              <w:t>产业类型</w:t>
            </w:r>
          </w:p>
        </w:tc>
        <w:tc>
          <w:tcPr>
            <w:tcW w:w="4590" w:type="dxa"/>
            <w:tcBorders>
              <w:top w:val="single" w:color="auto" w:sz="12" w:space="0"/>
              <w:bottom w:val="single" w:color="auto" w:sz="6" w:space="0"/>
            </w:tcBorders>
            <w:noWrap w:val="0"/>
            <w:vAlign w:val="center"/>
          </w:tcPr>
          <w:p>
            <w:pPr>
              <w:keepNext w:val="0"/>
              <w:keepLines w:val="0"/>
              <w:widowControl/>
              <w:suppressLineNumbers w:val="0"/>
              <w:adjustRightInd w:val="0"/>
              <w:snapToGrid w:val="0"/>
              <w:spacing w:before="0" w:beforeAutospacing="0" w:after="0" w:afterAutospacing="0" w:line="320" w:lineRule="exact"/>
              <w:ind w:left="0" w:right="0" w:firstLine="0" w:firstLineChars="0"/>
              <w:jc w:val="center"/>
              <w:rPr>
                <w:rFonts w:eastAsia="宋体"/>
                <w:b/>
                <w:color w:val="FF0000"/>
                <w:sz w:val="21"/>
                <w:szCs w:val="21"/>
              </w:rPr>
            </w:pPr>
            <w:r>
              <w:rPr>
                <w:rFonts w:eastAsia="宋体"/>
                <w:b/>
                <w:color w:val="FF0000"/>
                <w:sz w:val="21"/>
                <w:szCs w:val="21"/>
              </w:rPr>
              <w:t>代表企业</w:t>
            </w:r>
          </w:p>
        </w:tc>
        <w:tc>
          <w:tcPr>
            <w:tcW w:w="3704" w:type="dxa"/>
            <w:tcBorders>
              <w:top w:val="single" w:color="auto" w:sz="12" w:space="0"/>
              <w:bottom w:val="single" w:color="auto" w:sz="6" w:space="0"/>
            </w:tcBorders>
            <w:noWrap w:val="0"/>
            <w:vAlign w:val="center"/>
          </w:tcPr>
          <w:p>
            <w:pPr>
              <w:keepNext w:val="0"/>
              <w:keepLines w:val="0"/>
              <w:widowControl/>
              <w:suppressLineNumbers w:val="0"/>
              <w:adjustRightInd w:val="0"/>
              <w:snapToGrid w:val="0"/>
              <w:spacing w:before="0" w:beforeAutospacing="0" w:after="0" w:afterAutospacing="0" w:line="320" w:lineRule="exact"/>
              <w:ind w:left="0" w:right="0" w:firstLine="0" w:firstLineChars="0"/>
              <w:jc w:val="center"/>
              <w:rPr>
                <w:rFonts w:eastAsia="宋体"/>
                <w:b/>
                <w:color w:val="FF0000"/>
                <w:sz w:val="21"/>
                <w:szCs w:val="21"/>
              </w:rPr>
            </w:pPr>
            <w:r>
              <w:rPr>
                <w:rFonts w:eastAsia="宋体"/>
                <w:b/>
                <w:color w:val="FF0000"/>
                <w:sz w:val="21"/>
                <w:szCs w:val="21"/>
              </w:rPr>
              <w:t>主要产品</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516" w:hRule="atLeast"/>
          <w:jc w:val="center"/>
        </w:trPr>
        <w:tc>
          <w:tcPr>
            <w:tcW w:w="1188" w:type="dxa"/>
            <w:tcBorders>
              <w:top w:val="single" w:color="auto" w:sz="6" w:space="0"/>
            </w:tcBorders>
            <w:noWrap w:val="0"/>
            <w:vAlign w:val="center"/>
          </w:tcPr>
          <w:p>
            <w:pPr>
              <w:keepNext w:val="0"/>
              <w:keepLines w:val="0"/>
              <w:widowControl/>
              <w:suppressLineNumbers w:val="0"/>
              <w:adjustRightInd w:val="0"/>
              <w:snapToGrid w:val="0"/>
              <w:spacing w:before="0" w:beforeAutospacing="0" w:after="0" w:afterAutospacing="0" w:line="320" w:lineRule="exact"/>
              <w:ind w:left="0" w:right="0" w:firstLine="0" w:firstLineChars="0"/>
              <w:jc w:val="center"/>
              <w:rPr>
                <w:rFonts w:eastAsia="宋体"/>
                <w:color w:val="FF0000"/>
                <w:sz w:val="21"/>
                <w:szCs w:val="21"/>
              </w:rPr>
            </w:pPr>
            <w:r>
              <w:rPr>
                <w:rFonts w:eastAsia="宋体"/>
                <w:color w:val="FF0000"/>
                <w:sz w:val="21"/>
                <w:szCs w:val="21"/>
              </w:rPr>
              <w:t>机电</w:t>
            </w:r>
          </w:p>
        </w:tc>
        <w:tc>
          <w:tcPr>
            <w:tcW w:w="4590" w:type="dxa"/>
            <w:tcBorders>
              <w:top w:val="single" w:color="auto" w:sz="6" w:space="0"/>
            </w:tcBorders>
            <w:noWrap w:val="0"/>
            <w:vAlign w:val="center"/>
          </w:tcPr>
          <w:p>
            <w:pPr>
              <w:keepNext w:val="0"/>
              <w:keepLines w:val="0"/>
              <w:widowControl/>
              <w:suppressLineNumbers w:val="0"/>
              <w:adjustRightInd w:val="0"/>
              <w:snapToGrid w:val="0"/>
              <w:spacing w:before="0" w:beforeAutospacing="0" w:after="0" w:afterAutospacing="0" w:line="320" w:lineRule="exact"/>
              <w:ind w:left="0" w:right="0" w:firstLine="0" w:firstLineChars="0"/>
              <w:jc w:val="center"/>
              <w:rPr>
                <w:rFonts w:eastAsia="宋体"/>
                <w:color w:val="FF0000"/>
                <w:sz w:val="21"/>
                <w:szCs w:val="21"/>
              </w:rPr>
            </w:pPr>
            <w:r>
              <w:rPr>
                <w:rFonts w:eastAsia="宋体"/>
                <w:color w:val="FF0000"/>
                <w:sz w:val="21"/>
                <w:szCs w:val="21"/>
              </w:rPr>
              <w:t>江西鑫田车业有限公司、江西三龙电气有限公司、创维-RGB（宜春）有限公司、江西海佳电器有限公司、宜春重工集团有限公司</w:t>
            </w:r>
          </w:p>
        </w:tc>
        <w:tc>
          <w:tcPr>
            <w:tcW w:w="3704" w:type="dxa"/>
            <w:tcBorders>
              <w:top w:val="single" w:color="auto" w:sz="6" w:space="0"/>
            </w:tcBorders>
            <w:noWrap w:val="0"/>
            <w:vAlign w:val="center"/>
          </w:tcPr>
          <w:p>
            <w:pPr>
              <w:keepNext w:val="0"/>
              <w:keepLines w:val="0"/>
              <w:widowControl/>
              <w:suppressLineNumbers w:val="0"/>
              <w:adjustRightInd w:val="0"/>
              <w:snapToGrid w:val="0"/>
              <w:spacing w:before="0" w:beforeAutospacing="0" w:after="0" w:afterAutospacing="0" w:line="320" w:lineRule="exact"/>
              <w:ind w:left="0" w:right="0" w:firstLine="0" w:firstLineChars="0"/>
              <w:jc w:val="center"/>
              <w:rPr>
                <w:rFonts w:eastAsia="宋体"/>
                <w:color w:val="FF0000"/>
                <w:sz w:val="21"/>
                <w:szCs w:val="21"/>
              </w:rPr>
            </w:pPr>
            <w:r>
              <w:rPr>
                <w:rFonts w:eastAsia="宋体"/>
                <w:color w:val="FF0000"/>
                <w:sz w:val="21"/>
                <w:szCs w:val="21"/>
              </w:rPr>
              <w:t>汽配模件、高低压配电柜、变压器、扬声器、电冰箱、洗衣机、装载机、挖掘机、特种汽车</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77" w:hRule="atLeast"/>
          <w:jc w:val="center"/>
        </w:trPr>
        <w:tc>
          <w:tcPr>
            <w:tcW w:w="1188" w:type="dxa"/>
            <w:noWrap w:val="0"/>
            <w:vAlign w:val="center"/>
          </w:tcPr>
          <w:p>
            <w:pPr>
              <w:keepNext w:val="0"/>
              <w:keepLines w:val="0"/>
              <w:widowControl/>
              <w:suppressLineNumbers w:val="0"/>
              <w:adjustRightInd w:val="0"/>
              <w:snapToGrid w:val="0"/>
              <w:spacing w:before="0" w:beforeAutospacing="0" w:after="0" w:afterAutospacing="0" w:line="320" w:lineRule="exact"/>
              <w:ind w:left="0" w:right="0" w:firstLine="0" w:firstLineChars="0"/>
              <w:jc w:val="center"/>
              <w:rPr>
                <w:rFonts w:eastAsia="宋体"/>
                <w:color w:val="FF0000"/>
                <w:sz w:val="21"/>
                <w:szCs w:val="21"/>
              </w:rPr>
            </w:pPr>
            <w:r>
              <w:rPr>
                <w:rFonts w:eastAsia="宋体"/>
                <w:color w:val="FF0000"/>
                <w:sz w:val="21"/>
                <w:szCs w:val="21"/>
              </w:rPr>
              <w:t>锂电</w:t>
            </w:r>
          </w:p>
        </w:tc>
        <w:tc>
          <w:tcPr>
            <w:tcW w:w="4590" w:type="dxa"/>
            <w:noWrap w:val="0"/>
            <w:vAlign w:val="center"/>
          </w:tcPr>
          <w:p>
            <w:pPr>
              <w:keepNext w:val="0"/>
              <w:keepLines w:val="0"/>
              <w:widowControl/>
              <w:suppressLineNumbers w:val="0"/>
              <w:adjustRightInd w:val="0"/>
              <w:snapToGrid w:val="0"/>
              <w:spacing w:before="0" w:beforeAutospacing="0" w:after="0" w:afterAutospacing="0" w:line="320" w:lineRule="exact"/>
              <w:ind w:left="0" w:right="0" w:firstLine="0" w:firstLineChars="0"/>
              <w:jc w:val="center"/>
              <w:rPr>
                <w:rFonts w:eastAsia="宋体"/>
                <w:color w:val="FF0000"/>
                <w:sz w:val="21"/>
                <w:szCs w:val="21"/>
              </w:rPr>
            </w:pPr>
            <w:r>
              <w:rPr>
                <w:rFonts w:eastAsia="宋体"/>
                <w:color w:val="FF0000"/>
                <w:sz w:val="21"/>
                <w:szCs w:val="21"/>
              </w:rPr>
              <w:t>江西正拓新能源科技有限公司、宜春赣锋锂业有限公司、江西省福斯特新能源有限公司</w:t>
            </w:r>
          </w:p>
        </w:tc>
        <w:tc>
          <w:tcPr>
            <w:tcW w:w="3704" w:type="dxa"/>
            <w:noWrap w:val="0"/>
            <w:vAlign w:val="center"/>
          </w:tcPr>
          <w:p>
            <w:pPr>
              <w:keepNext w:val="0"/>
              <w:keepLines w:val="0"/>
              <w:widowControl/>
              <w:suppressLineNumbers w:val="0"/>
              <w:adjustRightInd w:val="0"/>
              <w:snapToGrid w:val="0"/>
              <w:spacing w:before="0" w:beforeAutospacing="0" w:after="0" w:afterAutospacing="0" w:line="320" w:lineRule="exact"/>
              <w:ind w:left="0" w:right="0" w:firstLine="0" w:firstLineChars="0"/>
              <w:jc w:val="center"/>
              <w:rPr>
                <w:rFonts w:eastAsia="宋体"/>
                <w:color w:val="FF0000"/>
                <w:sz w:val="21"/>
                <w:szCs w:val="21"/>
              </w:rPr>
            </w:pPr>
            <w:r>
              <w:rPr>
                <w:rFonts w:eastAsia="宋体"/>
                <w:color w:val="FF0000"/>
                <w:sz w:val="21"/>
                <w:szCs w:val="21"/>
              </w:rPr>
              <w:t>锂离子电池正、负极材料、</w:t>
            </w:r>
          </w:p>
          <w:p>
            <w:pPr>
              <w:keepNext w:val="0"/>
              <w:keepLines w:val="0"/>
              <w:widowControl/>
              <w:suppressLineNumbers w:val="0"/>
              <w:adjustRightInd w:val="0"/>
              <w:snapToGrid w:val="0"/>
              <w:spacing w:before="0" w:beforeAutospacing="0" w:after="0" w:afterAutospacing="0" w:line="320" w:lineRule="exact"/>
              <w:ind w:left="0" w:right="0" w:firstLine="0" w:firstLineChars="0"/>
              <w:jc w:val="center"/>
              <w:rPr>
                <w:rFonts w:eastAsia="宋体"/>
                <w:color w:val="FF0000"/>
                <w:sz w:val="21"/>
                <w:szCs w:val="21"/>
              </w:rPr>
            </w:pPr>
            <w:r>
              <w:rPr>
                <w:rFonts w:eastAsia="宋体"/>
                <w:color w:val="FF0000"/>
                <w:sz w:val="21"/>
                <w:szCs w:val="21"/>
              </w:rPr>
              <w:t>锂离子电池电芯和新型材料</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77" w:hRule="atLeast"/>
          <w:jc w:val="center"/>
        </w:trPr>
        <w:tc>
          <w:tcPr>
            <w:tcW w:w="1188" w:type="dxa"/>
            <w:noWrap w:val="0"/>
            <w:vAlign w:val="center"/>
          </w:tcPr>
          <w:p>
            <w:pPr>
              <w:keepNext w:val="0"/>
              <w:keepLines w:val="0"/>
              <w:widowControl/>
              <w:suppressLineNumbers w:val="0"/>
              <w:adjustRightInd w:val="0"/>
              <w:snapToGrid w:val="0"/>
              <w:spacing w:before="0" w:beforeAutospacing="0" w:after="0" w:afterAutospacing="0" w:line="320" w:lineRule="exact"/>
              <w:ind w:left="0" w:right="0" w:firstLine="0" w:firstLineChars="0"/>
              <w:jc w:val="center"/>
              <w:rPr>
                <w:rFonts w:eastAsia="宋体"/>
                <w:color w:val="FF0000"/>
                <w:sz w:val="21"/>
                <w:szCs w:val="21"/>
              </w:rPr>
            </w:pPr>
            <w:r>
              <w:rPr>
                <w:rFonts w:eastAsia="宋体"/>
                <w:color w:val="FF0000"/>
                <w:sz w:val="21"/>
                <w:szCs w:val="21"/>
              </w:rPr>
              <w:t>新材料</w:t>
            </w:r>
          </w:p>
        </w:tc>
        <w:tc>
          <w:tcPr>
            <w:tcW w:w="4590" w:type="dxa"/>
            <w:noWrap w:val="0"/>
            <w:vAlign w:val="center"/>
          </w:tcPr>
          <w:p>
            <w:pPr>
              <w:keepNext w:val="0"/>
              <w:keepLines w:val="0"/>
              <w:widowControl/>
              <w:suppressLineNumbers w:val="0"/>
              <w:adjustRightInd w:val="0"/>
              <w:snapToGrid w:val="0"/>
              <w:spacing w:before="0" w:beforeAutospacing="0" w:after="0" w:afterAutospacing="0" w:line="320" w:lineRule="exact"/>
              <w:ind w:left="0" w:right="0" w:firstLine="0" w:firstLineChars="0"/>
              <w:jc w:val="center"/>
              <w:rPr>
                <w:rFonts w:eastAsia="宋体"/>
                <w:color w:val="FF0000"/>
                <w:sz w:val="21"/>
                <w:szCs w:val="21"/>
              </w:rPr>
            </w:pPr>
            <w:r>
              <w:rPr>
                <w:rFonts w:eastAsia="宋体"/>
                <w:color w:val="FF0000"/>
                <w:sz w:val="21"/>
                <w:szCs w:val="21"/>
              </w:rPr>
              <w:t>广东兴发铝业（江西）有限公司、江西盛富莱定向反光材料有限公司、江西嘉特板业有限公司</w:t>
            </w:r>
          </w:p>
        </w:tc>
        <w:tc>
          <w:tcPr>
            <w:tcW w:w="3704" w:type="dxa"/>
            <w:noWrap w:val="0"/>
            <w:vAlign w:val="center"/>
          </w:tcPr>
          <w:p>
            <w:pPr>
              <w:keepNext w:val="0"/>
              <w:keepLines w:val="0"/>
              <w:widowControl/>
              <w:suppressLineNumbers w:val="0"/>
              <w:adjustRightInd w:val="0"/>
              <w:snapToGrid w:val="0"/>
              <w:spacing w:before="0" w:beforeAutospacing="0" w:after="0" w:afterAutospacing="0" w:line="320" w:lineRule="exact"/>
              <w:ind w:left="0" w:right="0" w:firstLine="0" w:firstLineChars="0"/>
              <w:jc w:val="center"/>
              <w:rPr>
                <w:rFonts w:eastAsia="宋体"/>
                <w:color w:val="FF0000"/>
                <w:sz w:val="21"/>
                <w:szCs w:val="21"/>
              </w:rPr>
            </w:pPr>
            <w:r>
              <w:rPr>
                <w:rFonts w:eastAsia="宋体"/>
                <w:color w:val="FF0000"/>
                <w:sz w:val="21"/>
                <w:szCs w:val="21"/>
              </w:rPr>
              <w:t>铝材加工、玻璃微珠、</w:t>
            </w:r>
          </w:p>
          <w:p>
            <w:pPr>
              <w:keepNext w:val="0"/>
              <w:keepLines w:val="0"/>
              <w:widowControl/>
              <w:suppressLineNumbers w:val="0"/>
              <w:adjustRightInd w:val="0"/>
              <w:snapToGrid w:val="0"/>
              <w:spacing w:before="0" w:beforeAutospacing="0" w:after="0" w:afterAutospacing="0" w:line="320" w:lineRule="exact"/>
              <w:ind w:left="0" w:right="0" w:firstLine="0" w:firstLineChars="0"/>
              <w:jc w:val="center"/>
              <w:rPr>
                <w:rFonts w:eastAsia="宋体"/>
                <w:color w:val="FF0000"/>
                <w:sz w:val="21"/>
                <w:szCs w:val="21"/>
              </w:rPr>
            </w:pPr>
            <w:r>
              <w:rPr>
                <w:rFonts w:eastAsia="宋体"/>
                <w:color w:val="FF0000"/>
                <w:sz w:val="21"/>
                <w:szCs w:val="21"/>
              </w:rPr>
              <w:t>硅酸钙板</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77" w:hRule="atLeast"/>
          <w:jc w:val="center"/>
        </w:trPr>
        <w:tc>
          <w:tcPr>
            <w:tcW w:w="1188" w:type="dxa"/>
            <w:noWrap w:val="0"/>
            <w:vAlign w:val="center"/>
          </w:tcPr>
          <w:p>
            <w:pPr>
              <w:keepNext w:val="0"/>
              <w:keepLines w:val="0"/>
              <w:widowControl/>
              <w:suppressLineNumbers w:val="0"/>
              <w:adjustRightInd w:val="0"/>
              <w:snapToGrid w:val="0"/>
              <w:spacing w:before="0" w:beforeAutospacing="0" w:after="0" w:afterAutospacing="0" w:line="320" w:lineRule="exact"/>
              <w:ind w:left="0" w:right="0" w:firstLine="0" w:firstLineChars="0"/>
              <w:jc w:val="center"/>
              <w:rPr>
                <w:rFonts w:eastAsia="宋体"/>
                <w:color w:val="FF0000"/>
                <w:sz w:val="21"/>
                <w:szCs w:val="21"/>
              </w:rPr>
            </w:pPr>
            <w:r>
              <w:rPr>
                <w:rFonts w:eastAsia="宋体"/>
                <w:color w:val="FF0000"/>
                <w:sz w:val="21"/>
                <w:szCs w:val="21"/>
              </w:rPr>
              <w:t>医药</w:t>
            </w:r>
          </w:p>
        </w:tc>
        <w:tc>
          <w:tcPr>
            <w:tcW w:w="4590" w:type="dxa"/>
            <w:noWrap w:val="0"/>
            <w:vAlign w:val="center"/>
          </w:tcPr>
          <w:p>
            <w:pPr>
              <w:keepNext w:val="0"/>
              <w:keepLines w:val="0"/>
              <w:widowControl/>
              <w:suppressLineNumbers w:val="0"/>
              <w:adjustRightInd w:val="0"/>
              <w:snapToGrid w:val="0"/>
              <w:spacing w:before="0" w:beforeAutospacing="0" w:after="0" w:afterAutospacing="0" w:line="320" w:lineRule="exact"/>
              <w:ind w:left="0" w:right="0" w:firstLine="0" w:firstLineChars="0"/>
              <w:jc w:val="center"/>
              <w:rPr>
                <w:rFonts w:eastAsia="宋体"/>
                <w:color w:val="FF0000"/>
                <w:sz w:val="21"/>
                <w:szCs w:val="21"/>
              </w:rPr>
            </w:pPr>
            <w:r>
              <w:rPr>
                <w:rFonts w:eastAsia="宋体"/>
                <w:color w:val="FF0000"/>
                <w:sz w:val="21"/>
                <w:szCs w:val="21"/>
              </w:rPr>
              <w:t>江西神禾药业制品有限公司、江西大地医药保健品有限公司、宜春市新龙化工有限公司、荣兴药业、金思康药业、意生缘生物工程等</w:t>
            </w:r>
          </w:p>
        </w:tc>
        <w:tc>
          <w:tcPr>
            <w:tcW w:w="3704" w:type="dxa"/>
            <w:noWrap w:val="0"/>
            <w:vAlign w:val="center"/>
          </w:tcPr>
          <w:p>
            <w:pPr>
              <w:keepNext w:val="0"/>
              <w:keepLines w:val="0"/>
              <w:widowControl/>
              <w:suppressLineNumbers w:val="0"/>
              <w:autoSpaceDE w:val="0"/>
              <w:autoSpaceDN w:val="0"/>
              <w:adjustRightInd w:val="0"/>
              <w:spacing w:before="0" w:beforeAutospacing="0" w:after="0" w:afterAutospacing="0" w:line="320" w:lineRule="exact"/>
              <w:ind w:left="0" w:right="0" w:firstLine="0" w:firstLineChars="0"/>
              <w:jc w:val="center"/>
              <w:rPr>
                <w:rFonts w:eastAsia="宋体"/>
                <w:color w:val="FF0000"/>
                <w:sz w:val="21"/>
                <w:szCs w:val="21"/>
              </w:rPr>
            </w:pPr>
            <w:r>
              <w:rPr>
                <w:rFonts w:eastAsia="宋体"/>
                <w:color w:val="FF0000"/>
                <w:sz w:val="21"/>
                <w:szCs w:val="21"/>
              </w:rPr>
              <w:t>中成药</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77" w:hRule="atLeast"/>
          <w:jc w:val="center"/>
        </w:trPr>
        <w:tc>
          <w:tcPr>
            <w:tcW w:w="1188" w:type="dxa"/>
            <w:noWrap w:val="0"/>
            <w:vAlign w:val="center"/>
          </w:tcPr>
          <w:p>
            <w:pPr>
              <w:keepNext w:val="0"/>
              <w:keepLines w:val="0"/>
              <w:widowControl/>
              <w:suppressLineNumbers w:val="0"/>
              <w:adjustRightInd w:val="0"/>
              <w:snapToGrid w:val="0"/>
              <w:spacing w:before="0" w:beforeAutospacing="0" w:after="0" w:afterAutospacing="0" w:line="320" w:lineRule="exact"/>
              <w:ind w:left="0" w:right="0" w:firstLine="0" w:firstLineChars="0"/>
              <w:jc w:val="center"/>
              <w:rPr>
                <w:rFonts w:eastAsia="宋体"/>
                <w:color w:val="FF0000"/>
                <w:sz w:val="21"/>
                <w:szCs w:val="21"/>
              </w:rPr>
            </w:pPr>
            <w:r>
              <w:rPr>
                <w:rFonts w:eastAsia="宋体"/>
                <w:color w:val="FF0000"/>
                <w:sz w:val="21"/>
                <w:szCs w:val="21"/>
              </w:rPr>
              <w:t>化工</w:t>
            </w:r>
          </w:p>
        </w:tc>
        <w:tc>
          <w:tcPr>
            <w:tcW w:w="4590" w:type="dxa"/>
            <w:noWrap w:val="0"/>
            <w:vAlign w:val="center"/>
          </w:tcPr>
          <w:p>
            <w:pPr>
              <w:keepNext w:val="0"/>
              <w:keepLines w:val="0"/>
              <w:widowControl/>
              <w:suppressLineNumbers w:val="0"/>
              <w:autoSpaceDE w:val="0"/>
              <w:autoSpaceDN w:val="0"/>
              <w:adjustRightInd w:val="0"/>
              <w:spacing w:before="0" w:beforeAutospacing="0" w:after="0" w:afterAutospacing="0" w:line="320" w:lineRule="exact"/>
              <w:ind w:left="0" w:right="0" w:firstLine="0" w:firstLineChars="0"/>
              <w:jc w:val="center"/>
              <w:rPr>
                <w:rFonts w:eastAsia="宋体"/>
                <w:color w:val="FF0000"/>
                <w:sz w:val="21"/>
                <w:szCs w:val="21"/>
              </w:rPr>
            </w:pPr>
            <w:r>
              <w:rPr>
                <w:rFonts w:eastAsia="宋体"/>
                <w:color w:val="FF0000"/>
                <w:sz w:val="21"/>
                <w:szCs w:val="21"/>
              </w:rPr>
              <w:t>宜春市卓越化工有限公司、江西宜春科远化工有限公司、江西全球化工股份有限公司、江西锦绣现代化工有限公司、江西瑞思博化工有限公司、武藏野化学（中国）有限公司宜春分公司等</w:t>
            </w:r>
          </w:p>
        </w:tc>
        <w:tc>
          <w:tcPr>
            <w:tcW w:w="3704" w:type="dxa"/>
            <w:noWrap w:val="0"/>
            <w:vAlign w:val="center"/>
          </w:tcPr>
          <w:p>
            <w:pPr>
              <w:keepNext w:val="0"/>
              <w:keepLines w:val="0"/>
              <w:widowControl/>
              <w:suppressLineNumbers w:val="0"/>
              <w:adjustRightInd w:val="0"/>
              <w:snapToGrid w:val="0"/>
              <w:spacing w:before="0" w:beforeAutospacing="0" w:after="0" w:afterAutospacing="0" w:line="320" w:lineRule="exact"/>
              <w:ind w:left="0" w:right="0" w:firstLine="0" w:firstLineChars="0"/>
              <w:jc w:val="center"/>
              <w:rPr>
                <w:rFonts w:eastAsia="宋体"/>
                <w:color w:val="FF0000"/>
                <w:sz w:val="21"/>
                <w:szCs w:val="21"/>
              </w:rPr>
            </w:pPr>
            <w:r>
              <w:rPr>
                <w:rFonts w:eastAsia="宋体"/>
                <w:color w:val="FF0000"/>
                <w:sz w:val="21"/>
                <w:szCs w:val="21"/>
              </w:rPr>
              <w:t>环氧氯丙烷、胶黏剂、聚酰胺树脂、有机酸等。</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08" w:hRule="atLeast"/>
          <w:jc w:val="center"/>
        </w:trPr>
        <w:tc>
          <w:tcPr>
            <w:tcW w:w="1188" w:type="dxa"/>
            <w:noWrap w:val="0"/>
            <w:vAlign w:val="center"/>
          </w:tcPr>
          <w:p>
            <w:pPr>
              <w:keepNext w:val="0"/>
              <w:keepLines w:val="0"/>
              <w:widowControl/>
              <w:suppressLineNumbers w:val="0"/>
              <w:adjustRightInd w:val="0"/>
              <w:snapToGrid w:val="0"/>
              <w:spacing w:before="0" w:beforeAutospacing="0" w:after="0" w:afterAutospacing="0" w:line="320" w:lineRule="exact"/>
              <w:ind w:left="0" w:right="0" w:firstLine="0" w:firstLineChars="0"/>
              <w:jc w:val="center"/>
              <w:rPr>
                <w:rFonts w:eastAsia="宋体"/>
                <w:color w:val="FF0000"/>
                <w:sz w:val="21"/>
                <w:szCs w:val="21"/>
              </w:rPr>
            </w:pPr>
            <w:r>
              <w:rPr>
                <w:rFonts w:eastAsia="宋体"/>
                <w:color w:val="FF0000"/>
                <w:sz w:val="21"/>
                <w:szCs w:val="21"/>
              </w:rPr>
              <w:t>服装</w:t>
            </w:r>
          </w:p>
        </w:tc>
        <w:tc>
          <w:tcPr>
            <w:tcW w:w="4590" w:type="dxa"/>
            <w:noWrap w:val="0"/>
            <w:vAlign w:val="center"/>
          </w:tcPr>
          <w:p>
            <w:pPr>
              <w:keepNext w:val="0"/>
              <w:keepLines w:val="0"/>
              <w:widowControl/>
              <w:suppressLineNumbers w:val="0"/>
              <w:autoSpaceDE w:val="0"/>
              <w:autoSpaceDN w:val="0"/>
              <w:adjustRightInd w:val="0"/>
              <w:spacing w:before="0" w:beforeAutospacing="0" w:after="0" w:afterAutospacing="0" w:line="320" w:lineRule="exact"/>
              <w:ind w:left="0" w:right="0" w:firstLine="0" w:firstLineChars="0"/>
              <w:jc w:val="center"/>
              <w:rPr>
                <w:rFonts w:eastAsia="宋体"/>
                <w:color w:val="FF0000"/>
                <w:sz w:val="21"/>
                <w:szCs w:val="21"/>
              </w:rPr>
            </w:pPr>
            <w:r>
              <w:rPr>
                <w:rFonts w:eastAsia="宋体"/>
                <w:color w:val="FF0000"/>
                <w:sz w:val="21"/>
                <w:szCs w:val="21"/>
              </w:rPr>
              <w:t>宜春市哥威服装制造有限公司、江西丝黛实业有限公司等</w:t>
            </w:r>
          </w:p>
        </w:tc>
        <w:tc>
          <w:tcPr>
            <w:tcW w:w="3704" w:type="dxa"/>
            <w:noWrap w:val="0"/>
            <w:vAlign w:val="center"/>
          </w:tcPr>
          <w:p>
            <w:pPr>
              <w:keepNext w:val="0"/>
              <w:keepLines w:val="0"/>
              <w:widowControl/>
              <w:suppressLineNumbers w:val="0"/>
              <w:autoSpaceDE w:val="0"/>
              <w:autoSpaceDN w:val="0"/>
              <w:adjustRightInd w:val="0"/>
              <w:spacing w:before="0" w:beforeAutospacing="0" w:after="0" w:afterAutospacing="0" w:line="320" w:lineRule="exact"/>
              <w:ind w:left="0" w:right="0" w:firstLine="0" w:firstLineChars="0"/>
              <w:jc w:val="center"/>
              <w:rPr>
                <w:rFonts w:eastAsia="宋体"/>
                <w:color w:val="FF0000"/>
                <w:sz w:val="21"/>
                <w:szCs w:val="21"/>
              </w:rPr>
            </w:pPr>
            <w:r>
              <w:rPr>
                <w:rFonts w:eastAsia="宋体"/>
                <w:color w:val="FF0000"/>
                <w:sz w:val="21"/>
                <w:szCs w:val="21"/>
              </w:rPr>
              <w:t>服装等</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08" w:hRule="atLeast"/>
          <w:jc w:val="center"/>
        </w:trPr>
        <w:tc>
          <w:tcPr>
            <w:tcW w:w="1188" w:type="dxa"/>
            <w:noWrap w:val="0"/>
            <w:vAlign w:val="center"/>
          </w:tcPr>
          <w:p>
            <w:pPr>
              <w:keepNext w:val="0"/>
              <w:keepLines w:val="0"/>
              <w:widowControl/>
              <w:suppressLineNumbers w:val="0"/>
              <w:adjustRightInd w:val="0"/>
              <w:snapToGrid w:val="0"/>
              <w:spacing w:before="0" w:beforeAutospacing="0" w:after="0" w:afterAutospacing="0" w:line="320" w:lineRule="exact"/>
              <w:ind w:left="0" w:right="0" w:firstLine="0" w:firstLineChars="0"/>
              <w:jc w:val="center"/>
              <w:rPr>
                <w:rFonts w:eastAsia="宋体"/>
                <w:color w:val="FF0000"/>
                <w:sz w:val="21"/>
                <w:szCs w:val="21"/>
              </w:rPr>
            </w:pPr>
            <w:r>
              <w:rPr>
                <w:rFonts w:eastAsia="宋体"/>
                <w:color w:val="FF0000"/>
                <w:sz w:val="21"/>
                <w:szCs w:val="21"/>
              </w:rPr>
              <w:t>食品</w:t>
            </w:r>
          </w:p>
        </w:tc>
        <w:tc>
          <w:tcPr>
            <w:tcW w:w="4590" w:type="dxa"/>
            <w:noWrap w:val="0"/>
            <w:vAlign w:val="center"/>
          </w:tcPr>
          <w:p>
            <w:pPr>
              <w:keepNext w:val="0"/>
              <w:keepLines w:val="0"/>
              <w:widowControl/>
              <w:suppressLineNumbers w:val="0"/>
              <w:autoSpaceDE w:val="0"/>
              <w:autoSpaceDN w:val="0"/>
              <w:adjustRightInd w:val="0"/>
              <w:spacing w:before="0" w:beforeAutospacing="0" w:after="0" w:afterAutospacing="0" w:line="320" w:lineRule="exact"/>
              <w:ind w:left="0" w:right="0" w:firstLine="0" w:firstLineChars="0"/>
              <w:jc w:val="center"/>
              <w:rPr>
                <w:rFonts w:eastAsia="宋体"/>
                <w:color w:val="FF0000"/>
                <w:sz w:val="21"/>
                <w:szCs w:val="21"/>
              </w:rPr>
            </w:pPr>
            <w:r>
              <w:rPr>
                <w:rFonts w:eastAsia="宋体"/>
                <w:color w:val="FF0000"/>
                <w:sz w:val="21"/>
                <w:szCs w:val="21"/>
              </w:rPr>
              <w:t>江西上味世家食品有限公司、宜春市福源食品有限公司、宜春市远洋农副产品开发有限公司、宜春市亿丰食品有限公司、宜春市安泰食品有限公司等</w:t>
            </w:r>
          </w:p>
        </w:tc>
        <w:tc>
          <w:tcPr>
            <w:tcW w:w="3704" w:type="dxa"/>
            <w:noWrap w:val="0"/>
            <w:vAlign w:val="center"/>
          </w:tcPr>
          <w:p>
            <w:pPr>
              <w:keepNext w:val="0"/>
              <w:keepLines w:val="0"/>
              <w:widowControl/>
              <w:suppressLineNumbers w:val="0"/>
              <w:autoSpaceDE w:val="0"/>
              <w:autoSpaceDN w:val="0"/>
              <w:adjustRightInd w:val="0"/>
              <w:spacing w:before="0" w:beforeAutospacing="0" w:after="0" w:afterAutospacing="0" w:line="320" w:lineRule="exact"/>
              <w:ind w:left="0" w:right="0" w:firstLine="0" w:firstLineChars="0"/>
              <w:jc w:val="center"/>
              <w:rPr>
                <w:rFonts w:eastAsia="宋体"/>
                <w:color w:val="FF0000"/>
                <w:sz w:val="21"/>
                <w:szCs w:val="21"/>
              </w:rPr>
            </w:pPr>
            <w:r>
              <w:rPr>
                <w:rFonts w:eastAsia="宋体"/>
                <w:color w:val="FF0000"/>
                <w:sz w:val="21"/>
                <w:szCs w:val="21"/>
              </w:rPr>
              <w:t>饲料、大米、冷藏食品、蛋制品</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08" w:hRule="atLeast"/>
          <w:jc w:val="center"/>
        </w:trPr>
        <w:tc>
          <w:tcPr>
            <w:tcW w:w="1188" w:type="dxa"/>
            <w:noWrap w:val="0"/>
            <w:vAlign w:val="center"/>
          </w:tcPr>
          <w:p>
            <w:pPr>
              <w:keepNext w:val="0"/>
              <w:keepLines w:val="0"/>
              <w:widowControl/>
              <w:suppressLineNumbers w:val="0"/>
              <w:adjustRightInd w:val="0"/>
              <w:snapToGrid w:val="0"/>
              <w:spacing w:before="0" w:beforeAutospacing="0" w:after="0" w:afterAutospacing="0" w:line="320" w:lineRule="exact"/>
              <w:ind w:left="0" w:right="0" w:firstLine="0" w:firstLineChars="0"/>
              <w:jc w:val="center"/>
              <w:rPr>
                <w:rFonts w:eastAsia="宋体"/>
                <w:color w:val="FF0000"/>
                <w:sz w:val="21"/>
                <w:szCs w:val="21"/>
              </w:rPr>
            </w:pPr>
            <w:r>
              <w:rPr>
                <w:rFonts w:eastAsia="宋体"/>
                <w:color w:val="FF0000"/>
                <w:sz w:val="21"/>
                <w:szCs w:val="21"/>
              </w:rPr>
              <w:t>其他产业</w:t>
            </w:r>
          </w:p>
        </w:tc>
        <w:tc>
          <w:tcPr>
            <w:tcW w:w="4590" w:type="dxa"/>
            <w:noWrap w:val="0"/>
            <w:vAlign w:val="center"/>
          </w:tcPr>
          <w:p>
            <w:pPr>
              <w:keepNext w:val="0"/>
              <w:keepLines w:val="0"/>
              <w:widowControl/>
              <w:suppressLineNumbers w:val="0"/>
              <w:adjustRightInd w:val="0"/>
              <w:snapToGrid w:val="0"/>
              <w:spacing w:before="0" w:beforeAutospacing="0" w:after="0" w:afterAutospacing="0" w:line="320" w:lineRule="exact"/>
              <w:ind w:left="0" w:right="0" w:firstLine="0" w:firstLineChars="0"/>
              <w:jc w:val="center"/>
              <w:rPr>
                <w:rFonts w:eastAsia="宋体"/>
                <w:color w:val="FF0000"/>
                <w:sz w:val="21"/>
                <w:szCs w:val="21"/>
              </w:rPr>
            </w:pPr>
          </w:p>
        </w:tc>
        <w:tc>
          <w:tcPr>
            <w:tcW w:w="3704" w:type="dxa"/>
            <w:noWrap w:val="0"/>
            <w:vAlign w:val="center"/>
          </w:tcPr>
          <w:p>
            <w:pPr>
              <w:keepNext w:val="0"/>
              <w:keepLines w:val="0"/>
              <w:widowControl/>
              <w:suppressLineNumbers w:val="0"/>
              <w:autoSpaceDE w:val="0"/>
              <w:autoSpaceDN w:val="0"/>
              <w:adjustRightInd w:val="0"/>
              <w:spacing w:before="0" w:beforeAutospacing="0" w:after="0" w:afterAutospacing="0" w:line="320" w:lineRule="exact"/>
              <w:ind w:left="0" w:right="0" w:firstLine="0" w:firstLineChars="0"/>
              <w:jc w:val="center"/>
              <w:rPr>
                <w:rFonts w:eastAsia="宋体"/>
                <w:color w:val="FF0000"/>
                <w:sz w:val="21"/>
                <w:szCs w:val="21"/>
              </w:rPr>
            </w:pPr>
            <w:r>
              <w:rPr>
                <w:rFonts w:eastAsia="宋体"/>
                <w:color w:val="FF0000"/>
                <w:sz w:val="21"/>
                <w:szCs w:val="21"/>
              </w:rPr>
              <w:t>包装生产、辅料生产</w:t>
            </w:r>
          </w:p>
        </w:tc>
      </w:tr>
    </w:tbl>
    <w:p>
      <w:pPr>
        <w:widowControl/>
        <w:ind w:firstLine="0" w:firstLineChars="0"/>
        <w:jc w:val="center"/>
        <w:rPr>
          <w:rFonts w:hint="eastAsia" w:eastAsia="宋体"/>
          <w:b/>
        </w:rPr>
      </w:pPr>
    </w:p>
    <w:p>
      <w:pPr>
        <w:widowControl/>
        <w:ind w:firstLine="0" w:firstLineChars="0"/>
        <w:jc w:val="center"/>
        <w:rPr>
          <w:rFonts w:hint="eastAsia" w:eastAsia="宋体"/>
          <w:b/>
        </w:rPr>
      </w:pPr>
      <w:r>
        <w:drawing>
          <wp:inline distT="0" distB="0" distL="114300" distR="114300">
            <wp:extent cx="3143250" cy="1657350"/>
            <wp:effectExtent l="0" t="0" r="0" b="0"/>
            <wp:docPr id="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
                    <pic:cNvPicPr>
                      <a:picLocks noChangeAspect="1"/>
                    </pic:cNvPicPr>
                  </pic:nvPicPr>
                  <pic:blipFill>
                    <a:blip r:embed="rId21"/>
                    <a:stretch>
                      <a:fillRect/>
                    </a:stretch>
                  </pic:blipFill>
                  <pic:spPr>
                    <a:xfrm>
                      <a:off x="0" y="0"/>
                      <a:ext cx="3143250" cy="1657350"/>
                    </a:xfrm>
                    <a:prstGeom prst="rect">
                      <a:avLst/>
                    </a:prstGeom>
                    <a:noFill/>
                    <a:ln>
                      <a:noFill/>
                    </a:ln>
                  </pic:spPr>
                </pic:pic>
              </a:graphicData>
            </a:graphic>
          </wp:inline>
        </w:drawing>
      </w:r>
    </w:p>
    <w:p>
      <w:pPr>
        <w:pStyle w:val="317"/>
        <w:spacing w:line="360" w:lineRule="auto"/>
        <w:jc w:val="center"/>
        <w:rPr>
          <w:rFonts w:hint="eastAsia" w:ascii="Times New Roman" w:hAnsi="Times New Roman" w:eastAsia="宋体" w:cs="Times New Roman"/>
          <w:snapToGrid/>
          <w:color w:val="FF0000"/>
          <w:kern w:val="0"/>
          <w:sz w:val="24"/>
          <w:szCs w:val="24"/>
          <w:highlight w:val="none"/>
          <w:lang w:val="en-US" w:eastAsia="zh-CN" w:bidi="ar-SA"/>
        </w:rPr>
      </w:pPr>
      <w:r>
        <w:rPr>
          <w:rFonts w:eastAsia="宋体"/>
          <w:b/>
          <w:color w:val="FF0000"/>
        </w:rPr>
        <w:t>宜春开发区主导产业结构图</w:t>
      </w:r>
    </w:p>
    <w:p>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2.3.2 环境保护目标</w:t>
      </w:r>
    </w:p>
    <w:p>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环境敏感点分布情况</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项目位于</w:t>
      </w:r>
      <w:r>
        <w:rPr>
          <w:rFonts w:hint="eastAsia" w:cs="宋体"/>
          <w:color w:val="000000" w:themeColor="text1"/>
          <w:sz w:val="24"/>
          <w:szCs w:val="24"/>
          <w:highlight w:val="none"/>
          <w:lang w:val="en-US" w:eastAsia="zh-CN"/>
          <w14:textFill>
            <w14:solidFill>
              <w14:schemeClr w14:val="tx1"/>
            </w14:solidFill>
          </w14:textFill>
        </w:rPr>
        <w:t>宜春经济技术开发区</w:t>
      </w:r>
      <w:r>
        <w:rPr>
          <w:rFonts w:hint="eastAsia" w:ascii="宋体" w:hAnsi="宋体" w:eastAsia="宋体" w:cs="宋体"/>
          <w:color w:val="000000" w:themeColor="text1"/>
          <w:sz w:val="24"/>
          <w:szCs w:val="24"/>
          <w:highlight w:val="none"/>
          <w14:textFill>
            <w14:solidFill>
              <w14:schemeClr w14:val="tx1"/>
            </w14:solidFill>
          </w14:textFill>
        </w:rPr>
        <w:t>内，评价范围内无名胜古迹、风景名胜区、自然保护区、生态功能保护区和生活饮用水水源地保护区等环境敏感区。其主要环境保护目标及位置见表2.3-1。</w:t>
      </w:r>
    </w:p>
    <w:p>
      <w:pPr>
        <w:pStyle w:val="314"/>
        <w:spacing w:line="240" w:lineRule="auto"/>
        <w:ind w:firstLine="422"/>
        <w:jc w:val="center"/>
        <w:rPr>
          <w:rFonts w:ascii="Times New Roman" w:hAnsi="Times New Roman" w:cs="Times New Roman"/>
          <w:b/>
          <w:color w:val="FF0000"/>
          <w:kern w:val="0"/>
          <w:sz w:val="21"/>
          <w:szCs w:val="21"/>
          <w:highlight w:val="none"/>
        </w:rPr>
      </w:pPr>
      <w:r>
        <w:rPr>
          <w:rFonts w:ascii="Times New Roman" w:hAnsi="Times New Roman" w:cs="Times New Roman"/>
          <w:b/>
          <w:color w:val="FF0000"/>
          <w:kern w:val="0"/>
          <w:sz w:val="21"/>
          <w:szCs w:val="21"/>
          <w:highlight w:val="none"/>
        </w:rPr>
        <w:t>表</w:t>
      </w:r>
      <w:r>
        <w:rPr>
          <w:rFonts w:hint="eastAsia" w:ascii="Times New Roman" w:hAnsi="Times New Roman" w:cs="Times New Roman"/>
          <w:b/>
          <w:color w:val="FF0000"/>
          <w:kern w:val="0"/>
          <w:sz w:val="21"/>
          <w:szCs w:val="21"/>
          <w:highlight w:val="none"/>
        </w:rPr>
        <w:t>2.3-1</w:t>
      </w:r>
      <w:r>
        <w:rPr>
          <w:rFonts w:ascii="Times New Roman" w:hAnsi="Times New Roman" w:cs="Times New Roman"/>
          <w:b/>
          <w:color w:val="FF0000"/>
          <w:kern w:val="0"/>
          <w:sz w:val="21"/>
          <w:szCs w:val="21"/>
          <w:highlight w:val="none"/>
        </w:rPr>
        <w:t xml:space="preserve">  环境保护目标一览表</w:t>
      </w:r>
    </w:p>
    <w:tbl>
      <w:tblPr>
        <w:tblStyle w:val="48"/>
        <w:tblW w:w="4996" w:type="pct"/>
        <w:tblInd w:w="0" w:type="dxa"/>
        <w:tblBorders>
          <w:top w:val="thinThickSmallGap" w:color="auto" w:sz="12" w:space="0"/>
          <w:left w:val="none" w:color="auto" w:sz="0" w:space="0"/>
          <w:bottom w:val="thinThickSmallGap"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79"/>
        <w:gridCol w:w="1129"/>
        <w:gridCol w:w="1012"/>
        <w:gridCol w:w="2"/>
        <w:gridCol w:w="1041"/>
        <w:gridCol w:w="858"/>
        <w:gridCol w:w="783"/>
        <w:gridCol w:w="984"/>
        <w:gridCol w:w="910"/>
        <w:gridCol w:w="1065"/>
        <w:gridCol w:w="616"/>
      </w:tblGrid>
      <w:tr>
        <w:tblPrEx>
          <w:tblBorders>
            <w:top w:val="thinThickSmallGap" w:color="auto" w:sz="12" w:space="0"/>
            <w:left w:val="none" w:color="auto" w:sz="0" w:space="0"/>
            <w:bottom w:val="thinThickSmallGap"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74" w:type="pct"/>
            <w:vMerge w:val="restart"/>
            <w:noWrap w:val="0"/>
            <w:vAlign w:val="center"/>
          </w:tcPr>
          <w:p>
            <w:pPr>
              <w:keepNext w:val="0"/>
              <w:keepLines w:val="0"/>
              <w:suppressLineNumbers w:val="0"/>
              <w:adjustRightInd w:val="0"/>
              <w:snapToGrid w:val="0"/>
              <w:spacing w:before="0" w:beforeAutospacing="0" w:after="0" w:afterAutospacing="0"/>
              <w:ind w:left="0" w:right="0"/>
              <w:jc w:val="center"/>
              <w:rPr>
                <w:b/>
                <w:color w:val="FF0000"/>
                <w:sz w:val="20"/>
                <w:szCs w:val="20"/>
                <w:highlight w:val="none"/>
              </w:rPr>
            </w:pPr>
            <w:r>
              <w:rPr>
                <w:b/>
                <w:color w:val="FF0000"/>
                <w:sz w:val="20"/>
                <w:szCs w:val="20"/>
                <w:highlight w:val="none"/>
              </w:rPr>
              <w:t>环境要素</w:t>
            </w:r>
          </w:p>
        </w:tc>
        <w:tc>
          <w:tcPr>
            <w:tcW w:w="608" w:type="pct"/>
            <w:vMerge w:val="restart"/>
            <w:noWrap w:val="0"/>
            <w:vAlign w:val="center"/>
          </w:tcPr>
          <w:p>
            <w:pPr>
              <w:keepNext w:val="0"/>
              <w:keepLines w:val="0"/>
              <w:suppressLineNumbers w:val="0"/>
              <w:adjustRightInd w:val="0"/>
              <w:snapToGrid w:val="0"/>
              <w:spacing w:before="0" w:beforeAutospacing="0" w:after="0" w:afterAutospacing="0"/>
              <w:ind w:left="0" w:right="0"/>
              <w:jc w:val="center"/>
              <w:rPr>
                <w:b/>
                <w:color w:val="FF0000"/>
                <w:sz w:val="20"/>
                <w:szCs w:val="20"/>
                <w:highlight w:val="none"/>
              </w:rPr>
            </w:pPr>
            <w:r>
              <w:rPr>
                <w:b/>
                <w:color w:val="FF0000"/>
                <w:sz w:val="20"/>
                <w:szCs w:val="20"/>
                <w:highlight w:val="none"/>
              </w:rPr>
              <w:t>名称</w:t>
            </w:r>
          </w:p>
        </w:tc>
        <w:tc>
          <w:tcPr>
            <w:tcW w:w="1107" w:type="pct"/>
            <w:gridSpan w:val="3"/>
            <w:noWrap w:val="0"/>
            <w:vAlign w:val="center"/>
          </w:tcPr>
          <w:p>
            <w:pPr>
              <w:keepNext w:val="0"/>
              <w:keepLines w:val="0"/>
              <w:suppressLineNumbers w:val="0"/>
              <w:spacing w:before="0" w:beforeAutospacing="0" w:after="0" w:afterAutospacing="0"/>
              <w:ind w:left="0" w:right="0"/>
              <w:jc w:val="center"/>
              <w:rPr>
                <w:b/>
                <w:color w:val="FF0000"/>
                <w:sz w:val="20"/>
                <w:szCs w:val="20"/>
                <w:highlight w:val="none"/>
              </w:rPr>
            </w:pPr>
            <w:r>
              <w:rPr>
                <w:rFonts w:hint="default" w:ascii="Times New Roman" w:hAnsi="Times New Roman" w:cs="Times New Roman"/>
                <w:color w:val="FF0000"/>
                <w:sz w:val="21"/>
                <w:szCs w:val="21"/>
                <w:highlight w:val="none"/>
              </w:rPr>
              <w:t>坐标/m</w:t>
            </w:r>
          </w:p>
        </w:tc>
        <w:tc>
          <w:tcPr>
            <w:tcW w:w="462" w:type="pct"/>
            <w:vMerge w:val="restart"/>
            <w:noWrap w:val="0"/>
            <w:vAlign w:val="center"/>
          </w:tcPr>
          <w:p>
            <w:pPr>
              <w:keepNext w:val="0"/>
              <w:keepLines w:val="0"/>
              <w:suppressLineNumbers w:val="0"/>
              <w:adjustRightInd w:val="0"/>
              <w:snapToGrid w:val="0"/>
              <w:spacing w:before="0" w:beforeAutospacing="0" w:after="0" w:afterAutospacing="0"/>
              <w:ind w:left="0" w:right="0"/>
              <w:jc w:val="center"/>
              <w:rPr>
                <w:b/>
                <w:color w:val="FF0000"/>
                <w:sz w:val="20"/>
                <w:szCs w:val="20"/>
                <w:highlight w:val="none"/>
              </w:rPr>
            </w:pPr>
            <w:r>
              <w:rPr>
                <w:b/>
                <w:color w:val="FF0000"/>
                <w:sz w:val="20"/>
                <w:szCs w:val="20"/>
                <w:highlight w:val="none"/>
              </w:rPr>
              <w:t>保护</w:t>
            </w:r>
          </w:p>
          <w:p>
            <w:pPr>
              <w:keepNext w:val="0"/>
              <w:keepLines w:val="0"/>
              <w:suppressLineNumbers w:val="0"/>
              <w:adjustRightInd w:val="0"/>
              <w:snapToGrid w:val="0"/>
              <w:spacing w:before="0" w:beforeAutospacing="0" w:after="0" w:afterAutospacing="0"/>
              <w:ind w:left="0" w:right="0"/>
              <w:jc w:val="center"/>
              <w:rPr>
                <w:b/>
                <w:color w:val="FF0000"/>
                <w:sz w:val="20"/>
                <w:szCs w:val="20"/>
                <w:highlight w:val="none"/>
              </w:rPr>
            </w:pPr>
            <w:r>
              <w:rPr>
                <w:b/>
                <w:color w:val="FF0000"/>
                <w:sz w:val="20"/>
                <w:szCs w:val="20"/>
                <w:highlight w:val="none"/>
              </w:rPr>
              <w:t>对象</w:t>
            </w:r>
          </w:p>
        </w:tc>
        <w:tc>
          <w:tcPr>
            <w:tcW w:w="420" w:type="pct"/>
            <w:vMerge w:val="restart"/>
            <w:noWrap w:val="0"/>
            <w:vAlign w:val="center"/>
          </w:tcPr>
          <w:p>
            <w:pPr>
              <w:keepNext w:val="0"/>
              <w:keepLines w:val="0"/>
              <w:suppressLineNumbers w:val="0"/>
              <w:adjustRightInd w:val="0"/>
              <w:snapToGrid w:val="0"/>
              <w:spacing w:before="0" w:beforeAutospacing="0" w:after="0" w:afterAutospacing="0"/>
              <w:ind w:left="0" w:right="0"/>
              <w:jc w:val="center"/>
              <w:rPr>
                <w:b/>
                <w:color w:val="FF0000"/>
                <w:sz w:val="20"/>
                <w:szCs w:val="20"/>
                <w:highlight w:val="none"/>
              </w:rPr>
            </w:pPr>
            <w:r>
              <w:rPr>
                <w:b/>
                <w:color w:val="FF0000"/>
                <w:sz w:val="20"/>
                <w:szCs w:val="20"/>
                <w:highlight w:val="none"/>
              </w:rPr>
              <w:t>保护内容</w:t>
            </w:r>
          </w:p>
        </w:tc>
        <w:tc>
          <w:tcPr>
            <w:tcW w:w="530" w:type="pct"/>
            <w:vMerge w:val="restart"/>
            <w:noWrap w:val="0"/>
            <w:vAlign w:val="center"/>
          </w:tcPr>
          <w:p>
            <w:pPr>
              <w:keepNext w:val="0"/>
              <w:keepLines w:val="0"/>
              <w:suppressLineNumbers w:val="0"/>
              <w:adjustRightInd w:val="0"/>
              <w:snapToGrid w:val="0"/>
              <w:spacing w:before="0" w:beforeAutospacing="0" w:after="0" w:afterAutospacing="0"/>
              <w:ind w:left="0" w:right="0"/>
              <w:jc w:val="center"/>
              <w:rPr>
                <w:b/>
                <w:color w:val="FF0000"/>
                <w:sz w:val="20"/>
                <w:szCs w:val="20"/>
                <w:highlight w:val="none"/>
              </w:rPr>
            </w:pPr>
            <w:r>
              <w:rPr>
                <w:b/>
                <w:color w:val="FF0000"/>
                <w:sz w:val="20"/>
                <w:szCs w:val="20"/>
                <w:highlight w:val="none"/>
              </w:rPr>
              <w:t>功能区</w:t>
            </w:r>
          </w:p>
        </w:tc>
        <w:tc>
          <w:tcPr>
            <w:tcW w:w="490" w:type="pct"/>
            <w:vMerge w:val="restart"/>
            <w:noWrap w:val="0"/>
            <w:vAlign w:val="center"/>
          </w:tcPr>
          <w:p>
            <w:pPr>
              <w:keepNext w:val="0"/>
              <w:keepLines w:val="0"/>
              <w:suppressLineNumbers w:val="0"/>
              <w:adjustRightInd w:val="0"/>
              <w:snapToGrid w:val="0"/>
              <w:spacing w:before="0" w:beforeAutospacing="0" w:after="0" w:afterAutospacing="0"/>
              <w:ind w:left="0" w:right="0"/>
              <w:jc w:val="center"/>
              <w:rPr>
                <w:b/>
                <w:color w:val="FF0000"/>
                <w:sz w:val="20"/>
                <w:szCs w:val="20"/>
                <w:highlight w:val="none"/>
              </w:rPr>
            </w:pPr>
            <w:r>
              <w:rPr>
                <w:b/>
                <w:color w:val="FF0000"/>
                <w:sz w:val="20"/>
                <w:szCs w:val="20"/>
                <w:highlight w:val="none"/>
              </w:rPr>
              <w:t>相对建址方位</w:t>
            </w:r>
          </w:p>
        </w:tc>
        <w:tc>
          <w:tcPr>
            <w:tcW w:w="574" w:type="pct"/>
            <w:vMerge w:val="restart"/>
            <w:noWrap w:val="0"/>
            <w:vAlign w:val="center"/>
          </w:tcPr>
          <w:p>
            <w:pPr>
              <w:keepNext w:val="0"/>
              <w:keepLines w:val="0"/>
              <w:suppressLineNumbers w:val="0"/>
              <w:adjustRightInd w:val="0"/>
              <w:snapToGrid w:val="0"/>
              <w:spacing w:before="0" w:beforeAutospacing="0" w:after="0" w:afterAutospacing="0"/>
              <w:ind w:left="0" w:right="0"/>
              <w:jc w:val="center"/>
              <w:rPr>
                <w:b/>
                <w:color w:val="FF0000"/>
                <w:sz w:val="20"/>
                <w:szCs w:val="20"/>
                <w:highlight w:val="none"/>
              </w:rPr>
            </w:pPr>
            <w:r>
              <w:rPr>
                <w:b/>
                <w:color w:val="FF0000"/>
                <w:sz w:val="20"/>
                <w:szCs w:val="20"/>
                <w:highlight w:val="none"/>
              </w:rPr>
              <w:t>相对厂界最近距离/m</w:t>
            </w:r>
          </w:p>
        </w:tc>
        <w:tc>
          <w:tcPr>
            <w:tcW w:w="330" w:type="pct"/>
            <w:vMerge w:val="restart"/>
            <w:noWrap w:val="0"/>
            <w:vAlign w:val="center"/>
          </w:tcPr>
          <w:p>
            <w:pPr>
              <w:keepNext w:val="0"/>
              <w:keepLines w:val="0"/>
              <w:suppressLineNumbers w:val="0"/>
              <w:adjustRightInd w:val="0"/>
              <w:snapToGrid w:val="0"/>
              <w:spacing w:before="0" w:beforeAutospacing="0" w:after="0" w:afterAutospacing="0"/>
              <w:ind w:left="0" w:right="0"/>
              <w:jc w:val="center"/>
              <w:rPr>
                <w:b/>
                <w:color w:val="FF0000"/>
                <w:sz w:val="20"/>
                <w:szCs w:val="20"/>
                <w:highlight w:val="none"/>
              </w:rPr>
            </w:pPr>
            <w:r>
              <w:rPr>
                <w:b/>
                <w:color w:val="FF0000"/>
                <w:sz w:val="20"/>
                <w:szCs w:val="20"/>
                <w:highlight w:val="none"/>
              </w:rPr>
              <w:t>规模</w:t>
            </w:r>
          </w:p>
        </w:tc>
      </w:tr>
      <w:tr>
        <w:tblPrEx>
          <w:tblBorders>
            <w:top w:val="thinThickSmallGap" w:color="auto" w:sz="12" w:space="0"/>
            <w:left w:val="none" w:color="auto" w:sz="0" w:space="0"/>
            <w:bottom w:val="thinThickSmallGap"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74" w:type="pct"/>
            <w:vMerge w:val="continue"/>
            <w:noWrap w:val="0"/>
            <w:vAlign w:val="center"/>
          </w:tcPr>
          <w:p>
            <w:pPr>
              <w:keepNext w:val="0"/>
              <w:keepLines w:val="0"/>
              <w:suppressLineNumbers w:val="0"/>
              <w:adjustRightInd w:val="0"/>
              <w:snapToGrid w:val="0"/>
              <w:spacing w:before="0" w:beforeAutospacing="0" w:after="0" w:afterAutospacing="0"/>
              <w:ind w:left="0" w:right="0"/>
              <w:jc w:val="center"/>
              <w:rPr>
                <w:b/>
                <w:color w:val="FF0000"/>
                <w:sz w:val="20"/>
                <w:szCs w:val="20"/>
                <w:highlight w:val="none"/>
              </w:rPr>
            </w:pPr>
          </w:p>
        </w:tc>
        <w:tc>
          <w:tcPr>
            <w:tcW w:w="608" w:type="pct"/>
            <w:vMerge w:val="continue"/>
            <w:noWrap w:val="0"/>
            <w:vAlign w:val="center"/>
          </w:tcPr>
          <w:p>
            <w:pPr>
              <w:keepNext w:val="0"/>
              <w:keepLines w:val="0"/>
              <w:suppressLineNumbers w:val="0"/>
              <w:adjustRightInd w:val="0"/>
              <w:snapToGrid w:val="0"/>
              <w:spacing w:before="0" w:beforeAutospacing="0" w:after="0" w:afterAutospacing="0"/>
              <w:ind w:left="0" w:right="0"/>
              <w:jc w:val="center"/>
              <w:rPr>
                <w:b/>
                <w:color w:val="FF0000"/>
                <w:sz w:val="20"/>
                <w:szCs w:val="20"/>
                <w:highlight w:val="none"/>
              </w:rPr>
            </w:pPr>
          </w:p>
        </w:tc>
        <w:tc>
          <w:tcPr>
            <w:tcW w:w="546" w:type="pct"/>
            <w:gridSpan w:val="2"/>
            <w:noWrap w:val="0"/>
            <w:vAlign w:val="center"/>
          </w:tcPr>
          <w:p>
            <w:pPr>
              <w:keepNext w:val="0"/>
              <w:keepLines w:val="0"/>
              <w:suppressLineNumbers w:val="0"/>
              <w:spacing w:before="0" w:beforeAutospacing="0" w:after="0" w:afterAutospacing="0"/>
              <w:ind w:left="0" w:right="0"/>
              <w:jc w:val="center"/>
              <w:rPr>
                <w:rFonts w:hint="eastAsia" w:eastAsia="宋体"/>
                <w:b/>
                <w:color w:val="FF0000"/>
                <w:sz w:val="20"/>
                <w:szCs w:val="20"/>
                <w:highlight w:val="none"/>
                <w:lang w:eastAsia="zh-CN"/>
              </w:rPr>
            </w:pPr>
            <w:r>
              <w:rPr>
                <w:rFonts w:hint="default" w:ascii="Times New Roman" w:hAnsi="Times New Roman" w:cs="Times New Roman"/>
                <w:color w:val="FF0000"/>
                <w:sz w:val="21"/>
                <w:szCs w:val="21"/>
                <w:highlight w:val="none"/>
              </w:rPr>
              <w:t>X</w:t>
            </w:r>
          </w:p>
        </w:tc>
        <w:tc>
          <w:tcPr>
            <w:tcW w:w="560" w:type="pct"/>
            <w:noWrap w:val="0"/>
            <w:vAlign w:val="center"/>
          </w:tcPr>
          <w:p>
            <w:pPr>
              <w:keepNext w:val="0"/>
              <w:keepLines w:val="0"/>
              <w:suppressLineNumbers w:val="0"/>
              <w:spacing w:before="0" w:beforeAutospacing="0" w:after="0" w:afterAutospacing="0"/>
              <w:ind w:left="0" w:right="0"/>
              <w:jc w:val="center"/>
              <w:rPr>
                <w:rFonts w:hint="default" w:eastAsia="宋体"/>
                <w:b/>
                <w:color w:val="FF0000"/>
                <w:sz w:val="20"/>
                <w:szCs w:val="20"/>
                <w:highlight w:val="none"/>
                <w:lang w:val="en-US" w:eastAsia="zh-CN"/>
              </w:rPr>
            </w:pPr>
            <w:r>
              <w:rPr>
                <w:rFonts w:hint="default" w:ascii="Times New Roman" w:hAnsi="Times New Roman" w:cs="Times New Roman"/>
                <w:color w:val="FF0000"/>
                <w:sz w:val="21"/>
                <w:szCs w:val="21"/>
                <w:highlight w:val="none"/>
              </w:rPr>
              <w:t>Y</w:t>
            </w:r>
          </w:p>
        </w:tc>
        <w:tc>
          <w:tcPr>
            <w:tcW w:w="462" w:type="pct"/>
            <w:vMerge w:val="continue"/>
            <w:noWrap w:val="0"/>
            <w:vAlign w:val="center"/>
          </w:tcPr>
          <w:p>
            <w:pPr>
              <w:keepNext w:val="0"/>
              <w:keepLines w:val="0"/>
              <w:suppressLineNumbers w:val="0"/>
              <w:adjustRightInd w:val="0"/>
              <w:snapToGrid w:val="0"/>
              <w:spacing w:before="0" w:beforeAutospacing="0" w:after="0" w:afterAutospacing="0"/>
              <w:ind w:left="0" w:right="0"/>
              <w:jc w:val="center"/>
              <w:rPr>
                <w:b/>
                <w:color w:val="FF0000"/>
                <w:sz w:val="20"/>
                <w:szCs w:val="20"/>
                <w:highlight w:val="none"/>
              </w:rPr>
            </w:pPr>
          </w:p>
        </w:tc>
        <w:tc>
          <w:tcPr>
            <w:tcW w:w="420" w:type="pct"/>
            <w:vMerge w:val="continue"/>
            <w:noWrap w:val="0"/>
            <w:vAlign w:val="center"/>
          </w:tcPr>
          <w:p>
            <w:pPr>
              <w:keepNext w:val="0"/>
              <w:keepLines w:val="0"/>
              <w:suppressLineNumbers w:val="0"/>
              <w:adjustRightInd w:val="0"/>
              <w:snapToGrid w:val="0"/>
              <w:spacing w:before="0" w:beforeAutospacing="0" w:after="0" w:afterAutospacing="0"/>
              <w:ind w:left="0" w:right="0"/>
              <w:jc w:val="center"/>
              <w:rPr>
                <w:b/>
                <w:color w:val="FF0000"/>
                <w:sz w:val="20"/>
                <w:szCs w:val="20"/>
                <w:highlight w:val="none"/>
              </w:rPr>
            </w:pPr>
          </w:p>
        </w:tc>
        <w:tc>
          <w:tcPr>
            <w:tcW w:w="530" w:type="pct"/>
            <w:vMerge w:val="continue"/>
            <w:noWrap w:val="0"/>
            <w:vAlign w:val="center"/>
          </w:tcPr>
          <w:p>
            <w:pPr>
              <w:keepNext w:val="0"/>
              <w:keepLines w:val="0"/>
              <w:suppressLineNumbers w:val="0"/>
              <w:adjustRightInd w:val="0"/>
              <w:snapToGrid w:val="0"/>
              <w:spacing w:before="0" w:beforeAutospacing="0" w:after="0" w:afterAutospacing="0"/>
              <w:ind w:left="0" w:right="0"/>
              <w:jc w:val="center"/>
              <w:rPr>
                <w:b/>
                <w:color w:val="FF0000"/>
                <w:sz w:val="20"/>
                <w:szCs w:val="20"/>
                <w:highlight w:val="none"/>
              </w:rPr>
            </w:pPr>
          </w:p>
        </w:tc>
        <w:tc>
          <w:tcPr>
            <w:tcW w:w="490" w:type="pct"/>
            <w:vMerge w:val="continue"/>
            <w:noWrap w:val="0"/>
            <w:vAlign w:val="center"/>
          </w:tcPr>
          <w:p>
            <w:pPr>
              <w:keepNext w:val="0"/>
              <w:keepLines w:val="0"/>
              <w:suppressLineNumbers w:val="0"/>
              <w:adjustRightInd w:val="0"/>
              <w:snapToGrid w:val="0"/>
              <w:spacing w:before="0" w:beforeAutospacing="0" w:after="0" w:afterAutospacing="0"/>
              <w:ind w:left="0" w:right="0"/>
              <w:jc w:val="center"/>
              <w:rPr>
                <w:b/>
                <w:color w:val="FF0000"/>
                <w:sz w:val="20"/>
                <w:szCs w:val="20"/>
                <w:highlight w:val="none"/>
              </w:rPr>
            </w:pPr>
          </w:p>
        </w:tc>
        <w:tc>
          <w:tcPr>
            <w:tcW w:w="574" w:type="pct"/>
            <w:vMerge w:val="continue"/>
            <w:noWrap w:val="0"/>
            <w:vAlign w:val="center"/>
          </w:tcPr>
          <w:p>
            <w:pPr>
              <w:keepNext w:val="0"/>
              <w:keepLines w:val="0"/>
              <w:suppressLineNumbers w:val="0"/>
              <w:adjustRightInd w:val="0"/>
              <w:snapToGrid w:val="0"/>
              <w:spacing w:before="0" w:beforeAutospacing="0" w:after="0" w:afterAutospacing="0"/>
              <w:ind w:left="0" w:right="0"/>
              <w:jc w:val="center"/>
              <w:rPr>
                <w:b/>
                <w:color w:val="FF0000"/>
                <w:sz w:val="20"/>
                <w:szCs w:val="20"/>
                <w:highlight w:val="none"/>
              </w:rPr>
            </w:pPr>
          </w:p>
        </w:tc>
        <w:tc>
          <w:tcPr>
            <w:tcW w:w="330" w:type="pct"/>
            <w:vMerge w:val="continue"/>
            <w:noWrap w:val="0"/>
            <w:vAlign w:val="center"/>
          </w:tcPr>
          <w:p>
            <w:pPr>
              <w:keepNext w:val="0"/>
              <w:keepLines w:val="0"/>
              <w:suppressLineNumbers w:val="0"/>
              <w:adjustRightInd w:val="0"/>
              <w:snapToGrid w:val="0"/>
              <w:spacing w:before="0" w:beforeAutospacing="0" w:after="0" w:afterAutospacing="0"/>
              <w:ind w:left="0" w:right="0"/>
              <w:jc w:val="center"/>
              <w:rPr>
                <w:b/>
                <w:color w:val="FF0000"/>
                <w:sz w:val="20"/>
                <w:szCs w:val="20"/>
                <w:highlight w:val="none"/>
              </w:rPr>
            </w:pPr>
          </w:p>
        </w:tc>
      </w:tr>
      <w:tr>
        <w:tblPrEx>
          <w:tblBorders>
            <w:top w:val="thinThickSmallGap" w:color="auto" w:sz="12" w:space="0"/>
            <w:left w:val="none" w:color="auto" w:sz="0" w:space="0"/>
            <w:bottom w:val="thinThickSmallGap"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474" w:type="pct"/>
            <w:vMerge w:val="continue"/>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p>
        </w:tc>
        <w:tc>
          <w:tcPr>
            <w:tcW w:w="608" w:type="pct"/>
            <w:noWrap w:val="0"/>
            <w:vAlign w:val="center"/>
          </w:tcPr>
          <w:p>
            <w:pPr>
              <w:keepNext w:val="0"/>
              <w:keepLines w:val="0"/>
              <w:widowControl/>
              <w:suppressLineNumbers w:val="0"/>
              <w:adjustRightInd w:val="0"/>
              <w:snapToGrid w:val="0"/>
              <w:spacing w:before="0" w:beforeAutospacing="0" w:after="0" w:afterAutospacing="0"/>
              <w:ind w:left="0" w:right="0"/>
              <w:jc w:val="center"/>
              <w:rPr>
                <w:color w:val="FF0000"/>
                <w:kern w:val="0"/>
                <w:sz w:val="20"/>
                <w:szCs w:val="20"/>
                <w:highlight w:val="none"/>
              </w:rPr>
            </w:pPr>
            <w:r>
              <w:rPr>
                <w:color w:val="FF0000"/>
                <w:kern w:val="0"/>
                <w:sz w:val="20"/>
                <w:szCs w:val="20"/>
                <w:highlight w:val="none"/>
              </w:rPr>
              <w:t>郁存仁中医</w:t>
            </w:r>
            <w:r>
              <w:rPr>
                <w:rFonts w:hint="eastAsia"/>
                <w:color w:val="FF0000"/>
                <w:kern w:val="0"/>
                <w:sz w:val="20"/>
                <w:szCs w:val="20"/>
                <w:highlight w:val="none"/>
              </w:rPr>
              <w:t>医</w:t>
            </w:r>
            <w:r>
              <w:rPr>
                <w:color w:val="FF0000"/>
                <w:kern w:val="0"/>
                <w:sz w:val="20"/>
                <w:szCs w:val="20"/>
                <w:highlight w:val="none"/>
              </w:rPr>
              <w:t>院</w:t>
            </w:r>
          </w:p>
        </w:tc>
        <w:tc>
          <w:tcPr>
            <w:tcW w:w="545" w:type="pct"/>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Cs/>
                <w:color w:val="FF0000"/>
                <w:sz w:val="20"/>
                <w:szCs w:val="20"/>
                <w:highlight w:val="none"/>
                <w:lang w:val="en-US" w:eastAsia="zh-CN"/>
              </w:rPr>
            </w:pPr>
            <w:r>
              <w:rPr>
                <w:rFonts w:hint="eastAsia" w:ascii="Times New Roman" w:hAnsi="Times New Roman" w:cs="Times New Roman"/>
                <w:bCs/>
                <w:color w:val="FF0000"/>
                <w:sz w:val="20"/>
                <w:szCs w:val="20"/>
                <w:highlight w:val="none"/>
                <w:lang w:val="en-US" w:eastAsia="zh-CN"/>
              </w:rPr>
              <w:t>470</w:t>
            </w:r>
          </w:p>
        </w:tc>
        <w:tc>
          <w:tcPr>
            <w:tcW w:w="562" w:type="pct"/>
            <w:gridSpan w:val="2"/>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Times New Roman" w:hAnsi="Times New Roman" w:eastAsia="宋体" w:cs="Times New Roman"/>
                <w:bCs/>
                <w:color w:val="FF0000"/>
                <w:sz w:val="20"/>
                <w:szCs w:val="20"/>
                <w:highlight w:val="none"/>
                <w:lang w:val="en-US" w:eastAsia="zh-CN"/>
              </w:rPr>
            </w:pPr>
            <w:r>
              <w:rPr>
                <w:rFonts w:hint="eastAsia" w:ascii="Times New Roman" w:hAnsi="Times New Roman" w:cs="Times New Roman"/>
                <w:bCs/>
                <w:color w:val="FF0000"/>
                <w:sz w:val="20"/>
                <w:szCs w:val="20"/>
                <w:highlight w:val="none"/>
                <w:lang w:val="en-US" w:eastAsia="zh-CN"/>
              </w:rPr>
              <w:t>0</w:t>
            </w:r>
          </w:p>
        </w:tc>
        <w:tc>
          <w:tcPr>
            <w:tcW w:w="462" w:type="pct"/>
            <w:noWrap w:val="0"/>
            <w:vAlign w:val="center"/>
          </w:tcPr>
          <w:p>
            <w:pPr>
              <w:keepNext w:val="0"/>
              <w:keepLines w:val="0"/>
              <w:suppressLineNumbers w:val="0"/>
              <w:adjustRightInd w:val="0"/>
              <w:snapToGrid w:val="0"/>
              <w:spacing w:before="0" w:beforeAutospacing="0" w:after="0" w:afterAutospacing="0"/>
              <w:ind w:left="0" w:right="0"/>
              <w:jc w:val="center"/>
              <w:rPr>
                <w:bCs/>
                <w:color w:val="FF0000"/>
                <w:sz w:val="20"/>
                <w:szCs w:val="20"/>
                <w:highlight w:val="none"/>
              </w:rPr>
            </w:pPr>
            <w:r>
              <w:rPr>
                <w:bCs/>
                <w:color w:val="FF0000"/>
                <w:sz w:val="20"/>
                <w:szCs w:val="20"/>
                <w:highlight w:val="none"/>
              </w:rPr>
              <w:t>医院</w:t>
            </w:r>
          </w:p>
        </w:tc>
        <w:tc>
          <w:tcPr>
            <w:tcW w:w="420" w:type="pct"/>
            <w:noWrap w:val="0"/>
            <w:vAlign w:val="center"/>
          </w:tcPr>
          <w:p>
            <w:pPr>
              <w:keepNext w:val="0"/>
              <w:keepLines w:val="0"/>
              <w:suppressLineNumbers w:val="0"/>
              <w:adjustRightInd w:val="0"/>
              <w:snapToGrid w:val="0"/>
              <w:spacing w:before="0" w:beforeAutospacing="0" w:after="0" w:afterAutospacing="0"/>
              <w:ind w:left="0" w:right="0"/>
              <w:jc w:val="center"/>
              <w:rPr>
                <w:bCs/>
                <w:color w:val="FF0000"/>
                <w:sz w:val="20"/>
                <w:szCs w:val="20"/>
                <w:highlight w:val="none"/>
              </w:rPr>
            </w:pPr>
            <w:r>
              <w:rPr>
                <w:bCs/>
                <w:color w:val="FF0000"/>
                <w:sz w:val="20"/>
                <w:szCs w:val="20"/>
                <w:highlight w:val="none"/>
              </w:rPr>
              <w:t>人群</w:t>
            </w:r>
          </w:p>
        </w:tc>
        <w:tc>
          <w:tcPr>
            <w:tcW w:w="530" w:type="pct"/>
            <w:noWrap w:val="0"/>
            <w:vAlign w:val="center"/>
          </w:tcPr>
          <w:p>
            <w:pPr>
              <w:keepNext w:val="0"/>
              <w:keepLines w:val="0"/>
              <w:suppressLineNumbers w:val="0"/>
              <w:adjustRightInd w:val="0"/>
              <w:snapToGrid w:val="0"/>
              <w:spacing w:before="0" w:beforeAutospacing="0" w:after="0" w:afterAutospacing="0"/>
              <w:ind w:left="0" w:right="0"/>
              <w:jc w:val="center"/>
              <w:rPr>
                <w:bCs/>
                <w:color w:val="FF0000"/>
                <w:sz w:val="20"/>
                <w:szCs w:val="20"/>
                <w:highlight w:val="none"/>
              </w:rPr>
            </w:pPr>
            <w:r>
              <w:rPr>
                <w:bCs/>
                <w:color w:val="FF0000"/>
                <w:sz w:val="20"/>
                <w:szCs w:val="20"/>
                <w:highlight w:val="none"/>
              </w:rPr>
              <w:t>二类区</w:t>
            </w:r>
          </w:p>
        </w:tc>
        <w:tc>
          <w:tcPr>
            <w:tcW w:w="490" w:type="pct"/>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r>
              <w:rPr>
                <w:bCs/>
                <w:color w:val="FF0000"/>
                <w:sz w:val="20"/>
                <w:szCs w:val="20"/>
                <w:highlight w:val="none"/>
              </w:rPr>
              <w:t>E</w:t>
            </w:r>
          </w:p>
        </w:tc>
        <w:tc>
          <w:tcPr>
            <w:tcW w:w="574" w:type="pct"/>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r>
              <w:rPr>
                <w:bCs/>
                <w:color w:val="FF0000"/>
                <w:sz w:val="20"/>
                <w:szCs w:val="20"/>
                <w:highlight w:val="none"/>
              </w:rPr>
              <w:t>470</w:t>
            </w:r>
          </w:p>
        </w:tc>
        <w:tc>
          <w:tcPr>
            <w:tcW w:w="330" w:type="pct"/>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r>
              <w:rPr>
                <w:bCs/>
                <w:color w:val="FF0000"/>
                <w:sz w:val="20"/>
                <w:szCs w:val="20"/>
                <w:highlight w:val="none"/>
              </w:rPr>
              <w:t>80人</w:t>
            </w:r>
          </w:p>
        </w:tc>
      </w:tr>
      <w:tr>
        <w:tblPrEx>
          <w:tblBorders>
            <w:top w:val="thinThickSmallGap" w:color="auto" w:sz="12" w:space="0"/>
            <w:left w:val="none" w:color="auto" w:sz="0" w:space="0"/>
            <w:bottom w:val="thinThickSmallGap"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474" w:type="pct"/>
            <w:vMerge w:val="continue"/>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p>
        </w:tc>
        <w:tc>
          <w:tcPr>
            <w:tcW w:w="608" w:type="pct"/>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default" w:eastAsia="宋体"/>
                <w:color w:val="FF0000"/>
                <w:kern w:val="0"/>
                <w:sz w:val="20"/>
                <w:szCs w:val="20"/>
                <w:highlight w:val="none"/>
                <w:lang w:val="en-US" w:eastAsia="zh-CN"/>
              </w:rPr>
            </w:pPr>
            <w:r>
              <w:rPr>
                <w:rFonts w:hint="eastAsia"/>
                <w:color w:val="FF0000"/>
                <w:kern w:val="0"/>
                <w:sz w:val="20"/>
                <w:szCs w:val="20"/>
                <w:highlight w:val="none"/>
                <w:lang w:val="en-US" w:eastAsia="zh-CN"/>
              </w:rPr>
              <w:t>土垄小区</w:t>
            </w:r>
          </w:p>
        </w:tc>
        <w:tc>
          <w:tcPr>
            <w:tcW w:w="545" w:type="pct"/>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bCs/>
                <w:color w:val="FF0000"/>
                <w:sz w:val="20"/>
                <w:szCs w:val="20"/>
                <w:highlight w:val="none"/>
                <w:lang w:val="en-US" w:eastAsia="zh-CN"/>
              </w:rPr>
            </w:pPr>
            <w:r>
              <w:rPr>
                <w:rFonts w:hint="eastAsia" w:ascii="Times New Roman" w:hAnsi="Times New Roman" w:cs="Times New Roman"/>
                <w:bCs/>
                <w:color w:val="FF0000"/>
                <w:sz w:val="20"/>
                <w:szCs w:val="20"/>
                <w:highlight w:val="none"/>
                <w:lang w:val="en-US" w:eastAsia="zh-CN"/>
              </w:rPr>
              <w:t>-292</w:t>
            </w:r>
          </w:p>
        </w:tc>
        <w:tc>
          <w:tcPr>
            <w:tcW w:w="562" w:type="pct"/>
            <w:gridSpan w:val="2"/>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bCs/>
                <w:color w:val="FF0000"/>
                <w:sz w:val="20"/>
                <w:szCs w:val="20"/>
                <w:highlight w:val="none"/>
                <w:lang w:val="en-US" w:eastAsia="zh-CN"/>
              </w:rPr>
            </w:pPr>
            <w:r>
              <w:rPr>
                <w:rFonts w:hint="eastAsia" w:ascii="Times New Roman" w:hAnsi="Times New Roman" w:cs="Times New Roman"/>
                <w:bCs/>
                <w:color w:val="FF0000"/>
                <w:sz w:val="20"/>
                <w:szCs w:val="20"/>
                <w:highlight w:val="none"/>
                <w:lang w:val="en-US" w:eastAsia="zh-CN"/>
              </w:rPr>
              <w:t>0</w:t>
            </w:r>
          </w:p>
        </w:tc>
        <w:tc>
          <w:tcPr>
            <w:tcW w:w="462" w:type="pct"/>
            <w:noWrap w:val="0"/>
            <w:vAlign w:val="center"/>
          </w:tcPr>
          <w:p>
            <w:pPr>
              <w:keepNext w:val="0"/>
              <w:keepLines w:val="0"/>
              <w:suppressLineNumbers w:val="0"/>
              <w:adjustRightInd w:val="0"/>
              <w:snapToGrid w:val="0"/>
              <w:spacing w:before="0" w:beforeAutospacing="0" w:after="0" w:afterAutospacing="0"/>
              <w:ind w:left="0" w:right="0"/>
              <w:jc w:val="center"/>
              <w:rPr>
                <w:rFonts w:hint="eastAsia" w:eastAsia="宋体"/>
                <w:bCs/>
                <w:color w:val="FF0000"/>
                <w:sz w:val="20"/>
                <w:szCs w:val="20"/>
                <w:highlight w:val="none"/>
                <w:lang w:val="en-US" w:eastAsia="zh-CN"/>
              </w:rPr>
            </w:pPr>
            <w:r>
              <w:rPr>
                <w:rFonts w:hint="eastAsia"/>
                <w:bCs/>
                <w:color w:val="FF0000"/>
                <w:sz w:val="20"/>
                <w:szCs w:val="20"/>
                <w:highlight w:val="none"/>
                <w:lang w:val="en-US" w:eastAsia="zh-CN"/>
              </w:rPr>
              <w:t>居民</w:t>
            </w:r>
          </w:p>
        </w:tc>
        <w:tc>
          <w:tcPr>
            <w:tcW w:w="420" w:type="pct"/>
            <w:noWrap w:val="0"/>
            <w:vAlign w:val="center"/>
          </w:tcPr>
          <w:p>
            <w:pPr>
              <w:keepNext w:val="0"/>
              <w:keepLines w:val="0"/>
              <w:suppressLineNumbers w:val="0"/>
              <w:adjustRightInd w:val="0"/>
              <w:snapToGrid w:val="0"/>
              <w:spacing w:before="0" w:beforeAutospacing="0" w:after="0" w:afterAutospacing="0"/>
              <w:ind w:left="0" w:right="0"/>
              <w:jc w:val="center"/>
              <w:rPr>
                <w:bCs/>
                <w:color w:val="FF0000"/>
                <w:sz w:val="20"/>
                <w:szCs w:val="20"/>
                <w:highlight w:val="none"/>
              </w:rPr>
            </w:pPr>
            <w:r>
              <w:rPr>
                <w:bCs/>
                <w:color w:val="FF0000"/>
                <w:sz w:val="20"/>
                <w:szCs w:val="20"/>
                <w:highlight w:val="none"/>
              </w:rPr>
              <w:t>人群</w:t>
            </w:r>
          </w:p>
        </w:tc>
        <w:tc>
          <w:tcPr>
            <w:tcW w:w="530" w:type="pct"/>
            <w:noWrap w:val="0"/>
            <w:vAlign w:val="center"/>
          </w:tcPr>
          <w:p>
            <w:pPr>
              <w:keepNext w:val="0"/>
              <w:keepLines w:val="0"/>
              <w:suppressLineNumbers w:val="0"/>
              <w:adjustRightInd w:val="0"/>
              <w:snapToGrid w:val="0"/>
              <w:spacing w:before="0" w:beforeAutospacing="0" w:after="0" w:afterAutospacing="0"/>
              <w:ind w:left="0" w:right="0"/>
              <w:jc w:val="center"/>
              <w:rPr>
                <w:bCs/>
                <w:color w:val="FF0000"/>
                <w:kern w:val="2"/>
                <w:sz w:val="20"/>
                <w:szCs w:val="20"/>
                <w:highlight w:val="none"/>
                <w:lang w:val="en-US" w:eastAsia="zh-CN" w:bidi="ar-SA"/>
              </w:rPr>
            </w:pPr>
            <w:r>
              <w:rPr>
                <w:bCs/>
                <w:color w:val="FF0000"/>
                <w:sz w:val="20"/>
                <w:szCs w:val="20"/>
                <w:highlight w:val="none"/>
              </w:rPr>
              <w:t>二类区</w:t>
            </w:r>
          </w:p>
        </w:tc>
        <w:tc>
          <w:tcPr>
            <w:tcW w:w="490" w:type="pct"/>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eastAsia="宋体"/>
                <w:bCs/>
                <w:color w:val="FF0000"/>
                <w:sz w:val="20"/>
                <w:szCs w:val="20"/>
                <w:highlight w:val="none"/>
                <w:lang w:val="en-US" w:eastAsia="zh-CN"/>
              </w:rPr>
            </w:pPr>
            <w:r>
              <w:rPr>
                <w:rFonts w:hint="eastAsia"/>
                <w:bCs/>
                <w:color w:val="FF0000"/>
                <w:sz w:val="20"/>
                <w:szCs w:val="20"/>
                <w:highlight w:val="none"/>
                <w:lang w:val="en-US" w:eastAsia="zh-CN"/>
              </w:rPr>
              <w:t>W</w:t>
            </w:r>
          </w:p>
        </w:tc>
        <w:tc>
          <w:tcPr>
            <w:tcW w:w="574" w:type="pct"/>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default" w:eastAsia="宋体"/>
                <w:bCs/>
                <w:color w:val="FF0000"/>
                <w:sz w:val="20"/>
                <w:szCs w:val="20"/>
                <w:highlight w:val="none"/>
                <w:lang w:val="en-US" w:eastAsia="zh-CN"/>
              </w:rPr>
            </w:pPr>
            <w:r>
              <w:rPr>
                <w:rFonts w:hint="eastAsia"/>
                <w:bCs/>
                <w:color w:val="FF0000"/>
                <w:sz w:val="20"/>
                <w:szCs w:val="20"/>
                <w:highlight w:val="none"/>
                <w:lang w:val="en-US" w:eastAsia="zh-CN"/>
              </w:rPr>
              <w:t>292</w:t>
            </w:r>
          </w:p>
        </w:tc>
        <w:tc>
          <w:tcPr>
            <w:tcW w:w="330" w:type="pct"/>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default" w:eastAsia="宋体"/>
                <w:bCs/>
                <w:color w:val="FF0000"/>
                <w:sz w:val="20"/>
                <w:szCs w:val="20"/>
                <w:highlight w:val="none"/>
                <w:lang w:val="en-US" w:eastAsia="zh-CN"/>
              </w:rPr>
            </w:pPr>
            <w:r>
              <w:rPr>
                <w:rFonts w:hint="eastAsia"/>
                <w:bCs/>
                <w:color w:val="FF0000"/>
                <w:sz w:val="20"/>
                <w:szCs w:val="20"/>
                <w:highlight w:val="none"/>
                <w:lang w:val="en-US" w:eastAsia="zh-CN"/>
              </w:rPr>
              <w:t>250</w:t>
            </w:r>
            <w:r>
              <w:rPr>
                <w:bCs/>
                <w:color w:val="FF0000"/>
                <w:sz w:val="20"/>
                <w:szCs w:val="20"/>
                <w:highlight w:val="none"/>
              </w:rPr>
              <w:t>人</w:t>
            </w:r>
          </w:p>
        </w:tc>
      </w:tr>
      <w:tr>
        <w:tblPrEx>
          <w:tblBorders>
            <w:top w:val="thinThickSmallGap" w:color="auto" w:sz="12" w:space="0"/>
            <w:left w:val="none" w:color="auto" w:sz="0" w:space="0"/>
            <w:bottom w:val="thinThickSmallGap"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474" w:type="pct"/>
            <w:vMerge w:val="continue"/>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p>
        </w:tc>
        <w:tc>
          <w:tcPr>
            <w:tcW w:w="608" w:type="pct"/>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default"/>
                <w:color w:val="FF0000"/>
                <w:kern w:val="0"/>
                <w:sz w:val="20"/>
                <w:szCs w:val="20"/>
                <w:highlight w:val="none"/>
                <w:lang w:val="en-US" w:eastAsia="zh-CN"/>
              </w:rPr>
            </w:pPr>
            <w:r>
              <w:rPr>
                <w:rFonts w:hint="eastAsia"/>
                <w:color w:val="FF0000"/>
                <w:kern w:val="0"/>
                <w:sz w:val="20"/>
                <w:szCs w:val="20"/>
                <w:highlight w:val="none"/>
                <w:lang w:val="en-US" w:eastAsia="zh-CN"/>
              </w:rPr>
              <w:t>高速公路局</w:t>
            </w:r>
          </w:p>
        </w:tc>
        <w:tc>
          <w:tcPr>
            <w:tcW w:w="545" w:type="pct"/>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bCs/>
                <w:color w:val="FF0000"/>
                <w:sz w:val="20"/>
                <w:szCs w:val="20"/>
                <w:highlight w:val="none"/>
                <w:lang w:val="en-US" w:eastAsia="zh-CN"/>
              </w:rPr>
            </w:pPr>
            <w:r>
              <w:rPr>
                <w:rFonts w:hint="eastAsia" w:cs="Times New Roman"/>
                <w:bCs/>
                <w:color w:val="FF0000"/>
                <w:sz w:val="20"/>
                <w:szCs w:val="20"/>
                <w:highlight w:val="none"/>
                <w:lang w:val="en-US" w:eastAsia="zh-CN"/>
              </w:rPr>
              <w:t>-100</w:t>
            </w:r>
          </w:p>
        </w:tc>
        <w:tc>
          <w:tcPr>
            <w:tcW w:w="562" w:type="pct"/>
            <w:gridSpan w:val="2"/>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bCs/>
                <w:color w:val="FF0000"/>
                <w:sz w:val="20"/>
                <w:szCs w:val="20"/>
                <w:highlight w:val="none"/>
                <w:lang w:val="en-US" w:eastAsia="zh-CN"/>
              </w:rPr>
            </w:pPr>
            <w:r>
              <w:rPr>
                <w:rFonts w:hint="eastAsia" w:cs="Times New Roman"/>
                <w:bCs/>
                <w:color w:val="FF0000"/>
                <w:sz w:val="20"/>
                <w:szCs w:val="20"/>
                <w:highlight w:val="none"/>
                <w:lang w:val="en-US" w:eastAsia="zh-CN"/>
              </w:rPr>
              <w:t>-210</w:t>
            </w:r>
          </w:p>
        </w:tc>
        <w:tc>
          <w:tcPr>
            <w:tcW w:w="462" w:type="pct"/>
            <w:noWrap w:val="0"/>
            <w:vAlign w:val="center"/>
          </w:tcPr>
          <w:p>
            <w:pPr>
              <w:keepNext w:val="0"/>
              <w:keepLines w:val="0"/>
              <w:suppressLineNumbers w:val="0"/>
              <w:adjustRightInd w:val="0"/>
              <w:snapToGrid w:val="0"/>
              <w:spacing w:before="0" w:beforeAutospacing="0" w:after="0" w:afterAutospacing="0"/>
              <w:ind w:left="0" w:right="0"/>
              <w:jc w:val="center"/>
              <w:rPr>
                <w:rFonts w:hint="default"/>
                <w:bCs/>
                <w:color w:val="FF0000"/>
                <w:sz w:val="20"/>
                <w:szCs w:val="20"/>
                <w:highlight w:val="none"/>
                <w:lang w:val="en-US" w:eastAsia="zh-CN"/>
              </w:rPr>
            </w:pPr>
            <w:r>
              <w:rPr>
                <w:rFonts w:hint="eastAsia"/>
                <w:bCs/>
                <w:color w:val="FF0000"/>
                <w:sz w:val="20"/>
                <w:szCs w:val="20"/>
                <w:highlight w:val="none"/>
                <w:lang w:val="en-US" w:eastAsia="zh-CN"/>
              </w:rPr>
              <w:t>事业单位</w:t>
            </w:r>
          </w:p>
        </w:tc>
        <w:tc>
          <w:tcPr>
            <w:tcW w:w="420" w:type="pct"/>
            <w:noWrap w:val="0"/>
            <w:vAlign w:val="center"/>
          </w:tcPr>
          <w:p>
            <w:pPr>
              <w:keepNext w:val="0"/>
              <w:keepLines w:val="0"/>
              <w:suppressLineNumbers w:val="0"/>
              <w:adjustRightInd w:val="0"/>
              <w:snapToGrid w:val="0"/>
              <w:spacing w:before="0" w:beforeAutospacing="0" w:after="0" w:afterAutospacing="0"/>
              <w:ind w:left="0" w:leftChars="0" w:right="0" w:rightChars="0"/>
              <w:jc w:val="center"/>
              <w:rPr>
                <w:rFonts w:ascii="Times New Roman" w:hAnsi="Times New Roman" w:eastAsia="宋体" w:cs="Times New Roman"/>
                <w:bCs/>
                <w:color w:val="FF0000"/>
                <w:kern w:val="2"/>
                <w:sz w:val="20"/>
                <w:szCs w:val="20"/>
                <w:highlight w:val="none"/>
                <w:lang w:val="en-US" w:eastAsia="zh-CN" w:bidi="ar-SA"/>
              </w:rPr>
            </w:pPr>
            <w:r>
              <w:rPr>
                <w:bCs/>
                <w:color w:val="FF0000"/>
                <w:sz w:val="20"/>
                <w:szCs w:val="20"/>
                <w:highlight w:val="none"/>
              </w:rPr>
              <w:t>人群</w:t>
            </w:r>
          </w:p>
        </w:tc>
        <w:tc>
          <w:tcPr>
            <w:tcW w:w="530" w:type="pct"/>
            <w:noWrap w:val="0"/>
            <w:vAlign w:val="center"/>
          </w:tcPr>
          <w:p>
            <w:pPr>
              <w:keepNext w:val="0"/>
              <w:keepLines w:val="0"/>
              <w:suppressLineNumbers w:val="0"/>
              <w:adjustRightInd w:val="0"/>
              <w:snapToGrid w:val="0"/>
              <w:spacing w:before="0" w:beforeAutospacing="0" w:after="0" w:afterAutospacing="0"/>
              <w:ind w:left="0" w:leftChars="0" w:right="0" w:rightChars="0"/>
              <w:jc w:val="center"/>
              <w:rPr>
                <w:rFonts w:ascii="Times New Roman" w:hAnsi="Times New Roman" w:eastAsia="宋体" w:cs="Times New Roman"/>
                <w:bCs/>
                <w:color w:val="FF0000"/>
                <w:kern w:val="2"/>
                <w:sz w:val="20"/>
                <w:szCs w:val="20"/>
                <w:highlight w:val="none"/>
                <w:lang w:val="en-US" w:eastAsia="zh-CN" w:bidi="ar-SA"/>
              </w:rPr>
            </w:pPr>
            <w:r>
              <w:rPr>
                <w:bCs/>
                <w:color w:val="FF0000"/>
                <w:sz w:val="20"/>
                <w:szCs w:val="20"/>
                <w:highlight w:val="none"/>
              </w:rPr>
              <w:t>二类区</w:t>
            </w:r>
          </w:p>
        </w:tc>
        <w:tc>
          <w:tcPr>
            <w:tcW w:w="490" w:type="pct"/>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default"/>
                <w:bCs/>
                <w:color w:val="FF0000"/>
                <w:sz w:val="20"/>
                <w:szCs w:val="20"/>
                <w:highlight w:val="none"/>
                <w:lang w:val="en-US" w:eastAsia="zh-CN"/>
              </w:rPr>
            </w:pPr>
            <w:r>
              <w:rPr>
                <w:rFonts w:hint="eastAsia"/>
                <w:bCs/>
                <w:color w:val="FF0000"/>
                <w:sz w:val="20"/>
                <w:szCs w:val="20"/>
                <w:highlight w:val="none"/>
                <w:lang w:val="en-US" w:eastAsia="zh-CN"/>
              </w:rPr>
              <w:t>WS</w:t>
            </w:r>
          </w:p>
        </w:tc>
        <w:tc>
          <w:tcPr>
            <w:tcW w:w="574" w:type="pct"/>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default"/>
                <w:bCs/>
                <w:color w:val="FF0000"/>
                <w:sz w:val="20"/>
                <w:szCs w:val="20"/>
                <w:highlight w:val="none"/>
                <w:lang w:val="en-US" w:eastAsia="zh-CN"/>
              </w:rPr>
            </w:pPr>
            <w:r>
              <w:rPr>
                <w:rFonts w:hint="eastAsia"/>
                <w:bCs/>
                <w:color w:val="FF0000"/>
                <w:sz w:val="20"/>
                <w:szCs w:val="20"/>
                <w:highlight w:val="none"/>
                <w:lang w:val="en-US" w:eastAsia="zh-CN"/>
              </w:rPr>
              <w:t>199</w:t>
            </w:r>
          </w:p>
        </w:tc>
        <w:tc>
          <w:tcPr>
            <w:tcW w:w="330" w:type="pct"/>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bCs/>
                <w:color w:val="FF0000"/>
                <w:sz w:val="20"/>
                <w:szCs w:val="20"/>
                <w:highlight w:val="none"/>
                <w:lang w:val="en-US" w:eastAsia="zh-CN"/>
              </w:rPr>
            </w:pPr>
            <w:r>
              <w:rPr>
                <w:rFonts w:hint="eastAsia"/>
                <w:bCs/>
                <w:color w:val="FF0000"/>
                <w:sz w:val="20"/>
                <w:szCs w:val="20"/>
                <w:highlight w:val="none"/>
                <w:lang w:val="en-US" w:eastAsia="zh-CN"/>
              </w:rPr>
              <w:t>110</w:t>
            </w:r>
            <w:r>
              <w:rPr>
                <w:bCs/>
                <w:color w:val="FF0000"/>
                <w:sz w:val="20"/>
                <w:szCs w:val="20"/>
                <w:highlight w:val="none"/>
              </w:rPr>
              <w:t>人</w:t>
            </w:r>
          </w:p>
        </w:tc>
      </w:tr>
      <w:tr>
        <w:tblPrEx>
          <w:tblBorders>
            <w:top w:val="thinThickSmallGap" w:color="auto" w:sz="12" w:space="0"/>
            <w:left w:val="none" w:color="auto" w:sz="0" w:space="0"/>
            <w:bottom w:val="thinThickSmallGap"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474" w:type="pct"/>
            <w:vMerge w:val="continue"/>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p>
        </w:tc>
        <w:tc>
          <w:tcPr>
            <w:tcW w:w="608" w:type="pct"/>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default"/>
                <w:color w:val="FF0000"/>
                <w:kern w:val="0"/>
                <w:sz w:val="20"/>
                <w:szCs w:val="20"/>
                <w:highlight w:val="none"/>
                <w:lang w:val="en-US" w:eastAsia="zh-CN"/>
              </w:rPr>
            </w:pPr>
            <w:r>
              <w:rPr>
                <w:rFonts w:hint="eastAsia"/>
                <w:color w:val="FF0000"/>
                <w:kern w:val="0"/>
                <w:sz w:val="20"/>
                <w:szCs w:val="20"/>
                <w:highlight w:val="none"/>
                <w:lang w:val="en-US" w:eastAsia="zh-CN"/>
              </w:rPr>
              <w:t>景福花园</w:t>
            </w:r>
          </w:p>
        </w:tc>
        <w:tc>
          <w:tcPr>
            <w:tcW w:w="545" w:type="pct"/>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bCs/>
                <w:color w:val="FF0000"/>
                <w:sz w:val="20"/>
                <w:szCs w:val="20"/>
                <w:highlight w:val="none"/>
                <w:lang w:val="en-US" w:eastAsia="zh-CN"/>
              </w:rPr>
            </w:pPr>
            <w:r>
              <w:rPr>
                <w:rFonts w:hint="eastAsia" w:cs="Times New Roman"/>
                <w:bCs/>
                <w:color w:val="FF0000"/>
                <w:sz w:val="20"/>
                <w:szCs w:val="20"/>
                <w:highlight w:val="none"/>
                <w:lang w:val="en-US" w:eastAsia="zh-CN"/>
              </w:rPr>
              <w:t>0</w:t>
            </w:r>
          </w:p>
        </w:tc>
        <w:tc>
          <w:tcPr>
            <w:tcW w:w="562" w:type="pct"/>
            <w:gridSpan w:val="2"/>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bCs/>
                <w:color w:val="FF0000"/>
                <w:sz w:val="20"/>
                <w:szCs w:val="20"/>
                <w:highlight w:val="none"/>
                <w:lang w:val="en-US" w:eastAsia="zh-CN"/>
              </w:rPr>
            </w:pPr>
            <w:r>
              <w:rPr>
                <w:rFonts w:hint="eastAsia" w:cs="Times New Roman"/>
                <w:bCs/>
                <w:color w:val="FF0000"/>
                <w:sz w:val="20"/>
                <w:szCs w:val="20"/>
                <w:highlight w:val="none"/>
                <w:lang w:val="en-US" w:eastAsia="zh-CN"/>
              </w:rPr>
              <w:t>-712</w:t>
            </w:r>
          </w:p>
        </w:tc>
        <w:tc>
          <w:tcPr>
            <w:tcW w:w="462" w:type="pct"/>
            <w:noWrap w:val="0"/>
            <w:vAlign w:val="center"/>
          </w:tcPr>
          <w:p>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bCs/>
                <w:color w:val="FF0000"/>
                <w:kern w:val="2"/>
                <w:sz w:val="20"/>
                <w:szCs w:val="20"/>
                <w:highlight w:val="none"/>
                <w:lang w:val="en-US" w:eastAsia="zh-CN" w:bidi="ar-SA"/>
              </w:rPr>
            </w:pPr>
            <w:r>
              <w:rPr>
                <w:rFonts w:hint="eastAsia"/>
                <w:bCs/>
                <w:color w:val="FF0000"/>
                <w:sz w:val="20"/>
                <w:szCs w:val="20"/>
                <w:highlight w:val="none"/>
                <w:lang w:val="en-US" w:eastAsia="zh-CN"/>
              </w:rPr>
              <w:t>居民</w:t>
            </w:r>
          </w:p>
        </w:tc>
        <w:tc>
          <w:tcPr>
            <w:tcW w:w="420" w:type="pct"/>
            <w:noWrap w:val="0"/>
            <w:vAlign w:val="center"/>
          </w:tcPr>
          <w:p>
            <w:pPr>
              <w:keepNext w:val="0"/>
              <w:keepLines w:val="0"/>
              <w:suppressLineNumbers w:val="0"/>
              <w:adjustRightInd w:val="0"/>
              <w:snapToGrid w:val="0"/>
              <w:spacing w:before="0" w:beforeAutospacing="0" w:after="0" w:afterAutospacing="0"/>
              <w:ind w:left="0" w:leftChars="0" w:right="0" w:rightChars="0"/>
              <w:jc w:val="center"/>
              <w:rPr>
                <w:rFonts w:ascii="Times New Roman" w:hAnsi="Times New Roman" w:eastAsia="宋体" w:cs="Times New Roman"/>
                <w:bCs/>
                <w:color w:val="FF0000"/>
                <w:kern w:val="2"/>
                <w:sz w:val="20"/>
                <w:szCs w:val="20"/>
                <w:highlight w:val="none"/>
                <w:lang w:val="en-US" w:eastAsia="zh-CN" w:bidi="ar-SA"/>
              </w:rPr>
            </w:pPr>
            <w:r>
              <w:rPr>
                <w:bCs/>
                <w:color w:val="FF0000"/>
                <w:sz w:val="20"/>
                <w:szCs w:val="20"/>
                <w:highlight w:val="none"/>
              </w:rPr>
              <w:t>人群</w:t>
            </w:r>
          </w:p>
        </w:tc>
        <w:tc>
          <w:tcPr>
            <w:tcW w:w="530" w:type="pct"/>
            <w:noWrap w:val="0"/>
            <w:vAlign w:val="center"/>
          </w:tcPr>
          <w:p>
            <w:pPr>
              <w:keepNext w:val="0"/>
              <w:keepLines w:val="0"/>
              <w:suppressLineNumbers w:val="0"/>
              <w:adjustRightInd w:val="0"/>
              <w:snapToGrid w:val="0"/>
              <w:spacing w:before="0" w:beforeAutospacing="0" w:after="0" w:afterAutospacing="0"/>
              <w:ind w:left="0" w:leftChars="0" w:right="0" w:rightChars="0"/>
              <w:jc w:val="center"/>
              <w:rPr>
                <w:rFonts w:ascii="Times New Roman" w:hAnsi="Times New Roman" w:eastAsia="宋体" w:cs="Times New Roman"/>
                <w:bCs/>
                <w:color w:val="FF0000"/>
                <w:kern w:val="2"/>
                <w:sz w:val="20"/>
                <w:szCs w:val="20"/>
                <w:highlight w:val="none"/>
                <w:lang w:val="en-US" w:eastAsia="zh-CN" w:bidi="ar-SA"/>
              </w:rPr>
            </w:pPr>
            <w:r>
              <w:rPr>
                <w:bCs/>
                <w:color w:val="FF0000"/>
                <w:sz w:val="20"/>
                <w:szCs w:val="20"/>
                <w:highlight w:val="none"/>
              </w:rPr>
              <w:t>二类区</w:t>
            </w:r>
          </w:p>
        </w:tc>
        <w:tc>
          <w:tcPr>
            <w:tcW w:w="490" w:type="pct"/>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default"/>
                <w:bCs/>
                <w:color w:val="FF0000"/>
                <w:sz w:val="20"/>
                <w:szCs w:val="20"/>
                <w:highlight w:val="none"/>
                <w:lang w:val="en-US" w:eastAsia="zh-CN"/>
              </w:rPr>
            </w:pPr>
            <w:r>
              <w:rPr>
                <w:rFonts w:hint="eastAsia"/>
                <w:bCs/>
                <w:color w:val="FF0000"/>
                <w:sz w:val="20"/>
                <w:szCs w:val="20"/>
                <w:highlight w:val="none"/>
                <w:lang w:val="en-US" w:eastAsia="zh-CN"/>
              </w:rPr>
              <w:t>S</w:t>
            </w:r>
          </w:p>
        </w:tc>
        <w:tc>
          <w:tcPr>
            <w:tcW w:w="574" w:type="pct"/>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default"/>
                <w:bCs/>
                <w:color w:val="FF0000"/>
                <w:sz w:val="20"/>
                <w:szCs w:val="20"/>
                <w:highlight w:val="none"/>
                <w:lang w:val="en-US" w:eastAsia="zh-CN"/>
              </w:rPr>
            </w:pPr>
            <w:r>
              <w:rPr>
                <w:rFonts w:hint="eastAsia"/>
                <w:bCs/>
                <w:color w:val="FF0000"/>
                <w:sz w:val="20"/>
                <w:szCs w:val="20"/>
                <w:highlight w:val="none"/>
                <w:lang w:val="en-US" w:eastAsia="zh-CN"/>
              </w:rPr>
              <w:t>712</w:t>
            </w:r>
          </w:p>
        </w:tc>
        <w:tc>
          <w:tcPr>
            <w:tcW w:w="330" w:type="pct"/>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bCs/>
                <w:color w:val="FF0000"/>
                <w:sz w:val="20"/>
                <w:szCs w:val="20"/>
                <w:highlight w:val="none"/>
                <w:lang w:val="en-US" w:eastAsia="zh-CN"/>
              </w:rPr>
            </w:pPr>
            <w:r>
              <w:rPr>
                <w:rFonts w:hint="eastAsia"/>
                <w:bCs/>
                <w:color w:val="FF0000"/>
                <w:sz w:val="20"/>
                <w:szCs w:val="20"/>
                <w:highlight w:val="none"/>
                <w:lang w:val="en-US" w:eastAsia="zh-CN"/>
              </w:rPr>
              <w:t>880</w:t>
            </w:r>
            <w:r>
              <w:rPr>
                <w:bCs/>
                <w:color w:val="FF0000"/>
                <w:sz w:val="20"/>
                <w:szCs w:val="20"/>
                <w:highlight w:val="none"/>
              </w:rPr>
              <w:t>人</w:t>
            </w:r>
          </w:p>
        </w:tc>
      </w:tr>
      <w:tr>
        <w:tblPrEx>
          <w:tblBorders>
            <w:top w:val="thinThickSmallGap" w:color="auto" w:sz="12" w:space="0"/>
            <w:left w:val="none" w:color="auto" w:sz="0" w:space="0"/>
            <w:bottom w:val="thinThickSmallGap"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474" w:type="pct"/>
            <w:vMerge w:val="continue"/>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p>
        </w:tc>
        <w:tc>
          <w:tcPr>
            <w:tcW w:w="608" w:type="pct"/>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default"/>
                <w:color w:val="FF0000"/>
                <w:kern w:val="0"/>
                <w:sz w:val="20"/>
                <w:szCs w:val="20"/>
                <w:highlight w:val="none"/>
                <w:lang w:val="en-US" w:eastAsia="zh-CN"/>
              </w:rPr>
            </w:pPr>
            <w:r>
              <w:rPr>
                <w:rFonts w:hint="eastAsia"/>
                <w:color w:val="FF0000"/>
                <w:kern w:val="0"/>
                <w:sz w:val="20"/>
                <w:szCs w:val="20"/>
                <w:highlight w:val="none"/>
                <w:lang w:val="en-US" w:eastAsia="zh-CN"/>
              </w:rPr>
              <w:t>时代月城</w:t>
            </w:r>
          </w:p>
        </w:tc>
        <w:tc>
          <w:tcPr>
            <w:tcW w:w="545" w:type="pct"/>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bCs/>
                <w:color w:val="FF0000"/>
                <w:sz w:val="20"/>
                <w:szCs w:val="20"/>
                <w:highlight w:val="none"/>
                <w:lang w:val="en-US" w:eastAsia="zh-CN"/>
              </w:rPr>
            </w:pPr>
            <w:r>
              <w:rPr>
                <w:rFonts w:hint="eastAsia" w:cs="Times New Roman"/>
                <w:bCs/>
                <w:color w:val="FF0000"/>
                <w:sz w:val="20"/>
                <w:szCs w:val="20"/>
                <w:highlight w:val="none"/>
                <w:lang w:val="en-US" w:eastAsia="zh-CN"/>
              </w:rPr>
              <w:t>850</w:t>
            </w:r>
          </w:p>
        </w:tc>
        <w:tc>
          <w:tcPr>
            <w:tcW w:w="562" w:type="pct"/>
            <w:gridSpan w:val="2"/>
            <w:noWrap w:val="0"/>
            <w:vAlign w:val="center"/>
          </w:tcPr>
          <w:p>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bCs/>
                <w:color w:val="FF0000"/>
                <w:sz w:val="20"/>
                <w:szCs w:val="20"/>
                <w:highlight w:val="none"/>
                <w:lang w:val="en-US" w:eastAsia="zh-CN"/>
              </w:rPr>
            </w:pPr>
            <w:r>
              <w:rPr>
                <w:rFonts w:hint="eastAsia" w:cs="Times New Roman"/>
                <w:bCs/>
                <w:color w:val="FF0000"/>
                <w:sz w:val="20"/>
                <w:szCs w:val="20"/>
                <w:highlight w:val="none"/>
                <w:lang w:val="en-US" w:eastAsia="zh-CN"/>
              </w:rPr>
              <w:t>0</w:t>
            </w:r>
          </w:p>
        </w:tc>
        <w:tc>
          <w:tcPr>
            <w:tcW w:w="462" w:type="pct"/>
            <w:noWrap w:val="0"/>
            <w:vAlign w:val="center"/>
          </w:tcPr>
          <w:p>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bCs/>
                <w:color w:val="FF0000"/>
                <w:kern w:val="2"/>
                <w:sz w:val="20"/>
                <w:szCs w:val="20"/>
                <w:highlight w:val="none"/>
                <w:lang w:val="en-US" w:eastAsia="zh-CN" w:bidi="ar-SA"/>
              </w:rPr>
            </w:pPr>
            <w:r>
              <w:rPr>
                <w:rFonts w:hint="eastAsia"/>
                <w:bCs/>
                <w:color w:val="FF0000"/>
                <w:sz w:val="20"/>
                <w:szCs w:val="20"/>
                <w:highlight w:val="none"/>
                <w:lang w:val="en-US" w:eastAsia="zh-CN"/>
              </w:rPr>
              <w:t>居民</w:t>
            </w:r>
          </w:p>
        </w:tc>
        <w:tc>
          <w:tcPr>
            <w:tcW w:w="420" w:type="pct"/>
            <w:noWrap w:val="0"/>
            <w:vAlign w:val="center"/>
          </w:tcPr>
          <w:p>
            <w:pPr>
              <w:keepNext w:val="0"/>
              <w:keepLines w:val="0"/>
              <w:suppressLineNumbers w:val="0"/>
              <w:adjustRightInd w:val="0"/>
              <w:snapToGrid w:val="0"/>
              <w:spacing w:before="0" w:beforeAutospacing="0" w:after="0" w:afterAutospacing="0"/>
              <w:ind w:left="0" w:leftChars="0" w:right="0" w:rightChars="0"/>
              <w:jc w:val="center"/>
              <w:rPr>
                <w:rFonts w:ascii="Times New Roman" w:hAnsi="Times New Roman" w:eastAsia="宋体" w:cs="Times New Roman"/>
                <w:bCs/>
                <w:color w:val="FF0000"/>
                <w:kern w:val="2"/>
                <w:sz w:val="20"/>
                <w:szCs w:val="20"/>
                <w:highlight w:val="none"/>
                <w:lang w:val="en-US" w:eastAsia="zh-CN" w:bidi="ar-SA"/>
              </w:rPr>
            </w:pPr>
            <w:r>
              <w:rPr>
                <w:bCs/>
                <w:color w:val="FF0000"/>
                <w:sz w:val="20"/>
                <w:szCs w:val="20"/>
                <w:highlight w:val="none"/>
              </w:rPr>
              <w:t>人群</w:t>
            </w:r>
          </w:p>
        </w:tc>
        <w:tc>
          <w:tcPr>
            <w:tcW w:w="530" w:type="pct"/>
            <w:noWrap w:val="0"/>
            <w:vAlign w:val="center"/>
          </w:tcPr>
          <w:p>
            <w:pPr>
              <w:keepNext w:val="0"/>
              <w:keepLines w:val="0"/>
              <w:suppressLineNumbers w:val="0"/>
              <w:adjustRightInd w:val="0"/>
              <w:snapToGrid w:val="0"/>
              <w:spacing w:before="0" w:beforeAutospacing="0" w:after="0" w:afterAutospacing="0"/>
              <w:ind w:left="0" w:leftChars="0" w:right="0" w:rightChars="0"/>
              <w:jc w:val="center"/>
              <w:rPr>
                <w:rFonts w:ascii="Times New Roman" w:hAnsi="Times New Roman" w:eastAsia="宋体" w:cs="Times New Roman"/>
                <w:bCs/>
                <w:color w:val="FF0000"/>
                <w:kern w:val="2"/>
                <w:sz w:val="20"/>
                <w:szCs w:val="20"/>
                <w:highlight w:val="none"/>
                <w:lang w:val="en-US" w:eastAsia="zh-CN" w:bidi="ar-SA"/>
              </w:rPr>
            </w:pPr>
            <w:r>
              <w:rPr>
                <w:bCs/>
                <w:color w:val="FF0000"/>
                <w:sz w:val="20"/>
                <w:szCs w:val="20"/>
                <w:highlight w:val="none"/>
              </w:rPr>
              <w:t>二类区</w:t>
            </w:r>
          </w:p>
        </w:tc>
        <w:tc>
          <w:tcPr>
            <w:tcW w:w="490" w:type="pct"/>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default"/>
                <w:bCs/>
                <w:color w:val="FF0000"/>
                <w:sz w:val="20"/>
                <w:szCs w:val="20"/>
                <w:highlight w:val="none"/>
                <w:lang w:val="en-US" w:eastAsia="zh-CN"/>
              </w:rPr>
            </w:pPr>
            <w:r>
              <w:rPr>
                <w:rFonts w:hint="eastAsia"/>
                <w:bCs/>
                <w:color w:val="FF0000"/>
                <w:sz w:val="20"/>
                <w:szCs w:val="20"/>
                <w:highlight w:val="none"/>
                <w:lang w:val="en-US" w:eastAsia="zh-CN"/>
              </w:rPr>
              <w:t>E</w:t>
            </w:r>
          </w:p>
        </w:tc>
        <w:tc>
          <w:tcPr>
            <w:tcW w:w="574" w:type="pct"/>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default"/>
                <w:bCs/>
                <w:color w:val="FF0000"/>
                <w:sz w:val="20"/>
                <w:szCs w:val="20"/>
                <w:highlight w:val="none"/>
                <w:lang w:val="en-US" w:eastAsia="zh-CN"/>
              </w:rPr>
            </w:pPr>
            <w:r>
              <w:rPr>
                <w:rFonts w:hint="eastAsia"/>
                <w:bCs/>
                <w:color w:val="FF0000"/>
                <w:sz w:val="20"/>
                <w:szCs w:val="20"/>
                <w:highlight w:val="none"/>
                <w:lang w:val="en-US" w:eastAsia="zh-CN"/>
              </w:rPr>
              <w:t>850</w:t>
            </w:r>
          </w:p>
        </w:tc>
        <w:tc>
          <w:tcPr>
            <w:tcW w:w="330" w:type="pct"/>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bCs/>
                <w:color w:val="FF0000"/>
                <w:sz w:val="20"/>
                <w:szCs w:val="20"/>
                <w:highlight w:val="none"/>
                <w:lang w:val="en-US" w:eastAsia="zh-CN"/>
              </w:rPr>
            </w:pPr>
            <w:r>
              <w:rPr>
                <w:rFonts w:hint="eastAsia"/>
                <w:bCs/>
                <w:color w:val="FF0000"/>
                <w:sz w:val="20"/>
                <w:szCs w:val="20"/>
                <w:highlight w:val="none"/>
                <w:lang w:val="en-US" w:eastAsia="zh-CN"/>
              </w:rPr>
              <w:t>180</w:t>
            </w:r>
            <w:r>
              <w:rPr>
                <w:bCs/>
                <w:color w:val="FF0000"/>
                <w:sz w:val="20"/>
                <w:szCs w:val="20"/>
                <w:highlight w:val="none"/>
              </w:rPr>
              <w:t>人</w:t>
            </w:r>
          </w:p>
        </w:tc>
      </w:tr>
      <w:tr>
        <w:tblPrEx>
          <w:tblBorders>
            <w:top w:val="thinThickSmallGap" w:color="auto" w:sz="12" w:space="0"/>
            <w:left w:val="none" w:color="auto" w:sz="0" w:space="0"/>
            <w:bottom w:val="thinThickSmallGap"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474" w:type="pct"/>
            <w:vMerge w:val="continue"/>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p>
        </w:tc>
        <w:tc>
          <w:tcPr>
            <w:tcW w:w="608" w:type="pct"/>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eastAsia="宋体"/>
                <w:color w:val="FF0000"/>
                <w:kern w:val="0"/>
                <w:sz w:val="20"/>
                <w:szCs w:val="20"/>
                <w:highlight w:val="none"/>
                <w:lang w:val="en-US" w:eastAsia="zh-CN"/>
              </w:rPr>
            </w:pPr>
            <w:r>
              <w:rPr>
                <w:rFonts w:hint="eastAsia"/>
                <w:color w:val="FF0000"/>
                <w:kern w:val="0"/>
                <w:sz w:val="20"/>
                <w:szCs w:val="20"/>
                <w:highlight w:val="none"/>
                <w:lang w:val="en-US" w:eastAsia="zh-CN"/>
              </w:rPr>
              <w:t>北湖小区</w:t>
            </w:r>
          </w:p>
        </w:tc>
        <w:tc>
          <w:tcPr>
            <w:tcW w:w="545" w:type="pct"/>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Times New Roman" w:hAnsi="Times New Roman" w:eastAsia="宋体" w:cs="Times New Roman"/>
                <w:bCs/>
                <w:color w:val="FF0000"/>
                <w:kern w:val="2"/>
                <w:sz w:val="20"/>
                <w:szCs w:val="20"/>
                <w:highlight w:val="none"/>
                <w:lang w:val="en-US" w:eastAsia="zh-CN" w:bidi="ar-SA"/>
              </w:rPr>
            </w:pPr>
            <w:r>
              <w:rPr>
                <w:rFonts w:hint="eastAsia" w:ascii="Times New Roman" w:hAnsi="Times New Roman" w:cs="Times New Roman"/>
                <w:bCs/>
                <w:color w:val="FF0000"/>
                <w:sz w:val="20"/>
                <w:szCs w:val="20"/>
                <w:highlight w:val="none"/>
                <w:lang w:val="en-US" w:eastAsia="zh-CN"/>
              </w:rPr>
              <w:t>845</w:t>
            </w:r>
          </w:p>
        </w:tc>
        <w:tc>
          <w:tcPr>
            <w:tcW w:w="562" w:type="pct"/>
            <w:gridSpan w:val="2"/>
            <w:noWrap w:val="0"/>
            <w:vAlign w:val="center"/>
          </w:tcPr>
          <w:p>
            <w:pPr>
              <w:keepNext w:val="0"/>
              <w:keepLines w:val="0"/>
              <w:suppressLineNumbers w:val="0"/>
              <w:adjustRightInd w:val="0"/>
              <w:snapToGrid w:val="0"/>
              <w:spacing w:before="0" w:beforeAutospacing="0" w:after="0" w:afterAutospacing="0"/>
              <w:ind w:left="0" w:right="0"/>
              <w:jc w:val="center"/>
              <w:rPr>
                <w:rFonts w:hint="eastAsia" w:ascii="Times New Roman" w:hAnsi="Times New Roman" w:eastAsia="宋体" w:cs="Times New Roman"/>
                <w:bCs/>
                <w:color w:val="FF0000"/>
                <w:kern w:val="2"/>
                <w:sz w:val="20"/>
                <w:szCs w:val="20"/>
                <w:highlight w:val="none"/>
                <w:lang w:val="en-US" w:eastAsia="zh-CN" w:bidi="ar-SA"/>
              </w:rPr>
            </w:pPr>
            <w:r>
              <w:rPr>
                <w:rFonts w:hint="eastAsia" w:ascii="Times New Roman" w:hAnsi="Times New Roman" w:cs="Times New Roman"/>
                <w:bCs/>
                <w:color w:val="FF0000"/>
                <w:sz w:val="20"/>
                <w:szCs w:val="20"/>
                <w:highlight w:val="none"/>
                <w:lang w:val="en-US" w:eastAsia="zh-CN"/>
              </w:rPr>
              <w:t>-409</w:t>
            </w:r>
          </w:p>
        </w:tc>
        <w:tc>
          <w:tcPr>
            <w:tcW w:w="462" w:type="pct"/>
            <w:noWrap w:val="0"/>
            <w:vAlign w:val="center"/>
          </w:tcPr>
          <w:p>
            <w:pPr>
              <w:keepNext w:val="0"/>
              <w:keepLines w:val="0"/>
              <w:suppressLineNumbers w:val="0"/>
              <w:adjustRightInd w:val="0"/>
              <w:snapToGrid w:val="0"/>
              <w:spacing w:before="0" w:beforeAutospacing="0" w:after="0" w:afterAutospacing="0"/>
              <w:ind w:left="0" w:right="0"/>
              <w:jc w:val="center"/>
              <w:rPr>
                <w:rFonts w:hint="eastAsia" w:eastAsia="宋体"/>
                <w:bCs/>
                <w:color w:val="FF0000"/>
                <w:kern w:val="2"/>
                <w:sz w:val="20"/>
                <w:szCs w:val="20"/>
                <w:highlight w:val="none"/>
                <w:lang w:val="en-US" w:eastAsia="zh-CN" w:bidi="ar-SA"/>
              </w:rPr>
            </w:pPr>
            <w:r>
              <w:rPr>
                <w:rFonts w:hint="eastAsia"/>
                <w:bCs/>
                <w:color w:val="FF0000"/>
                <w:sz w:val="20"/>
                <w:szCs w:val="20"/>
                <w:highlight w:val="none"/>
                <w:lang w:val="en-US" w:eastAsia="zh-CN"/>
              </w:rPr>
              <w:t>居民</w:t>
            </w:r>
          </w:p>
        </w:tc>
        <w:tc>
          <w:tcPr>
            <w:tcW w:w="420" w:type="pct"/>
            <w:noWrap w:val="0"/>
            <w:vAlign w:val="center"/>
          </w:tcPr>
          <w:p>
            <w:pPr>
              <w:keepNext w:val="0"/>
              <w:keepLines w:val="0"/>
              <w:suppressLineNumbers w:val="0"/>
              <w:adjustRightInd w:val="0"/>
              <w:snapToGrid w:val="0"/>
              <w:spacing w:before="0" w:beforeAutospacing="0" w:after="0" w:afterAutospacing="0"/>
              <w:ind w:left="0" w:right="0"/>
              <w:jc w:val="center"/>
              <w:rPr>
                <w:bCs/>
                <w:color w:val="FF0000"/>
                <w:kern w:val="2"/>
                <w:sz w:val="20"/>
                <w:szCs w:val="20"/>
                <w:highlight w:val="none"/>
                <w:lang w:val="en-US" w:eastAsia="zh-CN" w:bidi="ar-SA"/>
              </w:rPr>
            </w:pPr>
            <w:r>
              <w:rPr>
                <w:bCs/>
                <w:color w:val="FF0000"/>
                <w:sz w:val="20"/>
                <w:szCs w:val="20"/>
                <w:highlight w:val="none"/>
              </w:rPr>
              <w:t>人群</w:t>
            </w:r>
          </w:p>
        </w:tc>
        <w:tc>
          <w:tcPr>
            <w:tcW w:w="530" w:type="pct"/>
            <w:noWrap w:val="0"/>
            <w:vAlign w:val="center"/>
          </w:tcPr>
          <w:p>
            <w:pPr>
              <w:keepNext w:val="0"/>
              <w:keepLines w:val="0"/>
              <w:suppressLineNumbers w:val="0"/>
              <w:adjustRightInd w:val="0"/>
              <w:snapToGrid w:val="0"/>
              <w:spacing w:before="0" w:beforeAutospacing="0" w:after="0" w:afterAutospacing="0"/>
              <w:ind w:left="0" w:right="0"/>
              <w:jc w:val="center"/>
              <w:rPr>
                <w:bCs/>
                <w:color w:val="FF0000"/>
                <w:kern w:val="2"/>
                <w:sz w:val="20"/>
                <w:szCs w:val="20"/>
                <w:highlight w:val="none"/>
                <w:lang w:val="en-US" w:eastAsia="zh-CN" w:bidi="ar-SA"/>
              </w:rPr>
            </w:pPr>
            <w:r>
              <w:rPr>
                <w:bCs/>
                <w:color w:val="FF0000"/>
                <w:sz w:val="20"/>
                <w:szCs w:val="20"/>
                <w:highlight w:val="none"/>
              </w:rPr>
              <w:t>二类区</w:t>
            </w:r>
          </w:p>
        </w:tc>
        <w:tc>
          <w:tcPr>
            <w:tcW w:w="490" w:type="pct"/>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default" w:eastAsia="宋体"/>
                <w:bCs/>
                <w:color w:val="FF0000"/>
                <w:sz w:val="20"/>
                <w:szCs w:val="20"/>
                <w:highlight w:val="none"/>
                <w:lang w:val="en-US" w:eastAsia="zh-CN"/>
              </w:rPr>
            </w:pPr>
            <w:r>
              <w:rPr>
                <w:rFonts w:hint="eastAsia"/>
                <w:bCs/>
                <w:color w:val="FF0000"/>
                <w:sz w:val="20"/>
                <w:szCs w:val="20"/>
                <w:highlight w:val="none"/>
                <w:lang w:val="en-US" w:eastAsia="zh-CN"/>
              </w:rPr>
              <w:t>ES</w:t>
            </w:r>
          </w:p>
        </w:tc>
        <w:tc>
          <w:tcPr>
            <w:tcW w:w="574" w:type="pct"/>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default" w:eastAsia="宋体"/>
                <w:bCs/>
                <w:color w:val="FF0000"/>
                <w:sz w:val="20"/>
                <w:szCs w:val="20"/>
                <w:highlight w:val="none"/>
                <w:lang w:val="en-US" w:eastAsia="zh-CN"/>
              </w:rPr>
            </w:pPr>
            <w:r>
              <w:rPr>
                <w:rFonts w:hint="eastAsia"/>
                <w:bCs/>
                <w:color w:val="FF0000"/>
                <w:sz w:val="20"/>
                <w:szCs w:val="20"/>
                <w:highlight w:val="none"/>
                <w:lang w:val="en-US" w:eastAsia="zh-CN"/>
              </w:rPr>
              <w:t>934</w:t>
            </w:r>
          </w:p>
        </w:tc>
        <w:tc>
          <w:tcPr>
            <w:tcW w:w="330" w:type="pct"/>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default" w:eastAsia="宋体"/>
                <w:bCs/>
                <w:color w:val="FF0000"/>
                <w:sz w:val="20"/>
                <w:szCs w:val="20"/>
                <w:highlight w:val="none"/>
                <w:lang w:val="en-US" w:eastAsia="zh-CN"/>
              </w:rPr>
            </w:pPr>
            <w:r>
              <w:rPr>
                <w:rFonts w:hint="eastAsia"/>
                <w:bCs/>
                <w:color w:val="FF0000"/>
                <w:sz w:val="20"/>
                <w:szCs w:val="20"/>
                <w:highlight w:val="none"/>
                <w:lang w:val="en-US" w:eastAsia="zh-CN"/>
              </w:rPr>
              <w:t>320</w:t>
            </w:r>
            <w:r>
              <w:rPr>
                <w:bCs/>
                <w:color w:val="FF0000"/>
                <w:sz w:val="20"/>
                <w:szCs w:val="20"/>
                <w:highlight w:val="none"/>
              </w:rPr>
              <w:t>人</w:t>
            </w:r>
          </w:p>
        </w:tc>
      </w:tr>
      <w:tr>
        <w:tblPrEx>
          <w:tblBorders>
            <w:top w:val="thinThickSmallGap" w:color="auto" w:sz="12" w:space="0"/>
            <w:left w:val="none" w:color="auto" w:sz="0" w:space="0"/>
            <w:bottom w:val="thinThickSmallGap"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74" w:type="pct"/>
            <w:vMerge w:val="restart"/>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r>
              <w:rPr>
                <w:bCs/>
                <w:color w:val="FF0000"/>
                <w:sz w:val="20"/>
                <w:szCs w:val="20"/>
                <w:highlight w:val="none"/>
              </w:rPr>
              <w:t>地表水环境</w:t>
            </w:r>
          </w:p>
        </w:tc>
        <w:tc>
          <w:tcPr>
            <w:tcW w:w="608" w:type="pct"/>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eastAsia="宋体"/>
                <w:bCs/>
                <w:color w:val="FF0000"/>
                <w:sz w:val="20"/>
                <w:szCs w:val="20"/>
                <w:highlight w:val="none"/>
                <w:lang w:val="en-US" w:eastAsia="zh-CN"/>
              </w:rPr>
            </w:pPr>
            <w:r>
              <w:rPr>
                <w:bCs/>
                <w:color w:val="FF0000"/>
                <w:sz w:val="20"/>
                <w:szCs w:val="20"/>
                <w:highlight w:val="none"/>
              </w:rPr>
              <w:t>袁</w:t>
            </w:r>
            <w:r>
              <w:rPr>
                <w:rFonts w:hint="eastAsia"/>
                <w:bCs/>
                <w:color w:val="FF0000"/>
                <w:sz w:val="20"/>
                <w:szCs w:val="20"/>
                <w:highlight w:val="none"/>
                <w:lang w:val="en-US" w:eastAsia="zh-CN"/>
              </w:rPr>
              <w:t>河</w:t>
            </w:r>
          </w:p>
        </w:tc>
        <w:tc>
          <w:tcPr>
            <w:tcW w:w="545" w:type="pct"/>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r>
              <w:rPr>
                <w:bCs/>
                <w:color w:val="FF0000"/>
                <w:sz w:val="20"/>
                <w:szCs w:val="20"/>
                <w:highlight w:val="none"/>
              </w:rPr>
              <w:t>/</w:t>
            </w:r>
          </w:p>
        </w:tc>
        <w:tc>
          <w:tcPr>
            <w:tcW w:w="562" w:type="pct"/>
            <w:gridSpan w:val="2"/>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r>
              <w:rPr>
                <w:bCs/>
                <w:color w:val="FF0000"/>
                <w:sz w:val="20"/>
                <w:szCs w:val="20"/>
                <w:highlight w:val="none"/>
              </w:rPr>
              <w:t>/</w:t>
            </w:r>
          </w:p>
        </w:tc>
        <w:tc>
          <w:tcPr>
            <w:tcW w:w="462" w:type="pct"/>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r>
              <w:rPr>
                <w:bCs/>
                <w:color w:val="FF0000"/>
                <w:sz w:val="20"/>
                <w:szCs w:val="20"/>
                <w:highlight w:val="none"/>
              </w:rPr>
              <w:t>地</w:t>
            </w:r>
            <w:r>
              <w:rPr>
                <w:rFonts w:hint="eastAsia"/>
                <w:bCs/>
                <w:color w:val="FF0000"/>
                <w:sz w:val="20"/>
                <w:szCs w:val="20"/>
                <w:highlight w:val="none"/>
              </w:rPr>
              <w:t>下</w:t>
            </w:r>
            <w:r>
              <w:rPr>
                <w:bCs/>
                <w:color w:val="FF0000"/>
                <w:sz w:val="20"/>
                <w:szCs w:val="20"/>
                <w:highlight w:val="none"/>
              </w:rPr>
              <w:t>水</w:t>
            </w:r>
          </w:p>
        </w:tc>
        <w:tc>
          <w:tcPr>
            <w:tcW w:w="420" w:type="pct"/>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r>
              <w:rPr>
                <w:bCs/>
                <w:color w:val="FF0000"/>
                <w:sz w:val="20"/>
                <w:szCs w:val="20"/>
                <w:highlight w:val="none"/>
              </w:rPr>
              <w:t>水质</w:t>
            </w:r>
          </w:p>
        </w:tc>
        <w:tc>
          <w:tcPr>
            <w:tcW w:w="530" w:type="pct"/>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r>
              <w:rPr>
                <w:bCs/>
                <w:color w:val="FF0000"/>
                <w:sz w:val="20"/>
                <w:szCs w:val="20"/>
                <w:highlight w:val="none"/>
              </w:rPr>
              <w:t>Ⅲ类</w:t>
            </w:r>
          </w:p>
        </w:tc>
        <w:tc>
          <w:tcPr>
            <w:tcW w:w="490" w:type="pct"/>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r>
              <w:rPr>
                <w:bCs/>
                <w:color w:val="FF0000"/>
                <w:sz w:val="20"/>
                <w:szCs w:val="20"/>
                <w:highlight w:val="none"/>
              </w:rPr>
              <w:t>SE</w:t>
            </w:r>
          </w:p>
        </w:tc>
        <w:tc>
          <w:tcPr>
            <w:tcW w:w="574" w:type="pct"/>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r>
              <w:rPr>
                <w:bCs/>
                <w:color w:val="FF0000"/>
                <w:sz w:val="20"/>
                <w:szCs w:val="20"/>
                <w:highlight w:val="none"/>
              </w:rPr>
              <w:t>1500</w:t>
            </w:r>
          </w:p>
        </w:tc>
        <w:tc>
          <w:tcPr>
            <w:tcW w:w="330" w:type="pct"/>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r>
              <w:rPr>
                <w:bCs/>
                <w:color w:val="FF0000"/>
                <w:sz w:val="20"/>
                <w:szCs w:val="20"/>
                <w:highlight w:val="none"/>
              </w:rPr>
              <w:t>中河</w:t>
            </w:r>
          </w:p>
        </w:tc>
      </w:tr>
      <w:tr>
        <w:tblPrEx>
          <w:tblBorders>
            <w:top w:val="thinThickSmallGap" w:color="auto" w:sz="12" w:space="0"/>
            <w:left w:val="none" w:color="auto" w:sz="0" w:space="0"/>
            <w:bottom w:val="thinThickSmallGap"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74" w:type="pct"/>
            <w:vMerge w:val="continue"/>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p>
        </w:tc>
        <w:tc>
          <w:tcPr>
            <w:tcW w:w="608" w:type="pct"/>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r>
              <w:rPr>
                <w:bCs/>
                <w:color w:val="FF0000"/>
                <w:sz w:val="20"/>
                <w:szCs w:val="20"/>
                <w:highlight w:val="none"/>
              </w:rPr>
              <w:t>渥江</w:t>
            </w:r>
          </w:p>
        </w:tc>
        <w:tc>
          <w:tcPr>
            <w:tcW w:w="545" w:type="pct"/>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r>
              <w:rPr>
                <w:bCs/>
                <w:color w:val="FF0000"/>
                <w:sz w:val="20"/>
                <w:szCs w:val="20"/>
                <w:highlight w:val="none"/>
              </w:rPr>
              <w:t>/</w:t>
            </w:r>
          </w:p>
        </w:tc>
        <w:tc>
          <w:tcPr>
            <w:tcW w:w="562" w:type="pct"/>
            <w:gridSpan w:val="2"/>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r>
              <w:rPr>
                <w:bCs/>
                <w:color w:val="FF0000"/>
                <w:sz w:val="20"/>
                <w:szCs w:val="20"/>
                <w:highlight w:val="none"/>
              </w:rPr>
              <w:t>/</w:t>
            </w:r>
          </w:p>
        </w:tc>
        <w:tc>
          <w:tcPr>
            <w:tcW w:w="462" w:type="pct"/>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r>
              <w:rPr>
                <w:bCs/>
                <w:color w:val="FF0000"/>
                <w:sz w:val="20"/>
                <w:szCs w:val="20"/>
                <w:highlight w:val="none"/>
              </w:rPr>
              <w:t>地表水</w:t>
            </w:r>
          </w:p>
        </w:tc>
        <w:tc>
          <w:tcPr>
            <w:tcW w:w="420" w:type="pct"/>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r>
              <w:rPr>
                <w:bCs/>
                <w:color w:val="FF0000"/>
                <w:sz w:val="20"/>
                <w:szCs w:val="20"/>
                <w:highlight w:val="none"/>
              </w:rPr>
              <w:t>水质</w:t>
            </w:r>
          </w:p>
        </w:tc>
        <w:tc>
          <w:tcPr>
            <w:tcW w:w="530" w:type="pct"/>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r>
              <w:rPr>
                <w:bCs/>
                <w:color w:val="FF0000"/>
                <w:sz w:val="20"/>
                <w:szCs w:val="20"/>
                <w:highlight w:val="none"/>
              </w:rPr>
              <w:t>Ⅲ类</w:t>
            </w:r>
          </w:p>
        </w:tc>
        <w:tc>
          <w:tcPr>
            <w:tcW w:w="490" w:type="pct"/>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r>
              <w:rPr>
                <w:bCs/>
                <w:color w:val="FF0000"/>
                <w:sz w:val="20"/>
                <w:szCs w:val="20"/>
                <w:highlight w:val="none"/>
              </w:rPr>
              <w:t>SE</w:t>
            </w:r>
          </w:p>
        </w:tc>
        <w:tc>
          <w:tcPr>
            <w:tcW w:w="574" w:type="pct"/>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r>
              <w:rPr>
                <w:bCs/>
                <w:color w:val="FF0000"/>
                <w:sz w:val="20"/>
                <w:szCs w:val="20"/>
                <w:highlight w:val="none"/>
              </w:rPr>
              <w:t>700</w:t>
            </w:r>
          </w:p>
        </w:tc>
        <w:tc>
          <w:tcPr>
            <w:tcW w:w="330" w:type="pct"/>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r>
              <w:rPr>
                <w:bCs/>
                <w:color w:val="FF0000"/>
                <w:sz w:val="20"/>
                <w:szCs w:val="20"/>
                <w:highlight w:val="none"/>
              </w:rPr>
              <w:t>小河</w:t>
            </w:r>
          </w:p>
        </w:tc>
      </w:tr>
      <w:tr>
        <w:tblPrEx>
          <w:tblBorders>
            <w:top w:val="thinThickSmallGap" w:color="auto" w:sz="12" w:space="0"/>
            <w:left w:val="none" w:color="auto" w:sz="0" w:space="0"/>
            <w:bottom w:val="thinThickSmallGap"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474" w:type="pct"/>
            <w:vMerge w:val="continue"/>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p>
        </w:tc>
        <w:tc>
          <w:tcPr>
            <w:tcW w:w="4525" w:type="pct"/>
            <w:gridSpan w:val="10"/>
            <w:noWrap w:val="0"/>
            <w:vAlign w:val="center"/>
          </w:tcPr>
          <w:p>
            <w:pPr>
              <w:keepNext w:val="0"/>
              <w:keepLines w:val="0"/>
              <w:widowControl/>
              <w:suppressLineNumbers w:val="0"/>
              <w:adjustRightInd w:val="0"/>
              <w:snapToGrid w:val="0"/>
              <w:spacing w:before="0" w:beforeAutospacing="0" w:after="0" w:afterAutospacing="0"/>
              <w:ind w:left="0" w:right="0"/>
              <w:jc w:val="center"/>
              <w:rPr>
                <w:bCs/>
                <w:color w:val="FF0000"/>
                <w:sz w:val="20"/>
                <w:szCs w:val="20"/>
                <w:highlight w:val="none"/>
              </w:rPr>
            </w:pPr>
            <w:r>
              <w:rPr>
                <w:bCs/>
                <w:color w:val="FF0000"/>
                <w:sz w:val="20"/>
                <w:szCs w:val="20"/>
                <w:highlight w:val="none"/>
              </w:rPr>
              <w:t>本项目下游10千米无饮用水水源保护</w:t>
            </w:r>
          </w:p>
        </w:tc>
      </w:tr>
      <w:tr>
        <w:tblPrEx>
          <w:tblBorders>
            <w:top w:val="thinThickSmallGap" w:color="auto" w:sz="12" w:space="0"/>
            <w:left w:val="none" w:color="auto" w:sz="0" w:space="0"/>
            <w:bottom w:val="thinThickSmallGap"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474" w:type="pct"/>
            <w:noWrap w:val="0"/>
            <w:vAlign w:val="center"/>
          </w:tcPr>
          <w:p>
            <w:pPr>
              <w:keepNext w:val="0"/>
              <w:keepLines w:val="0"/>
              <w:suppressLineNumbers w:val="0"/>
              <w:adjustRightInd w:val="0"/>
              <w:snapToGrid w:val="0"/>
              <w:spacing w:before="0" w:beforeAutospacing="0" w:after="0" w:afterAutospacing="0"/>
              <w:ind w:left="0" w:right="0"/>
              <w:jc w:val="center"/>
              <w:rPr>
                <w:color w:val="FF0000"/>
                <w:sz w:val="20"/>
                <w:szCs w:val="20"/>
                <w:highlight w:val="none"/>
              </w:rPr>
            </w:pPr>
            <w:r>
              <w:rPr>
                <w:color w:val="FF0000"/>
                <w:sz w:val="20"/>
                <w:szCs w:val="20"/>
                <w:highlight w:val="none"/>
              </w:rPr>
              <w:t>声环境</w:t>
            </w:r>
          </w:p>
        </w:tc>
        <w:tc>
          <w:tcPr>
            <w:tcW w:w="2599" w:type="pct"/>
            <w:gridSpan w:val="6"/>
            <w:noWrap w:val="0"/>
            <w:vAlign w:val="center"/>
          </w:tcPr>
          <w:p>
            <w:pPr>
              <w:keepNext w:val="0"/>
              <w:keepLines w:val="0"/>
              <w:suppressLineNumbers w:val="0"/>
              <w:adjustRightInd w:val="0"/>
              <w:snapToGrid w:val="0"/>
              <w:spacing w:before="0" w:beforeAutospacing="0" w:after="0" w:afterAutospacing="0"/>
              <w:ind w:left="0" w:right="0"/>
              <w:jc w:val="center"/>
              <w:rPr>
                <w:rFonts w:hint="default" w:eastAsia="宋体"/>
                <w:color w:val="FF0000"/>
                <w:sz w:val="20"/>
                <w:szCs w:val="20"/>
                <w:highlight w:val="none"/>
                <w:lang w:val="en-US" w:eastAsia="zh-CN"/>
              </w:rPr>
            </w:pPr>
            <w:r>
              <w:rPr>
                <w:rFonts w:hint="eastAsia"/>
                <w:color w:val="FF0000"/>
                <w:sz w:val="20"/>
                <w:szCs w:val="20"/>
                <w:highlight w:val="none"/>
                <w:lang w:val="en-US" w:eastAsia="zh-CN"/>
              </w:rPr>
              <w:t>周围50m范围内无敏感点</w:t>
            </w:r>
          </w:p>
        </w:tc>
        <w:tc>
          <w:tcPr>
            <w:tcW w:w="530" w:type="pct"/>
            <w:noWrap w:val="0"/>
            <w:vAlign w:val="center"/>
          </w:tcPr>
          <w:p>
            <w:pPr>
              <w:keepNext w:val="0"/>
              <w:keepLines w:val="0"/>
              <w:suppressLineNumbers w:val="0"/>
              <w:adjustRightInd w:val="0"/>
              <w:snapToGrid w:val="0"/>
              <w:spacing w:before="0" w:beforeAutospacing="0" w:after="0" w:afterAutospacing="0"/>
              <w:ind w:left="0" w:right="0"/>
              <w:jc w:val="center"/>
              <w:rPr>
                <w:color w:val="FF0000"/>
                <w:sz w:val="20"/>
                <w:szCs w:val="20"/>
                <w:highlight w:val="none"/>
              </w:rPr>
            </w:pPr>
            <w:r>
              <w:rPr>
                <w:bCs/>
                <w:color w:val="FF0000"/>
                <w:sz w:val="20"/>
                <w:szCs w:val="20"/>
                <w:highlight w:val="none"/>
              </w:rPr>
              <w:t>3类</w:t>
            </w:r>
          </w:p>
        </w:tc>
        <w:tc>
          <w:tcPr>
            <w:tcW w:w="490" w:type="pct"/>
            <w:noWrap w:val="0"/>
            <w:vAlign w:val="center"/>
          </w:tcPr>
          <w:p>
            <w:pPr>
              <w:keepNext w:val="0"/>
              <w:keepLines w:val="0"/>
              <w:widowControl/>
              <w:suppressLineNumbers w:val="0"/>
              <w:adjustRightInd w:val="0"/>
              <w:snapToGrid w:val="0"/>
              <w:spacing w:before="0" w:beforeAutospacing="0" w:after="0" w:afterAutospacing="0"/>
              <w:ind w:left="0" w:right="0"/>
              <w:jc w:val="center"/>
              <w:rPr>
                <w:color w:val="FF0000"/>
                <w:sz w:val="20"/>
                <w:szCs w:val="20"/>
                <w:highlight w:val="none"/>
              </w:rPr>
            </w:pPr>
            <w:r>
              <w:rPr>
                <w:color w:val="FF0000"/>
                <w:sz w:val="20"/>
                <w:szCs w:val="20"/>
                <w:highlight w:val="none"/>
              </w:rPr>
              <w:t>/</w:t>
            </w:r>
          </w:p>
        </w:tc>
        <w:tc>
          <w:tcPr>
            <w:tcW w:w="574" w:type="pct"/>
            <w:noWrap w:val="0"/>
            <w:vAlign w:val="center"/>
          </w:tcPr>
          <w:p>
            <w:pPr>
              <w:keepNext w:val="0"/>
              <w:keepLines w:val="0"/>
              <w:widowControl/>
              <w:suppressLineNumbers w:val="0"/>
              <w:adjustRightInd w:val="0"/>
              <w:snapToGrid w:val="0"/>
              <w:spacing w:before="0" w:beforeAutospacing="0" w:after="0" w:afterAutospacing="0"/>
              <w:ind w:left="0" w:right="0"/>
              <w:jc w:val="center"/>
              <w:rPr>
                <w:rFonts w:hint="eastAsia" w:eastAsia="宋体"/>
                <w:color w:val="FF0000"/>
                <w:sz w:val="20"/>
                <w:szCs w:val="20"/>
                <w:highlight w:val="none"/>
                <w:lang w:eastAsia="zh-CN"/>
              </w:rPr>
            </w:pPr>
            <w:r>
              <w:rPr>
                <w:rFonts w:hint="eastAsia"/>
                <w:bCs/>
                <w:color w:val="FF0000"/>
                <w:sz w:val="20"/>
                <w:szCs w:val="20"/>
                <w:highlight w:val="none"/>
                <w:lang w:val="en-US" w:eastAsia="zh-CN"/>
              </w:rPr>
              <w:t>/</w:t>
            </w:r>
          </w:p>
        </w:tc>
        <w:tc>
          <w:tcPr>
            <w:tcW w:w="330" w:type="pct"/>
            <w:noWrap w:val="0"/>
            <w:vAlign w:val="center"/>
          </w:tcPr>
          <w:p>
            <w:pPr>
              <w:keepNext w:val="0"/>
              <w:keepLines w:val="0"/>
              <w:widowControl/>
              <w:suppressLineNumbers w:val="0"/>
              <w:adjustRightInd w:val="0"/>
              <w:snapToGrid w:val="0"/>
              <w:spacing w:before="0" w:beforeAutospacing="0" w:after="0" w:afterAutospacing="0"/>
              <w:ind w:left="0" w:right="0"/>
              <w:jc w:val="center"/>
              <w:rPr>
                <w:color w:val="FF0000"/>
                <w:sz w:val="20"/>
                <w:szCs w:val="20"/>
                <w:highlight w:val="none"/>
              </w:rPr>
            </w:pPr>
            <w:r>
              <w:rPr>
                <w:bCs/>
                <w:color w:val="FF0000"/>
                <w:sz w:val="20"/>
                <w:szCs w:val="20"/>
                <w:highlight w:val="none"/>
              </w:rPr>
              <w:t>/</w:t>
            </w:r>
          </w:p>
        </w:tc>
      </w:tr>
    </w:tbl>
    <w:p>
      <w:pPr>
        <w:bidi w:val="0"/>
        <w:rPr>
          <w:rFonts w:hint="default" w:ascii="Times New Roman" w:hAnsi="Times New Roman" w:cs="Times New Roman"/>
          <w:color w:val="000000" w:themeColor="text1"/>
          <w:highlight w:val="none"/>
          <w:lang w:val="en-US" w:eastAsia="zh-CN"/>
          <w14:textFill>
            <w14:solidFill>
              <w14:schemeClr w14:val="tx1"/>
            </w14:solidFill>
          </w14:textFill>
        </w:rPr>
      </w:pPr>
    </w:p>
    <w:p>
      <w:pPr>
        <w:pStyle w:val="3"/>
        <w:bidi w:val="0"/>
        <w:rPr>
          <w:rFonts w:hint="default"/>
          <w:color w:val="000000" w:themeColor="text1"/>
          <w:highlight w:val="none"/>
          <w:lang w:val="en-US" w:eastAsia="zh-CN"/>
          <w14:textFill>
            <w14:solidFill>
              <w14:schemeClr w14:val="tx1"/>
            </w14:solidFill>
          </w14:textFill>
        </w:rPr>
      </w:pPr>
      <w:bookmarkStart w:id="209" w:name="_Toc14431"/>
      <w:r>
        <w:rPr>
          <w:rFonts w:hint="default"/>
          <w:color w:val="000000" w:themeColor="text1"/>
          <w:highlight w:val="none"/>
          <w:lang w:val="en-US" w:eastAsia="zh-CN"/>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4</w:t>
      </w:r>
      <w:r>
        <w:rPr>
          <w:rFonts w:hint="default"/>
          <w:color w:val="000000" w:themeColor="text1"/>
          <w:highlight w:val="none"/>
          <w:lang w:val="en-US" w:eastAsia="zh-CN"/>
          <w14:textFill>
            <w14:solidFill>
              <w14:schemeClr w14:val="tx1"/>
            </w14:solidFill>
          </w14:textFill>
        </w:rPr>
        <w:t xml:space="preserve"> 生产工艺</w:t>
      </w:r>
      <w:bookmarkEnd w:id="209"/>
    </w:p>
    <w:p>
      <w:pPr>
        <w:bidi w:val="0"/>
        <w:spacing w:line="240" w:lineRule="auto"/>
        <w:jc w:val="center"/>
        <w:rPr>
          <w:rFonts w:hint="default" w:ascii="Times New Roman" w:hAnsi="Times New Roman" w:cs="Times New Roman"/>
          <w:color w:val="000000" w:themeColor="text1"/>
          <w:sz w:val="25"/>
          <w:highlight w:val="none"/>
          <w14:textFill>
            <w14:solidFill>
              <w14:schemeClr w14:val="tx1"/>
            </w14:solidFill>
          </w14:textFill>
        </w:rPr>
      </w:pPr>
      <w:r>
        <w:rPr>
          <w:color w:val="000000" w:themeColor="text1"/>
          <w:highlight w:val="none"/>
          <w14:textFill>
            <w14:solidFill>
              <w14:schemeClr w14:val="tx1"/>
            </w14:solidFill>
          </w14:textFill>
        </w:rPr>
        <w:drawing>
          <wp:inline distT="0" distB="0" distL="114300" distR="114300">
            <wp:extent cx="5076825" cy="5162550"/>
            <wp:effectExtent l="0" t="0" r="9525" b="0"/>
            <wp:docPr id="1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pic:cNvPicPr>
                      <a:picLocks noChangeAspect="1"/>
                    </pic:cNvPicPr>
                  </pic:nvPicPr>
                  <pic:blipFill>
                    <a:blip r:embed="rId22"/>
                    <a:stretch>
                      <a:fillRect/>
                    </a:stretch>
                  </pic:blipFill>
                  <pic:spPr>
                    <a:xfrm>
                      <a:off x="0" y="0"/>
                      <a:ext cx="5076825" cy="5162550"/>
                    </a:xfrm>
                    <a:prstGeom prst="rect">
                      <a:avLst/>
                    </a:prstGeom>
                    <a:noFill/>
                    <a:ln>
                      <a:noFill/>
                    </a:ln>
                  </pic:spPr>
                </pic:pic>
              </a:graphicData>
            </a:graphic>
          </wp:inline>
        </w:drawing>
      </w:r>
    </w:p>
    <w:p>
      <w:pPr>
        <w:pStyle w:val="307"/>
        <w:ind w:firstLine="420"/>
        <w:rPr>
          <w:rFonts w:hint="eastAsia" w:eastAsia="宋体" w:cs="Times New Roman"/>
          <w:color w:val="000000" w:themeColor="text1"/>
          <w:sz w:val="21"/>
          <w:szCs w:val="21"/>
          <w:highlight w:val="none"/>
          <w:lang w:val="en-US" w:eastAsia="zh-CN"/>
          <w14:textFill>
            <w14:solidFill>
              <w14:schemeClr w14:val="tx1"/>
            </w14:solidFill>
          </w14:textFill>
        </w:rPr>
      </w:pPr>
      <w:r>
        <w:rPr>
          <w:rFonts w:hint="eastAsia" w:eastAsia="宋体" w:cs="Times New Roman"/>
          <w:color w:val="000000" w:themeColor="text1"/>
          <w:sz w:val="21"/>
          <w:szCs w:val="21"/>
          <w:highlight w:val="none"/>
          <w14:textFill>
            <w14:solidFill>
              <w14:schemeClr w14:val="tx1"/>
            </w14:solidFill>
          </w14:textFill>
        </w:rPr>
        <w:t>1、机</w:t>
      </w:r>
      <w:r>
        <w:rPr>
          <w:rFonts w:hint="eastAsia" w:eastAsia="宋体" w:cs="Times New Roman"/>
          <w:color w:val="000000" w:themeColor="text1"/>
          <w:sz w:val="21"/>
          <w:szCs w:val="21"/>
          <w:highlight w:val="none"/>
          <w:lang w:val="en-US" w:eastAsia="zh-CN"/>
          <w14:textFill>
            <w14:solidFill>
              <w14:schemeClr w14:val="tx1"/>
            </w14:solidFill>
          </w14:textFill>
        </w:rPr>
        <w:t>贴</w:t>
      </w:r>
    </w:p>
    <w:p>
      <w:pPr>
        <w:pStyle w:val="307"/>
        <w:ind w:firstLine="420"/>
        <w:rPr>
          <w:rFonts w:hint="eastAsia" w:eastAsia="宋体" w:cs="Times New Roman"/>
          <w:color w:val="000000" w:themeColor="text1"/>
          <w:sz w:val="21"/>
          <w:szCs w:val="21"/>
          <w:highlight w:val="none"/>
          <w14:textFill>
            <w14:solidFill>
              <w14:schemeClr w14:val="tx1"/>
            </w14:solidFill>
          </w14:textFill>
        </w:rPr>
      </w:pPr>
      <w:r>
        <w:rPr>
          <w:rFonts w:hint="eastAsia" w:eastAsia="宋体" w:cs="Times New Roman"/>
          <w:color w:val="000000" w:themeColor="text1"/>
          <w:sz w:val="21"/>
          <w:szCs w:val="21"/>
          <w:highlight w:val="none"/>
          <w14:textFill>
            <w14:solidFill>
              <w14:schemeClr w14:val="tx1"/>
            </w14:solidFill>
          </w14:textFill>
        </w:rPr>
        <w:t>PCB板流入高速贴片机，按照编写的贴片程序，设备进行定位校准后，自动贴装小型及大型元器件</w:t>
      </w:r>
      <w:r>
        <w:rPr>
          <w:rFonts w:hint="eastAsia" w:eastAsia="宋体" w:cs="Times New Roman"/>
          <w:color w:val="000000" w:themeColor="text1"/>
          <w:sz w:val="21"/>
          <w:szCs w:val="21"/>
          <w:highlight w:val="none"/>
          <w:lang w:eastAsia="zh-CN"/>
          <w14:textFill>
            <w14:solidFill>
              <w14:schemeClr w14:val="tx1"/>
            </w14:solidFill>
          </w14:textFill>
        </w:rPr>
        <w:t>，</w:t>
      </w:r>
      <w:r>
        <w:rPr>
          <w:rFonts w:hint="eastAsia" w:eastAsia="宋体" w:cs="Times New Roman"/>
          <w:color w:val="000000" w:themeColor="text1"/>
          <w:sz w:val="21"/>
          <w:szCs w:val="21"/>
          <w:highlight w:val="none"/>
          <w:lang w:val="en-US" w:eastAsia="zh-CN"/>
          <w14:textFill>
            <w14:solidFill>
              <w14:schemeClr w14:val="tx1"/>
            </w14:solidFill>
          </w14:textFill>
        </w:rPr>
        <w:t>机贴锡膏喷嘴需定期用酒精清洁</w:t>
      </w:r>
      <w:r>
        <w:rPr>
          <w:rFonts w:hint="eastAsia" w:eastAsia="宋体" w:cs="Times New Roman"/>
          <w:color w:val="000000" w:themeColor="text1"/>
          <w:sz w:val="21"/>
          <w:szCs w:val="21"/>
          <w:highlight w:val="none"/>
          <w14:textFill>
            <w14:solidFill>
              <w14:schemeClr w14:val="tx1"/>
            </w14:solidFill>
          </w14:textFill>
        </w:rPr>
        <w:t>。</w:t>
      </w:r>
    </w:p>
    <w:p>
      <w:pPr>
        <w:pStyle w:val="307"/>
        <w:ind w:firstLine="420"/>
        <w:rPr>
          <w:rFonts w:hint="eastAsia" w:eastAsia="宋体" w:cs="Times New Roman"/>
          <w:color w:val="000000" w:themeColor="text1"/>
          <w:sz w:val="21"/>
          <w:szCs w:val="21"/>
          <w:highlight w:val="none"/>
          <w14:textFill>
            <w14:solidFill>
              <w14:schemeClr w14:val="tx1"/>
            </w14:solidFill>
          </w14:textFill>
        </w:rPr>
      </w:pPr>
      <w:r>
        <w:rPr>
          <w:rFonts w:hint="eastAsia" w:eastAsia="宋体" w:cs="Times New Roman"/>
          <w:color w:val="000000" w:themeColor="text1"/>
          <w:sz w:val="21"/>
          <w:szCs w:val="21"/>
          <w:highlight w:val="none"/>
          <w14:textFill>
            <w14:solidFill>
              <w14:schemeClr w14:val="tx1"/>
            </w14:solidFill>
          </w14:textFill>
        </w:rPr>
        <w:t>2、机插</w:t>
      </w:r>
    </w:p>
    <w:p>
      <w:pPr>
        <w:pStyle w:val="307"/>
        <w:ind w:firstLine="420"/>
        <w:rPr>
          <w:rFonts w:hint="eastAsia" w:eastAsia="宋体" w:cs="Times New Roman"/>
          <w:color w:val="000000" w:themeColor="text1"/>
          <w:sz w:val="21"/>
          <w:szCs w:val="21"/>
          <w:highlight w:val="none"/>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贴片后的</w:t>
      </w:r>
      <w:r>
        <w:rPr>
          <w:rFonts w:hint="eastAsia" w:eastAsia="宋体" w:cs="Times New Roman"/>
          <w:color w:val="000000" w:themeColor="text1"/>
          <w:sz w:val="21"/>
          <w:szCs w:val="21"/>
          <w:highlight w:val="none"/>
          <w14:textFill>
            <w14:solidFill>
              <w14:schemeClr w14:val="tx1"/>
            </w14:solidFill>
          </w14:textFill>
        </w:rPr>
        <w:t>PCB板流入光线机，启动对应程序后，光线送入插件装置，通过刀具折弯、成型插入 PCB板，再剪脚折弯、检测后固定在板上的相应位置。</w:t>
      </w:r>
    </w:p>
    <w:p>
      <w:pPr>
        <w:pStyle w:val="307"/>
        <w:ind w:firstLine="420"/>
        <w:rPr>
          <w:rFonts w:hint="eastAsia" w:eastAsia="宋体" w:cs="Times New Roman"/>
          <w:color w:val="000000" w:themeColor="text1"/>
          <w:sz w:val="21"/>
          <w:szCs w:val="21"/>
          <w:highlight w:val="none"/>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3</w:t>
      </w:r>
      <w:r>
        <w:rPr>
          <w:rFonts w:hint="eastAsia" w:eastAsia="宋体" w:cs="Times New Roman"/>
          <w:color w:val="000000" w:themeColor="text1"/>
          <w:sz w:val="21"/>
          <w:szCs w:val="21"/>
          <w:highlight w:val="none"/>
          <w14:textFill>
            <w14:solidFill>
              <w14:schemeClr w14:val="tx1"/>
            </w14:solidFill>
          </w14:textFill>
        </w:rPr>
        <w:t>、点胶</w:t>
      </w:r>
    </w:p>
    <w:p>
      <w:pPr>
        <w:pStyle w:val="307"/>
        <w:ind w:firstLine="420"/>
        <w:rPr>
          <w:rFonts w:hint="eastAsia" w:eastAsia="宋体" w:cs="Times New Roman"/>
          <w:color w:val="000000" w:themeColor="text1"/>
          <w:sz w:val="21"/>
          <w:szCs w:val="21"/>
          <w:highlight w:val="none"/>
          <w14:textFill>
            <w14:solidFill>
              <w14:schemeClr w14:val="tx1"/>
            </w14:solidFill>
          </w14:textFill>
        </w:rPr>
      </w:pPr>
      <w:r>
        <w:rPr>
          <w:rFonts w:hint="eastAsia" w:eastAsia="宋体" w:cs="Times New Roman"/>
          <w:color w:val="000000" w:themeColor="text1"/>
          <w:sz w:val="21"/>
          <w:szCs w:val="21"/>
          <w:highlight w:val="none"/>
          <w14:textFill>
            <w14:solidFill>
              <w14:schemeClr w14:val="tx1"/>
            </w14:solidFill>
          </w14:textFill>
        </w:rPr>
        <w:t>启用全自动机器点胶机将白硅胶将插件固定在板上。</w:t>
      </w:r>
    </w:p>
    <w:p>
      <w:pPr>
        <w:pStyle w:val="307"/>
        <w:ind w:firstLine="420"/>
        <w:rPr>
          <w:rFonts w:hint="eastAsia" w:eastAsia="宋体" w:cs="Times New Roman"/>
          <w:color w:val="000000" w:themeColor="text1"/>
          <w:sz w:val="21"/>
          <w:szCs w:val="21"/>
          <w:highlight w:val="none"/>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4</w:t>
      </w:r>
      <w:r>
        <w:rPr>
          <w:rFonts w:hint="eastAsia" w:eastAsia="宋体" w:cs="Times New Roman"/>
          <w:color w:val="000000" w:themeColor="text1"/>
          <w:sz w:val="21"/>
          <w:szCs w:val="21"/>
          <w:highlight w:val="none"/>
          <w14:textFill>
            <w14:solidFill>
              <w14:schemeClr w14:val="tx1"/>
            </w14:solidFill>
          </w14:textFill>
        </w:rPr>
        <w:t>、手插</w:t>
      </w:r>
    </w:p>
    <w:p>
      <w:pPr>
        <w:pStyle w:val="307"/>
        <w:ind w:firstLine="420"/>
        <w:rPr>
          <w:rFonts w:hint="eastAsia" w:eastAsia="宋体" w:cs="Times New Roman"/>
          <w:color w:val="000000" w:themeColor="text1"/>
          <w:sz w:val="21"/>
          <w:szCs w:val="21"/>
          <w:highlight w:val="none"/>
          <w14:textFill>
            <w14:solidFill>
              <w14:schemeClr w14:val="tx1"/>
            </w14:solidFill>
          </w14:textFill>
        </w:rPr>
      </w:pPr>
      <w:r>
        <w:rPr>
          <w:rFonts w:hint="eastAsia" w:eastAsia="宋体" w:cs="Times New Roman"/>
          <w:color w:val="000000" w:themeColor="text1"/>
          <w:sz w:val="21"/>
          <w:szCs w:val="21"/>
          <w:highlight w:val="none"/>
          <w14:textFill>
            <w14:solidFill>
              <w14:schemeClr w14:val="tx1"/>
            </w14:solidFill>
          </w14:textFill>
        </w:rPr>
        <w:t>工人手工取代机插工序，将部分元件插入板中。</w:t>
      </w:r>
    </w:p>
    <w:p>
      <w:pPr>
        <w:pStyle w:val="307"/>
        <w:ind w:firstLine="420"/>
        <w:rPr>
          <w:rFonts w:hint="eastAsia" w:eastAsia="宋体" w:cs="Times New Roman"/>
          <w:color w:val="000000" w:themeColor="text1"/>
          <w:sz w:val="21"/>
          <w:szCs w:val="21"/>
          <w:highlight w:val="none"/>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5</w:t>
      </w:r>
      <w:r>
        <w:rPr>
          <w:rFonts w:hint="eastAsia" w:eastAsia="宋体" w:cs="Times New Roman"/>
          <w:color w:val="000000" w:themeColor="text1"/>
          <w:sz w:val="21"/>
          <w:szCs w:val="21"/>
          <w:highlight w:val="none"/>
          <w14:textFill>
            <w14:solidFill>
              <w14:schemeClr w14:val="tx1"/>
            </w14:solidFill>
          </w14:textFill>
        </w:rPr>
        <w:t>、焊接</w:t>
      </w:r>
    </w:p>
    <w:p>
      <w:pPr>
        <w:pStyle w:val="307"/>
        <w:ind w:firstLine="420"/>
        <w:rPr>
          <w:rFonts w:hint="eastAsia" w:eastAsia="宋体" w:cs="Times New Roman"/>
          <w:color w:val="000000" w:themeColor="text1"/>
          <w:sz w:val="21"/>
          <w:szCs w:val="21"/>
          <w:highlight w:val="none"/>
          <w14:textFill>
            <w14:solidFill>
              <w14:schemeClr w14:val="tx1"/>
            </w14:solidFill>
          </w14:textFill>
        </w:rPr>
      </w:pPr>
      <w:r>
        <w:rPr>
          <w:rFonts w:hint="eastAsia" w:eastAsia="宋体" w:cs="Times New Roman"/>
          <w:color w:val="000000" w:themeColor="text1"/>
          <w:sz w:val="21"/>
          <w:szCs w:val="21"/>
          <w:highlight w:val="none"/>
          <w14:textFill>
            <w14:solidFill>
              <w14:schemeClr w14:val="tx1"/>
            </w14:solidFill>
          </w14:textFill>
        </w:rPr>
        <w:t>锡炉内熔化锡条为锡液，将 PCB板流入波峰焊中进行焊接，锡液中适当添加助焊剂。</w:t>
      </w:r>
    </w:p>
    <w:p>
      <w:pPr>
        <w:pStyle w:val="307"/>
        <w:ind w:firstLine="420"/>
        <w:rPr>
          <w:rFonts w:hint="eastAsia" w:eastAsia="宋体" w:cs="Times New Roman"/>
          <w:color w:val="000000" w:themeColor="text1"/>
          <w:sz w:val="21"/>
          <w:szCs w:val="21"/>
          <w:highlight w:val="none"/>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6</w:t>
      </w:r>
      <w:r>
        <w:rPr>
          <w:rFonts w:hint="eastAsia" w:eastAsia="宋体" w:cs="Times New Roman"/>
          <w:color w:val="000000" w:themeColor="text1"/>
          <w:sz w:val="21"/>
          <w:szCs w:val="21"/>
          <w:highlight w:val="none"/>
          <w14:textFill>
            <w14:solidFill>
              <w14:schemeClr w14:val="tx1"/>
            </w14:solidFill>
          </w14:textFill>
        </w:rPr>
        <w:t>、剪脚</w:t>
      </w:r>
    </w:p>
    <w:p>
      <w:pPr>
        <w:pStyle w:val="307"/>
        <w:ind w:firstLine="420"/>
        <w:rPr>
          <w:rFonts w:hint="eastAsia" w:eastAsia="宋体" w:cs="Times New Roman"/>
          <w:color w:val="000000" w:themeColor="text1"/>
          <w:sz w:val="21"/>
          <w:szCs w:val="21"/>
          <w:highlight w:val="none"/>
          <w14:textFill>
            <w14:solidFill>
              <w14:schemeClr w14:val="tx1"/>
            </w14:solidFill>
          </w14:textFill>
        </w:rPr>
      </w:pPr>
      <w:r>
        <w:rPr>
          <w:rFonts w:hint="eastAsia" w:eastAsia="宋体" w:cs="Times New Roman"/>
          <w:color w:val="000000" w:themeColor="text1"/>
          <w:sz w:val="21"/>
          <w:szCs w:val="21"/>
          <w:highlight w:val="none"/>
          <w14:textFill>
            <w14:solidFill>
              <w14:schemeClr w14:val="tx1"/>
            </w14:solidFill>
          </w14:textFill>
        </w:rPr>
        <w:t>操作员使用剪钳将板面物料引脚出脚长度超过2.5mm的进行剪脚。</w:t>
      </w:r>
    </w:p>
    <w:p>
      <w:pPr>
        <w:pStyle w:val="307"/>
        <w:ind w:firstLine="420"/>
        <w:rPr>
          <w:rFonts w:hint="eastAsia" w:eastAsia="宋体" w:cs="Times New Roman"/>
          <w:color w:val="000000" w:themeColor="text1"/>
          <w:sz w:val="21"/>
          <w:szCs w:val="21"/>
          <w:highlight w:val="none"/>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7</w:t>
      </w:r>
      <w:r>
        <w:rPr>
          <w:rFonts w:hint="eastAsia" w:eastAsia="宋体" w:cs="Times New Roman"/>
          <w:color w:val="000000" w:themeColor="text1"/>
          <w:sz w:val="21"/>
          <w:szCs w:val="21"/>
          <w:highlight w:val="none"/>
          <w14:textFill>
            <w14:solidFill>
              <w14:schemeClr w14:val="tx1"/>
            </w14:solidFill>
          </w14:textFill>
        </w:rPr>
        <w:t>、补焊</w:t>
      </w:r>
    </w:p>
    <w:p>
      <w:pPr>
        <w:pStyle w:val="307"/>
        <w:ind w:firstLine="420"/>
        <w:rPr>
          <w:rFonts w:hint="eastAsia" w:eastAsia="宋体" w:cs="Times New Roman"/>
          <w:color w:val="000000" w:themeColor="text1"/>
          <w:sz w:val="21"/>
          <w:szCs w:val="21"/>
          <w:highlight w:val="none"/>
          <w14:textFill>
            <w14:solidFill>
              <w14:schemeClr w14:val="tx1"/>
            </w14:solidFill>
          </w14:textFill>
        </w:rPr>
      </w:pPr>
      <w:r>
        <w:rPr>
          <w:rFonts w:hint="eastAsia" w:eastAsia="宋体" w:cs="Times New Roman"/>
          <w:color w:val="000000" w:themeColor="text1"/>
          <w:sz w:val="21"/>
          <w:szCs w:val="21"/>
          <w:highlight w:val="none"/>
          <w14:textFill>
            <w14:solidFill>
              <w14:schemeClr w14:val="tx1"/>
            </w14:solidFill>
          </w14:textFill>
        </w:rPr>
        <w:t>操作员从流水线上拿取PCB板，按照作业指导书使用电烙铁进行检焊、补焊，焊接介质为锡丝。</w:t>
      </w:r>
    </w:p>
    <w:p>
      <w:pPr>
        <w:pStyle w:val="307"/>
        <w:ind w:firstLine="420"/>
        <w:rPr>
          <w:rFonts w:hint="eastAsia" w:eastAsia="宋体" w:cs="Times New Roman"/>
          <w:color w:val="000000" w:themeColor="text1"/>
          <w:sz w:val="21"/>
          <w:szCs w:val="21"/>
          <w:highlight w:val="none"/>
          <w:lang w:val="en-US" w:eastAsia="zh-CN"/>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8</w:t>
      </w:r>
      <w:r>
        <w:rPr>
          <w:rFonts w:hint="eastAsia" w:eastAsia="宋体" w:cs="Times New Roman"/>
          <w:color w:val="000000" w:themeColor="text1"/>
          <w:sz w:val="21"/>
          <w:szCs w:val="21"/>
          <w:highlight w:val="none"/>
          <w14:textFill>
            <w14:solidFill>
              <w14:schemeClr w14:val="tx1"/>
            </w14:solidFill>
          </w14:textFill>
        </w:rPr>
        <w:t>、</w:t>
      </w:r>
      <w:r>
        <w:rPr>
          <w:rFonts w:hint="eastAsia" w:eastAsia="宋体" w:cs="Times New Roman"/>
          <w:color w:val="000000" w:themeColor="text1"/>
          <w:sz w:val="21"/>
          <w:szCs w:val="21"/>
          <w:highlight w:val="none"/>
          <w:lang w:val="en-US" w:eastAsia="zh-CN"/>
          <w14:textFill>
            <w14:solidFill>
              <w14:schemeClr w14:val="tx1"/>
            </w14:solidFill>
          </w14:textFill>
        </w:rPr>
        <w:t>测试</w:t>
      </w:r>
    </w:p>
    <w:p>
      <w:pPr>
        <w:pStyle w:val="307"/>
        <w:ind w:firstLine="420"/>
        <w:rPr>
          <w:rFonts w:hint="eastAsia" w:eastAsia="宋体" w:cs="Times New Roman"/>
          <w:color w:val="000000" w:themeColor="text1"/>
          <w:sz w:val="21"/>
          <w:szCs w:val="21"/>
          <w:highlight w:val="none"/>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加工好的成品进行测试，不合格品放置不良品区待修</w:t>
      </w:r>
      <w:r>
        <w:rPr>
          <w:rFonts w:hint="eastAsia" w:eastAsia="宋体" w:cs="Times New Roman"/>
          <w:color w:val="000000" w:themeColor="text1"/>
          <w:sz w:val="21"/>
          <w:szCs w:val="21"/>
          <w:highlight w:val="none"/>
          <w14:textFill>
            <w14:solidFill>
              <w14:schemeClr w14:val="tx1"/>
            </w14:solidFill>
          </w14:textFill>
        </w:rPr>
        <w:t>。</w:t>
      </w:r>
    </w:p>
    <w:p>
      <w:pPr>
        <w:pStyle w:val="307"/>
        <w:numPr>
          <w:ilvl w:val="0"/>
          <w:numId w:val="2"/>
        </w:numPr>
        <w:ind w:firstLine="420"/>
        <w:rPr>
          <w:rFonts w:hint="eastAsia" w:eastAsia="宋体" w:cs="Times New Roman"/>
          <w:color w:val="000000" w:themeColor="text1"/>
          <w:sz w:val="21"/>
          <w:szCs w:val="21"/>
          <w:highlight w:val="none"/>
          <w:lang w:val="en-US" w:eastAsia="zh-CN"/>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包装入库</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color w:val="000000" w:themeColor="text1"/>
          <w:highlight w:val="none"/>
          <w14:textFill>
            <w14:solidFill>
              <w14:schemeClr w14:val="tx1"/>
            </w14:solidFill>
          </w14:textFill>
        </w:rPr>
      </w:pPr>
      <w:r>
        <w:rPr>
          <w:rFonts w:hint="eastAsia" w:eastAsia="宋体" w:cs="Times New Roman"/>
          <w:color w:val="000000" w:themeColor="text1"/>
          <w:sz w:val="21"/>
          <w:szCs w:val="21"/>
          <w:highlight w:val="none"/>
          <w:lang w:val="en-US" w:eastAsia="zh-CN"/>
          <w14:textFill>
            <w14:solidFill>
              <w14:schemeClr w14:val="tx1"/>
            </w14:solidFill>
          </w14:textFill>
        </w:rPr>
        <w:t>合格品包装入库</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w:t>
      </w:r>
    </w:p>
    <w:p>
      <w:pPr>
        <w:pStyle w:val="3"/>
        <w:bidi w:val="0"/>
        <w:rPr>
          <w:rFonts w:hint="default"/>
          <w:color w:val="000000" w:themeColor="text1"/>
          <w:highlight w:val="none"/>
          <w:lang w:val="en-US" w:eastAsia="zh-CN"/>
          <w14:textFill>
            <w14:solidFill>
              <w14:schemeClr w14:val="tx1"/>
            </w14:solidFill>
          </w14:textFill>
        </w:rPr>
      </w:pPr>
      <w:bookmarkStart w:id="210" w:name="_Toc11789"/>
      <w:r>
        <w:rPr>
          <w:rFonts w:hint="default"/>
          <w:color w:val="000000" w:themeColor="text1"/>
          <w:highlight w:val="none"/>
          <w:lang w:val="en-US" w:eastAsia="zh-CN"/>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5</w:t>
      </w:r>
      <w:r>
        <w:rPr>
          <w:rFonts w:hint="default"/>
          <w:color w:val="000000" w:themeColor="text1"/>
          <w:highlight w:val="none"/>
          <w:lang w:val="en-US" w:eastAsia="zh-CN"/>
          <w14:textFill>
            <w14:solidFill>
              <w14:schemeClr w14:val="tx1"/>
            </w14:solidFill>
          </w14:textFill>
        </w:rPr>
        <w:t xml:space="preserve"> 污染源分析</w:t>
      </w:r>
      <w:bookmarkEnd w:id="210"/>
    </w:p>
    <w:p>
      <w:pPr>
        <w:pStyle w:val="20"/>
        <w:keepNext w:val="0"/>
        <w:keepLines w:val="0"/>
        <w:pageBreakBefore w:val="0"/>
        <w:kinsoku/>
        <w:wordWrap/>
        <w:overflowPunct/>
        <w:topLinePunct w:val="0"/>
        <w:bidi w:val="0"/>
        <w:spacing w:before="0" w:beforeAutospacing="0" w:after="0" w:afterAutospacing="0" w:line="360" w:lineRule="auto"/>
        <w:ind w:left="0" w:leftChars="0" w:right="0" w:firstLine="420" w:firstLineChars="200"/>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本项目营运期的主要污染物</w:t>
      </w:r>
      <w:r>
        <w:rPr>
          <w:rFonts w:hint="default" w:ascii="Times New Roman" w:hAnsi="Times New Roman" w:cs="Times New Roman"/>
          <w:color w:val="000000" w:themeColor="text1"/>
          <w:highlight w:val="none"/>
          <w:lang w:eastAsia="zh-CN"/>
          <w14:textFill>
            <w14:solidFill>
              <w14:schemeClr w14:val="tx1"/>
            </w14:solidFill>
          </w14:textFill>
        </w:rPr>
        <w:t>如下</w:t>
      </w:r>
      <w:r>
        <w:rPr>
          <w:rFonts w:hint="default" w:ascii="Times New Roman" w:hAnsi="Times New Roman" w:eastAsia="宋体" w:cs="Times New Roman"/>
          <w:color w:val="000000" w:themeColor="text1"/>
          <w:highlight w:val="none"/>
          <w14:textFill>
            <w14:solidFill>
              <w14:schemeClr w14:val="tx1"/>
            </w14:solidFill>
          </w14:textFill>
        </w:rPr>
        <w:t>：</w:t>
      </w:r>
    </w:p>
    <w:p>
      <w:pPr>
        <w:keepNext w:val="0"/>
        <w:keepLines w:val="0"/>
        <w:widowControl w:val="0"/>
        <w:suppressLineNumbers w:val="0"/>
        <w:snapToGrid w:val="0"/>
        <w:spacing w:before="0" w:beforeAutospacing="0" w:after="0" w:afterAutospacing="0"/>
        <w:ind w:left="0" w:right="0"/>
        <w:jc w:val="center"/>
        <w:rPr>
          <w:b/>
          <w:color w:val="000000" w:themeColor="text1"/>
          <w:szCs w:val="21"/>
          <w:highlight w:val="none"/>
          <w:lang w:val="en-US"/>
          <w14:textFill>
            <w14:solidFill>
              <w14:schemeClr w14:val="tx1"/>
            </w14:solidFill>
          </w14:textFill>
        </w:rPr>
      </w:pPr>
      <w:r>
        <w:rPr>
          <w:rFonts w:hint="eastAsia"/>
          <w:b/>
          <w:bCs/>
          <w:color w:val="000000" w:themeColor="text1"/>
          <w:highlight w:val="none"/>
          <w14:textFill>
            <w14:solidFill>
              <w14:schemeClr w14:val="tx1"/>
            </w14:solidFill>
          </w14:textFill>
        </w:rPr>
        <w:t>表</w:t>
      </w:r>
      <w:r>
        <w:rPr>
          <w:rFonts w:hint="eastAsia"/>
          <w:b/>
          <w:bCs/>
          <w:color w:val="000000" w:themeColor="text1"/>
          <w:highlight w:val="none"/>
          <w:lang w:val="en-US" w:eastAsia="zh-CN"/>
          <w14:textFill>
            <w14:solidFill>
              <w14:schemeClr w14:val="tx1"/>
            </w14:solidFill>
          </w14:textFill>
        </w:rPr>
        <w:t xml:space="preserve">2.5-1 </w:t>
      </w:r>
      <w:r>
        <w:rPr>
          <w:rFonts w:hint="eastAsia" w:cs="宋体"/>
          <w:b/>
          <w:bCs w:val="0"/>
          <w:color w:val="000000" w:themeColor="text1"/>
          <w:sz w:val="21"/>
          <w:szCs w:val="21"/>
          <w:highlight w:val="none"/>
          <w:lang w:val="en-US" w:eastAsia="zh-CN"/>
          <w14:textFill>
            <w14:solidFill>
              <w14:schemeClr w14:val="tx1"/>
            </w14:solidFill>
          </w14:textFill>
        </w:rPr>
        <w:t>项目</w:t>
      </w:r>
      <w:r>
        <w:rPr>
          <w:rFonts w:hint="eastAsia"/>
          <w:b/>
          <w:bCs/>
          <w:color w:val="000000" w:themeColor="text1"/>
          <w:highlight w:val="none"/>
          <w14:textFill>
            <w14:solidFill>
              <w14:schemeClr w14:val="tx1"/>
            </w14:solidFill>
          </w14:textFill>
        </w:rPr>
        <w:t>主要污染工序一览表</w:t>
      </w:r>
    </w:p>
    <w:tbl>
      <w:tblPr>
        <w:tblStyle w:val="48"/>
        <w:tblW w:w="0" w:type="auto"/>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33"/>
        <w:gridCol w:w="584"/>
        <w:gridCol w:w="528"/>
        <w:gridCol w:w="1253"/>
        <w:gridCol w:w="1234"/>
        <w:gridCol w:w="1367"/>
        <w:gridCol w:w="1458"/>
        <w:gridCol w:w="145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595" w:hRule="atLeast"/>
        </w:trPr>
        <w:tc>
          <w:tcPr>
            <w:tcW w:w="533" w:type="dxa"/>
            <w:noWrap w:val="0"/>
            <w:vAlign w:val="center"/>
          </w:tcPr>
          <w:p>
            <w:pPr>
              <w:pStyle w:val="308"/>
              <w:snapToGrid w:val="0"/>
              <w:spacing w:line="240" w:lineRule="atLeast"/>
              <w:jc w:val="center"/>
              <w:rPr>
                <w:b/>
                <w:bCs/>
                <w:color w:val="000000" w:themeColor="text1"/>
                <w:sz w:val="21"/>
                <w:szCs w:val="21"/>
                <w:highlight w:val="none"/>
                <w:lang w:val="zh-CN"/>
                <w14:textFill>
                  <w14:solidFill>
                    <w14:schemeClr w14:val="tx1"/>
                  </w14:solidFill>
                </w14:textFill>
              </w:rPr>
            </w:pPr>
            <w:r>
              <w:rPr>
                <w:b/>
                <w:bCs/>
                <w:color w:val="000000" w:themeColor="text1"/>
                <w:sz w:val="21"/>
                <w:szCs w:val="21"/>
                <w:highlight w:val="none"/>
                <w:lang w:val="zh-CN"/>
                <w14:textFill>
                  <w14:solidFill>
                    <w14:schemeClr w14:val="tx1"/>
                  </w14:solidFill>
                </w14:textFill>
              </w:rPr>
              <w:t>时段</w:t>
            </w:r>
          </w:p>
        </w:tc>
        <w:tc>
          <w:tcPr>
            <w:tcW w:w="584" w:type="dxa"/>
            <w:noWrap w:val="0"/>
            <w:vAlign w:val="center"/>
          </w:tcPr>
          <w:p>
            <w:pPr>
              <w:pStyle w:val="308"/>
              <w:snapToGrid w:val="0"/>
              <w:spacing w:line="240" w:lineRule="atLeast"/>
              <w:jc w:val="center"/>
              <w:rPr>
                <w:b/>
                <w:bCs/>
                <w:color w:val="000000" w:themeColor="text1"/>
                <w:sz w:val="21"/>
                <w:szCs w:val="21"/>
                <w:highlight w:val="none"/>
                <w:lang w:val="zh-CN"/>
                <w14:textFill>
                  <w14:solidFill>
                    <w14:schemeClr w14:val="tx1"/>
                  </w14:solidFill>
                </w14:textFill>
              </w:rPr>
            </w:pPr>
            <w:r>
              <w:rPr>
                <w:b/>
                <w:bCs/>
                <w:color w:val="000000" w:themeColor="text1"/>
                <w:sz w:val="21"/>
                <w:szCs w:val="21"/>
                <w:highlight w:val="none"/>
                <w:lang w:val="zh-CN"/>
                <w14:textFill>
                  <w14:solidFill>
                    <w14:schemeClr w14:val="tx1"/>
                  </w14:solidFill>
                </w14:textFill>
              </w:rPr>
              <w:t>因子</w:t>
            </w:r>
          </w:p>
        </w:tc>
        <w:tc>
          <w:tcPr>
            <w:tcW w:w="1781" w:type="dxa"/>
            <w:gridSpan w:val="2"/>
            <w:noWrap w:val="0"/>
            <w:vAlign w:val="center"/>
          </w:tcPr>
          <w:p>
            <w:pPr>
              <w:pStyle w:val="308"/>
              <w:snapToGrid w:val="0"/>
              <w:spacing w:line="240" w:lineRule="atLeast"/>
              <w:jc w:val="center"/>
              <w:rPr>
                <w:b/>
                <w:bCs/>
                <w:color w:val="000000" w:themeColor="text1"/>
                <w:sz w:val="21"/>
                <w:szCs w:val="21"/>
                <w:highlight w:val="none"/>
                <w:lang w:val="zh-CN"/>
                <w14:textFill>
                  <w14:solidFill>
                    <w14:schemeClr w14:val="tx1"/>
                  </w14:solidFill>
                </w14:textFill>
              </w:rPr>
            </w:pPr>
            <w:r>
              <w:rPr>
                <w:b/>
                <w:bCs/>
                <w:color w:val="000000" w:themeColor="text1"/>
                <w:sz w:val="21"/>
                <w:szCs w:val="21"/>
                <w:highlight w:val="none"/>
                <w:lang w:val="zh-CN"/>
                <w14:textFill>
                  <w14:solidFill>
                    <w14:schemeClr w14:val="tx1"/>
                  </w14:solidFill>
                </w14:textFill>
              </w:rPr>
              <w:t>工序</w:t>
            </w:r>
          </w:p>
        </w:tc>
        <w:tc>
          <w:tcPr>
            <w:tcW w:w="1234" w:type="dxa"/>
            <w:noWrap w:val="0"/>
            <w:vAlign w:val="center"/>
          </w:tcPr>
          <w:p>
            <w:pPr>
              <w:pStyle w:val="308"/>
              <w:snapToGrid w:val="0"/>
              <w:spacing w:line="240" w:lineRule="atLeast"/>
              <w:ind w:left="0" w:leftChars="0" w:right="0" w:rightChars="0"/>
              <w:jc w:val="center"/>
              <w:rPr>
                <w:rFonts w:hint="default" w:ascii="Times New Roman" w:hAnsi="Times New Roman" w:eastAsia="宋体" w:cs="Times New Roman"/>
                <w:b/>
                <w:bCs/>
                <w:color w:val="000000" w:themeColor="text1"/>
                <w:kern w:val="2"/>
                <w:sz w:val="21"/>
                <w:szCs w:val="21"/>
                <w:highlight w:val="none"/>
                <w:lang w:val="zh-CN" w:eastAsia="zh-CN" w:bidi="ar"/>
                <w14:textFill>
                  <w14:solidFill>
                    <w14:schemeClr w14:val="tx1"/>
                  </w14:solidFill>
                </w14:textFill>
              </w:rPr>
            </w:pPr>
            <w:r>
              <w:rPr>
                <w:b/>
                <w:bCs/>
                <w:color w:val="000000" w:themeColor="text1"/>
                <w:sz w:val="21"/>
                <w:szCs w:val="21"/>
                <w:highlight w:val="none"/>
                <w:lang w:val="zh-CN"/>
                <w14:textFill>
                  <w14:solidFill>
                    <w14:schemeClr w14:val="tx1"/>
                  </w14:solidFill>
                </w14:textFill>
              </w:rPr>
              <w:t>污染物种类</w:t>
            </w:r>
          </w:p>
        </w:tc>
        <w:tc>
          <w:tcPr>
            <w:tcW w:w="1367" w:type="dxa"/>
            <w:noWrap w:val="0"/>
            <w:vAlign w:val="center"/>
          </w:tcPr>
          <w:p>
            <w:pPr>
              <w:pStyle w:val="308"/>
              <w:snapToGrid w:val="0"/>
              <w:spacing w:line="240" w:lineRule="atLeast"/>
              <w:jc w:val="center"/>
              <w:rPr>
                <w:rFonts w:hint="default" w:eastAsia="宋体"/>
                <w:b/>
                <w:bCs/>
                <w:color w:val="000000" w:themeColor="text1"/>
                <w:sz w:val="21"/>
                <w:szCs w:val="21"/>
                <w:highlight w:val="none"/>
                <w:lang w:val="en-US" w:eastAsia="zh-CN"/>
                <w14:textFill>
                  <w14:solidFill>
                    <w14:schemeClr w14:val="tx1"/>
                  </w14:solidFill>
                </w14:textFill>
              </w:rPr>
            </w:pPr>
            <w:r>
              <w:rPr>
                <w:rFonts w:hint="eastAsia"/>
                <w:b/>
                <w:bCs/>
                <w:color w:val="FF0000"/>
                <w:sz w:val="21"/>
                <w:szCs w:val="21"/>
                <w:highlight w:val="none"/>
                <w:lang w:val="en-US" w:eastAsia="zh-CN"/>
              </w:rPr>
              <w:t>产生量（t/a）</w:t>
            </w:r>
          </w:p>
        </w:tc>
        <w:tc>
          <w:tcPr>
            <w:tcW w:w="1458" w:type="dxa"/>
            <w:noWrap w:val="0"/>
            <w:vAlign w:val="center"/>
          </w:tcPr>
          <w:p>
            <w:pPr>
              <w:pStyle w:val="308"/>
              <w:snapToGrid w:val="0"/>
              <w:spacing w:line="240" w:lineRule="atLeast"/>
              <w:jc w:val="center"/>
              <w:rPr>
                <w:rFonts w:hint="eastAsia" w:eastAsia="宋体"/>
                <w:b/>
                <w:bCs/>
                <w:color w:val="000000" w:themeColor="text1"/>
                <w:sz w:val="21"/>
                <w:szCs w:val="21"/>
                <w:highlight w:val="none"/>
                <w:lang w:val="en-US" w:eastAsia="zh-CN"/>
                <w14:textFill>
                  <w14:solidFill>
                    <w14:schemeClr w14:val="tx1"/>
                  </w14:solidFill>
                </w14:textFill>
              </w:rPr>
            </w:pPr>
            <w:r>
              <w:rPr>
                <w:rFonts w:hint="eastAsia"/>
                <w:b/>
                <w:bCs/>
                <w:color w:val="000000" w:themeColor="text1"/>
                <w:sz w:val="21"/>
                <w:szCs w:val="21"/>
                <w:highlight w:val="none"/>
                <w:lang w:val="en-US" w:eastAsia="zh-CN"/>
                <w14:textFill>
                  <w14:solidFill>
                    <w14:schemeClr w14:val="tx1"/>
                  </w14:solidFill>
                </w14:textFill>
              </w:rPr>
              <w:t>措施</w:t>
            </w:r>
          </w:p>
        </w:tc>
        <w:tc>
          <w:tcPr>
            <w:tcW w:w="1458" w:type="dxa"/>
            <w:noWrap w:val="0"/>
            <w:vAlign w:val="center"/>
          </w:tcPr>
          <w:p>
            <w:pPr>
              <w:pStyle w:val="308"/>
              <w:snapToGrid w:val="0"/>
              <w:spacing w:line="240" w:lineRule="atLeast"/>
              <w:jc w:val="center"/>
              <w:rPr>
                <w:rFonts w:hint="eastAsia" w:eastAsia="宋体"/>
                <w:b/>
                <w:bCs/>
                <w:color w:val="000000" w:themeColor="text1"/>
                <w:sz w:val="21"/>
                <w:szCs w:val="21"/>
                <w:highlight w:val="none"/>
                <w:lang w:val="en-US" w:eastAsia="zh-CN"/>
                <w14:textFill>
                  <w14:solidFill>
                    <w14:schemeClr w14:val="tx1"/>
                  </w14:solidFill>
                </w14:textFill>
              </w:rPr>
            </w:pPr>
            <w:r>
              <w:rPr>
                <w:b/>
                <w:bCs/>
                <w:color w:val="FF0000"/>
                <w:sz w:val="21"/>
                <w:szCs w:val="21"/>
                <w:highlight w:val="none"/>
                <w:lang w:val="zh-CN"/>
              </w:rPr>
              <w:t>排放</w:t>
            </w:r>
            <w:r>
              <w:rPr>
                <w:rFonts w:hint="eastAsia"/>
                <w:b/>
                <w:bCs/>
                <w:color w:val="FF0000"/>
                <w:sz w:val="21"/>
                <w:szCs w:val="21"/>
                <w:highlight w:val="none"/>
                <w:lang w:val="en-US" w:eastAsia="zh-CN"/>
              </w:rPr>
              <w:t>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2" w:hRule="atLeast"/>
        </w:trPr>
        <w:tc>
          <w:tcPr>
            <w:tcW w:w="533" w:type="dxa"/>
            <w:vMerge w:val="restart"/>
            <w:noWrap w:val="0"/>
            <w:vAlign w:val="center"/>
          </w:tcPr>
          <w:p>
            <w:pPr>
              <w:pStyle w:val="308"/>
              <w:snapToGrid w:val="0"/>
              <w:spacing w:line="240" w:lineRule="atLeast"/>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营运期</w:t>
            </w:r>
          </w:p>
        </w:tc>
        <w:tc>
          <w:tcPr>
            <w:tcW w:w="584" w:type="dxa"/>
            <w:vMerge w:val="restart"/>
            <w:noWrap w:val="0"/>
            <w:vAlign w:val="center"/>
          </w:tcPr>
          <w:p>
            <w:pPr>
              <w:pStyle w:val="308"/>
              <w:snapToGrid w:val="0"/>
              <w:spacing w:line="240" w:lineRule="atLeast"/>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废气</w:t>
            </w:r>
          </w:p>
        </w:tc>
        <w:tc>
          <w:tcPr>
            <w:tcW w:w="1781" w:type="dxa"/>
            <w:gridSpan w:val="2"/>
            <w:noWrap w:val="0"/>
            <w:vAlign w:val="center"/>
          </w:tcPr>
          <w:p>
            <w:pPr>
              <w:pStyle w:val="308"/>
              <w:snapToGrid w:val="0"/>
              <w:spacing w:line="240" w:lineRule="atLeast"/>
              <w:jc w:val="center"/>
              <w:rPr>
                <w:rFonts w:hint="eastAsia" w:eastAsia="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焊接烟尘</w:t>
            </w:r>
          </w:p>
        </w:tc>
        <w:tc>
          <w:tcPr>
            <w:tcW w:w="1234" w:type="dxa"/>
            <w:noWrap w:val="0"/>
            <w:vAlign w:val="center"/>
          </w:tcPr>
          <w:p>
            <w:pPr>
              <w:pStyle w:val="308"/>
              <w:snapToGrid w:val="0"/>
              <w:spacing w:line="240" w:lineRule="atLeast"/>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锡及其化合物、颗粒物</w:t>
            </w:r>
          </w:p>
        </w:tc>
        <w:tc>
          <w:tcPr>
            <w:tcW w:w="1367" w:type="dxa"/>
            <w:noWrap w:val="0"/>
            <w:vAlign w:val="center"/>
          </w:tcPr>
          <w:p>
            <w:pPr>
              <w:pStyle w:val="308"/>
              <w:snapToGrid w:val="0"/>
              <w:spacing w:line="240" w:lineRule="atLeast"/>
              <w:jc w:val="center"/>
              <w:rPr>
                <w:rFonts w:hint="default" w:eastAsia="宋体"/>
                <w:color w:val="FF0000"/>
                <w:sz w:val="21"/>
                <w:szCs w:val="21"/>
                <w:highlight w:val="none"/>
                <w:lang w:val="en-US" w:eastAsia="zh-CN"/>
              </w:rPr>
            </w:pPr>
            <w:r>
              <w:rPr>
                <w:rFonts w:hint="eastAsia"/>
                <w:color w:val="FF0000"/>
                <w:sz w:val="21"/>
                <w:szCs w:val="21"/>
                <w:highlight w:val="none"/>
                <w:lang w:val="en-US" w:eastAsia="zh-CN"/>
              </w:rPr>
              <w:t>0.434</w:t>
            </w:r>
          </w:p>
        </w:tc>
        <w:tc>
          <w:tcPr>
            <w:tcW w:w="1458" w:type="dxa"/>
            <w:noWrap w:val="0"/>
            <w:vAlign w:val="center"/>
          </w:tcPr>
          <w:p>
            <w:pPr>
              <w:pStyle w:val="308"/>
              <w:snapToGrid w:val="0"/>
              <w:spacing w:line="240" w:lineRule="atLeast"/>
              <w:jc w:val="center"/>
              <w:rPr>
                <w:rFonts w:hint="default"/>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集气罩+锡烟净化器+15m排气筒</w:t>
            </w:r>
          </w:p>
        </w:tc>
        <w:tc>
          <w:tcPr>
            <w:tcW w:w="1458" w:type="dxa"/>
            <w:noWrap w:val="0"/>
            <w:vAlign w:val="center"/>
          </w:tcPr>
          <w:p>
            <w:pPr>
              <w:keepNext w:val="0"/>
              <w:keepLines w:val="0"/>
              <w:suppressLineNumbers w:val="0"/>
              <w:snapToGrid w:val="0"/>
              <w:spacing w:before="0" w:beforeAutospacing="0" w:after="0" w:afterAutospacing="0" w:line="240" w:lineRule="atLeast"/>
              <w:ind w:left="0" w:right="0"/>
              <w:jc w:val="center"/>
              <w:rPr>
                <w:rFonts w:hint="default" w:eastAsia="宋体"/>
                <w:color w:val="FF0000"/>
                <w:szCs w:val="21"/>
                <w:highlight w:val="none"/>
                <w:lang w:val="en-US" w:eastAsia="zh-CN"/>
              </w:rPr>
            </w:pPr>
            <w:r>
              <w:rPr>
                <w:rFonts w:hint="eastAsia"/>
                <w:color w:val="FF0000"/>
                <w:szCs w:val="21"/>
                <w:highlight w:val="none"/>
                <w:lang w:val="en-US" w:eastAsia="zh-CN"/>
              </w:rPr>
              <w:t>0.0034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2" w:hRule="atLeast"/>
        </w:trPr>
        <w:tc>
          <w:tcPr>
            <w:tcW w:w="533" w:type="dxa"/>
            <w:vMerge w:val="continue"/>
            <w:noWrap w:val="0"/>
            <w:vAlign w:val="center"/>
          </w:tcPr>
          <w:p>
            <w:pPr>
              <w:pStyle w:val="308"/>
              <w:snapToGrid w:val="0"/>
              <w:spacing w:line="240" w:lineRule="atLeast"/>
              <w:jc w:val="center"/>
              <w:rPr>
                <w:color w:val="000000" w:themeColor="text1"/>
                <w:sz w:val="21"/>
                <w:szCs w:val="21"/>
                <w:highlight w:val="none"/>
                <w14:textFill>
                  <w14:solidFill>
                    <w14:schemeClr w14:val="tx1"/>
                  </w14:solidFill>
                </w14:textFill>
              </w:rPr>
            </w:pPr>
          </w:p>
        </w:tc>
        <w:tc>
          <w:tcPr>
            <w:tcW w:w="584" w:type="dxa"/>
            <w:vMerge w:val="continue"/>
            <w:noWrap w:val="0"/>
            <w:vAlign w:val="center"/>
          </w:tcPr>
          <w:p>
            <w:pPr>
              <w:pStyle w:val="308"/>
              <w:snapToGrid w:val="0"/>
              <w:spacing w:line="240" w:lineRule="atLeast"/>
              <w:jc w:val="center"/>
              <w:rPr>
                <w:color w:val="000000" w:themeColor="text1"/>
                <w:sz w:val="21"/>
                <w:szCs w:val="21"/>
                <w:highlight w:val="none"/>
                <w14:textFill>
                  <w14:solidFill>
                    <w14:schemeClr w14:val="tx1"/>
                  </w14:solidFill>
                </w14:textFill>
              </w:rPr>
            </w:pPr>
          </w:p>
        </w:tc>
        <w:tc>
          <w:tcPr>
            <w:tcW w:w="1781" w:type="dxa"/>
            <w:gridSpan w:val="2"/>
            <w:noWrap w:val="0"/>
            <w:vAlign w:val="center"/>
          </w:tcPr>
          <w:p>
            <w:pPr>
              <w:pStyle w:val="308"/>
              <w:snapToGrid w:val="0"/>
              <w:spacing w:line="240" w:lineRule="atLeast"/>
              <w:jc w:val="center"/>
              <w:rPr>
                <w:rFonts w:hint="eastAsia" w:eastAsia="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有机废气</w:t>
            </w:r>
          </w:p>
        </w:tc>
        <w:tc>
          <w:tcPr>
            <w:tcW w:w="1234" w:type="dxa"/>
            <w:noWrap w:val="0"/>
            <w:vAlign w:val="center"/>
          </w:tcPr>
          <w:p>
            <w:pPr>
              <w:keepNext w:val="0"/>
              <w:keepLines w:val="0"/>
              <w:suppressLineNumbers w:val="0"/>
              <w:snapToGrid w:val="0"/>
              <w:spacing w:before="0" w:beforeAutospacing="0" w:after="0" w:afterAutospacing="0" w:line="240" w:lineRule="atLeast"/>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有机废气</w:t>
            </w:r>
          </w:p>
        </w:tc>
        <w:tc>
          <w:tcPr>
            <w:tcW w:w="1367" w:type="dxa"/>
            <w:noWrap w:val="0"/>
            <w:vAlign w:val="center"/>
          </w:tcPr>
          <w:p>
            <w:pPr>
              <w:keepNext w:val="0"/>
              <w:keepLines w:val="0"/>
              <w:suppressLineNumbers w:val="0"/>
              <w:snapToGrid w:val="0"/>
              <w:spacing w:before="0" w:beforeAutospacing="0" w:after="0" w:afterAutospacing="0" w:line="240" w:lineRule="atLeast"/>
              <w:ind w:left="0" w:right="0"/>
              <w:jc w:val="center"/>
              <w:rPr>
                <w:rFonts w:hint="default" w:eastAsia="宋体"/>
                <w:color w:val="FF0000"/>
                <w:szCs w:val="21"/>
                <w:highlight w:val="none"/>
                <w:lang w:val="en-US" w:eastAsia="zh-CN"/>
              </w:rPr>
            </w:pPr>
            <w:r>
              <w:rPr>
                <w:rFonts w:hint="eastAsia"/>
                <w:color w:val="FF0000"/>
                <w:szCs w:val="21"/>
                <w:highlight w:val="none"/>
                <w:lang w:val="en-US" w:eastAsia="zh-CN"/>
              </w:rPr>
              <w:t>3.16</w:t>
            </w:r>
          </w:p>
        </w:tc>
        <w:tc>
          <w:tcPr>
            <w:tcW w:w="1458" w:type="dxa"/>
            <w:noWrap w:val="0"/>
            <w:vAlign w:val="center"/>
          </w:tcPr>
          <w:p>
            <w:pPr>
              <w:keepNext w:val="0"/>
              <w:keepLines w:val="0"/>
              <w:suppressLineNumbers w:val="0"/>
              <w:snapToGrid w:val="0"/>
              <w:spacing w:before="0" w:beforeAutospacing="0" w:after="0" w:afterAutospacing="0" w:line="240" w:lineRule="atLeast"/>
              <w:ind w:left="0" w:right="0"/>
              <w:jc w:val="center"/>
              <w:rPr>
                <w:rFonts w:hint="eastAsia"/>
                <w:color w:val="000000" w:themeColor="text1"/>
                <w:szCs w:val="21"/>
                <w:highlight w:val="none"/>
                <w:lang w:val="en-US" w:eastAsia="zh-CN"/>
                <w14:textFill>
                  <w14:solidFill>
                    <w14:schemeClr w14:val="tx1"/>
                  </w14:solidFill>
                </w14:textFill>
              </w:rPr>
            </w:pPr>
            <w:r>
              <w:rPr>
                <w:rFonts w:hint="eastAsia"/>
                <w:color w:val="000000" w:themeColor="text1"/>
                <w:sz w:val="21"/>
                <w:szCs w:val="21"/>
                <w:highlight w:val="none"/>
                <w:lang w:val="en-US" w:eastAsia="zh-CN"/>
                <w14:textFill>
                  <w14:solidFill>
                    <w14:schemeClr w14:val="tx1"/>
                  </w14:solidFill>
                </w14:textFill>
              </w:rPr>
              <w:t>集气罩+活性炭吸附装置+15m排气筒</w:t>
            </w:r>
          </w:p>
        </w:tc>
        <w:tc>
          <w:tcPr>
            <w:tcW w:w="1458" w:type="dxa"/>
            <w:noWrap w:val="0"/>
            <w:vAlign w:val="center"/>
          </w:tcPr>
          <w:p>
            <w:pPr>
              <w:keepNext w:val="0"/>
              <w:keepLines w:val="0"/>
              <w:suppressLineNumbers w:val="0"/>
              <w:snapToGrid w:val="0"/>
              <w:spacing w:before="0" w:beforeAutospacing="0" w:after="0" w:afterAutospacing="0" w:line="240" w:lineRule="atLeast"/>
              <w:ind w:left="0" w:right="0"/>
              <w:jc w:val="center"/>
              <w:rPr>
                <w:rFonts w:hint="default" w:eastAsia="宋体"/>
                <w:color w:val="FF0000"/>
                <w:szCs w:val="21"/>
                <w:highlight w:val="none"/>
                <w:lang w:val="en-US" w:eastAsia="zh-CN"/>
              </w:rPr>
            </w:pPr>
            <w:r>
              <w:rPr>
                <w:rFonts w:hint="eastAsia"/>
                <w:color w:val="FF0000"/>
                <w:szCs w:val="21"/>
                <w:highlight w:val="none"/>
                <w:lang w:val="en-US" w:eastAsia="zh-CN"/>
              </w:rPr>
              <w:t>0.656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575" w:hRule="atLeast"/>
        </w:trPr>
        <w:tc>
          <w:tcPr>
            <w:tcW w:w="533" w:type="dxa"/>
            <w:vMerge w:val="continue"/>
            <w:noWrap w:val="0"/>
            <w:vAlign w:val="center"/>
          </w:tcPr>
          <w:p>
            <w:pPr>
              <w:pStyle w:val="308"/>
              <w:snapToGrid w:val="0"/>
              <w:spacing w:line="240" w:lineRule="atLeast"/>
              <w:jc w:val="center"/>
              <w:rPr>
                <w:color w:val="000000" w:themeColor="text1"/>
                <w:sz w:val="21"/>
                <w:szCs w:val="21"/>
                <w:highlight w:val="none"/>
                <w14:textFill>
                  <w14:solidFill>
                    <w14:schemeClr w14:val="tx1"/>
                  </w14:solidFill>
                </w14:textFill>
              </w:rPr>
            </w:pPr>
          </w:p>
        </w:tc>
        <w:tc>
          <w:tcPr>
            <w:tcW w:w="584" w:type="dxa"/>
            <w:tcBorders>
              <w:top w:val="single" w:color="auto" w:sz="4" w:space="0"/>
            </w:tcBorders>
            <w:noWrap w:val="0"/>
            <w:vAlign w:val="center"/>
          </w:tcPr>
          <w:p>
            <w:pPr>
              <w:pStyle w:val="308"/>
              <w:snapToGrid w:val="0"/>
              <w:spacing w:line="240" w:lineRule="atLeast"/>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废水</w:t>
            </w:r>
          </w:p>
        </w:tc>
        <w:tc>
          <w:tcPr>
            <w:tcW w:w="7298" w:type="dxa"/>
            <w:gridSpan w:val="6"/>
            <w:tcBorders>
              <w:top w:val="single" w:color="auto" w:sz="4" w:space="0"/>
            </w:tcBorders>
            <w:noWrap w:val="0"/>
            <w:vAlign w:val="center"/>
          </w:tcPr>
          <w:p>
            <w:pPr>
              <w:keepNext w:val="0"/>
              <w:keepLines w:val="0"/>
              <w:suppressLineNumbers w:val="0"/>
              <w:snapToGrid w:val="0"/>
              <w:spacing w:before="0" w:beforeAutospacing="0" w:after="0" w:afterAutospacing="0" w:line="240" w:lineRule="atLeast"/>
              <w:ind w:left="0" w:right="0"/>
              <w:jc w:val="center"/>
              <w:rPr>
                <w:rFonts w:hint="eastAsia"/>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项目废水主要为生活污水，本项目扩建无新增劳动定员，依托原有员工，不新增外排生活污水。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2" w:hRule="atLeast"/>
        </w:trPr>
        <w:tc>
          <w:tcPr>
            <w:tcW w:w="533" w:type="dxa"/>
            <w:vMerge w:val="continue"/>
            <w:noWrap w:val="0"/>
            <w:vAlign w:val="center"/>
          </w:tcPr>
          <w:p>
            <w:pPr>
              <w:pStyle w:val="308"/>
              <w:snapToGrid w:val="0"/>
              <w:spacing w:line="240" w:lineRule="atLeast"/>
              <w:jc w:val="center"/>
              <w:rPr>
                <w:color w:val="000000" w:themeColor="text1"/>
                <w:sz w:val="21"/>
                <w:szCs w:val="21"/>
                <w:highlight w:val="none"/>
                <w14:textFill>
                  <w14:solidFill>
                    <w14:schemeClr w14:val="tx1"/>
                  </w14:solidFill>
                </w14:textFill>
              </w:rPr>
            </w:pPr>
          </w:p>
        </w:tc>
        <w:tc>
          <w:tcPr>
            <w:tcW w:w="584" w:type="dxa"/>
            <w:noWrap w:val="0"/>
            <w:vAlign w:val="center"/>
          </w:tcPr>
          <w:p>
            <w:pPr>
              <w:pStyle w:val="308"/>
              <w:snapToGrid w:val="0"/>
              <w:spacing w:line="240" w:lineRule="atLeast"/>
              <w:jc w:val="center"/>
              <w:rPr>
                <w:color w:val="000000" w:themeColor="text1"/>
                <w:sz w:val="21"/>
                <w:szCs w:val="21"/>
                <w:highlight w:val="none"/>
                <w:lang w:val="zh-CN"/>
                <w14:textFill>
                  <w14:solidFill>
                    <w14:schemeClr w14:val="tx1"/>
                  </w14:solidFill>
                </w14:textFill>
              </w:rPr>
            </w:pPr>
            <w:r>
              <w:rPr>
                <w:color w:val="000000" w:themeColor="text1"/>
                <w:sz w:val="21"/>
                <w:szCs w:val="21"/>
                <w:highlight w:val="none"/>
                <w:lang w:val="zh-CN"/>
                <w14:textFill>
                  <w14:solidFill>
                    <w14:schemeClr w14:val="tx1"/>
                  </w14:solidFill>
                </w14:textFill>
              </w:rPr>
              <w:t>噪声</w:t>
            </w:r>
          </w:p>
        </w:tc>
        <w:tc>
          <w:tcPr>
            <w:tcW w:w="1781" w:type="dxa"/>
            <w:gridSpan w:val="2"/>
            <w:noWrap w:val="0"/>
            <w:vAlign w:val="center"/>
          </w:tcPr>
          <w:p>
            <w:pPr>
              <w:pStyle w:val="308"/>
              <w:snapToGrid w:val="0"/>
              <w:spacing w:line="240" w:lineRule="atLeast"/>
              <w:jc w:val="center"/>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生产</w:t>
            </w:r>
          </w:p>
        </w:tc>
        <w:tc>
          <w:tcPr>
            <w:tcW w:w="1234" w:type="dxa"/>
            <w:noWrap w:val="0"/>
            <w:vAlign w:val="center"/>
          </w:tcPr>
          <w:p>
            <w:pPr>
              <w:pStyle w:val="308"/>
              <w:snapToGrid w:val="0"/>
              <w:spacing w:line="240" w:lineRule="atLeast"/>
              <w:jc w:val="center"/>
              <w:rPr>
                <w:color w:val="000000" w:themeColor="text1"/>
                <w:sz w:val="21"/>
                <w:szCs w:val="21"/>
                <w:highlight w:val="none"/>
                <w:lang w:val="zh-CN"/>
                <w14:textFill>
                  <w14:solidFill>
                    <w14:schemeClr w14:val="tx1"/>
                  </w14:solidFill>
                </w14:textFill>
              </w:rPr>
            </w:pPr>
            <w:r>
              <w:rPr>
                <w:color w:val="000000" w:themeColor="text1"/>
                <w:sz w:val="21"/>
                <w:szCs w:val="21"/>
                <w:highlight w:val="none"/>
                <w:lang w:val="zh-CN"/>
                <w14:textFill>
                  <w14:solidFill>
                    <w14:schemeClr w14:val="tx1"/>
                  </w14:solidFill>
                </w14:textFill>
              </w:rPr>
              <w:t>噪声</w:t>
            </w:r>
          </w:p>
        </w:tc>
        <w:tc>
          <w:tcPr>
            <w:tcW w:w="1367" w:type="dxa"/>
            <w:noWrap w:val="0"/>
            <w:vAlign w:val="center"/>
          </w:tcPr>
          <w:p>
            <w:pPr>
              <w:pStyle w:val="308"/>
              <w:snapToGrid w:val="0"/>
              <w:spacing w:line="240" w:lineRule="atLeast"/>
              <w:jc w:val="center"/>
              <w:rPr>
                <w:rFonts w:hint="eastAsia" w:eastAsia="宋体"/>
                <w:color w:val="FF0000"/>
                <w:sz w:val="21"/>
                <w:szCs w:val="21"/>
                <w:highlight w:val="none"/>
                <w:lang w:val="en-US" w:eastAsia="zh-CN"/>
              </w:rPr>
            </w:pPr>
            <w:r>
              <w:rPr>
                <w:rFonts w:hint="eastAsia"/>
                <w:color w:val="FF0000"/>
                <w:sz w:val="21"/>
                <w:szCs w:val="21"/>
                <w:highlight w:val="none"/>
                <w:lang w:val="en-US" w:eastAsia="zh-CN"/>
              </w:rPr>
              <w:t>/</w:t>
            </w:r>
          </w:p>
        </w:tc>
        <w:tc>
          <w:tcPr>
            <w:tcW w:w="1458" w:type="dxa"/>
            <w:noWrap w:val="0"/>
            <w:vAlign w:val="center"/>
          </w:tcPr>
          <w:p>
            <w:pPr>
              <w:pStyle w:val="308"/>
              <w:snapToGrid w:val="0"/>
              <w:spacing w:line="240" w:lineRule="atLeast"/>
              <w:jc w:val="center"/>
              <w:rPr>
                <w:rFonts w:hint="eastAsia" w:ascii="Times New Roman" w:hAnsi="Times New Roman" w:eastAsia="宋体" w:cs="Times New Roman"/>
                <w:color w:val="000000" w:themeColor="text1"/>
                <w:kern w:val="2"/>
                <w:sz w:val="21"/>
                <w:szCs w:val="21"/>
                <w:highlight w:val="none"/>
                <w:lang w:val="zh-CN" w:eastAsia="zh-CN" w:bidi="ar-SA"/>
                <w14:textFill>
                  <w14:solidFill>
                    <w14:schemeClr w14:val="tx1"/>
                  </w14:solidFill>
                </w14:textFill>
              </w:rPr>
            </w:pPr>
            <w: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t>厂房隔声、基础减震</w:t>
            </w:r>
          </w:p>
        </w:tc>
        <w:tc>
          <w:tcPr>
            <w:tcW w:w="1458" w:type="dxa"/>
            <w:noWrap w:val="0"/>
            <w:vAlign w:val="center"/>
          </w:tcPr>
          <w:p>
            <w:pPr>
              <w:keepNext w:val="0"/>
              <w:keepLines w:val="0"/>
              <w:suppressLineNumbers w:val="0"/>
              <w:snapToGrid w:val="0"/>
              <w:spacing w:before="0" w:beforeAutospacing="0" w:after="0" w:afterAutospacing="0" w:line="240" w:lineRule="atLeast"/>
              <w:ind w:left="0" w:right="0"/>
              <w:jc w:val="center"/>
              <w:rPr>
                <w:color w:val="FF0000"/>
                <w:szCs w:val="21"/>
                <w:highlight w:val="none"/>
                <w:lang w:val="zh-CN"/>
              </w:rPr>
            </w:pPr>
            <w:r>
              <w:rPr>
                <w:color w:val="FF0000"/>
                <w:szCs w:val="21"/>
                <w:highlight w:val="none"/>
              </w:rPr>
              <w:t>间断</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67" w:hRule="atLeast"/>
        </w:trPr>
        <w:tc>
          <w:tcPr>
            <w:tcW w:w="533" w:type="dxa"/>
            <w:vMerge w:val="continue"/>
            <w:noWrap w:val="0"/>
            <w:vAlign w:val="center"/>
          </w:tcPr>
          <w:p>
            <w:pPr>
              <w:pStyle w:val="308"/>
              <w:snapToGrid w:val="0"/>
              <w:spacing w:line="240" w:lineRule="atLeast"/>
              <w:jc w:val="center"/>
              <w:rPr>
                <w:color w:val="000000" w:themeColor="text1"/>
                <w:sz w:val="21"/>
                <w:szCs w:val="21"/>
                <w:highlight w:val="none"/>
                <w:lang w:val="zh-CN"/>
                <w14:textFill>
                  <w14:solidFill>
                    <w14:schemeClr w14:val="tx1"/>
                  </w14:solidFill>
                </w14:textFill>
              </w:rPr>
            </w:pPr>
          </w:p>
        </w:tc>
        <w:tc>
          <w:tcPr>
            <w:tcW w:w="584" w:type="dxa"/>
            <w:vMerge w:val="restart"/>
            <w:noWrap w:val="0"/>
            <w:vAlign w:val="center"/>
          </w:tcPr>
          <w:p>
            <w:pPr>
              <w:pStyle w:val="308"/>
              <w:snapToGrid w:val="0"/>
              <w:spacing w:line="240" w:lineRule="atLeast"/>
              <w:jc w:val="center"/>
              <w:rPr>
                <w:color w:val="000000" w:themeColor="text1"/>
                <w:sz w:val="21"/>
                <w:szCs w:val="21"/>
                <w:highlight w:val="none"/>
                <w:lang w:val="zh-CN"/>
                <w14:textFill>
                  <w14:solidFill>
                    <w14:schemeClr w14:val="tx1"/>
                  </w14:solidFill>
                </w14:textFill>
              </w:rPr>
            </w:pPr>
            <w:r>
              <w:rPr>
                <w:color w:val="000000" w:themeColor="text1"/>
                <w:sz w:val="21"/>
                <w:szCs w:val="21"/>
                <w:highlight w:val="none"/>
                <w:lang w:val="zh-CN"/>
                <w14:textFill>
                  <w14:solidFill>
                    <w14:schemeClr w14:val="tx1"/>
                  </w14:solidFill>
                </w14:textFill>
              </w:rPr>
              <w:t>固废</w:t>
            </w:r>
          </w:p>
        </w:tc>
        <w:tc>
          <w:tcPr>
            <w:tcW w:w="528" w:type="dxa"/>
            <w:vMerge w:val="restar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szCs w:val="21"/>
                <w:highlight w:val="none"/>
                <w:lang w:val="en-US" w:eastAsia="zh-CN"/>
                <w14:textFill>
                  <w14:solidFill>
                    <w14:schemeClr w14:val="tx1"/>
                  </w14:solidFill>
                </w14:textFill>
              </w:rPr>
            </w:pPr>
            <w:r>
              <w:rPr>
                <w:rFonts w:hint="eastAsia" w:eastAsia="宋体"/>
                <w:color w:val="000000" w:themeColor="text1"/>
                <w:szCs w:val="21"/>
                <w:highlight w:val="none"/>
                <w:lang w:val="en-US" w:eastAsia="zh-CN"/>
                <w14:textFill>
                  <w14:solidFill>
                    <w14:schemeClr w14:val="tx1"/>
                  </w14:solidFill>
                </w14:textFill>
              </w:rPr>
              <w:t>一般固废</w:t>
            </w:r>
          </w:p>
        </w:tc>
        <w:tc>
          <w:tcPr>
            <w:tcW w:w="1253" w:type="dxa"/>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废元器件、线路板、废包装、不合格品</w:t>
            </w:r>
          </w:p>
        </w:tc>
        <w:tc>
          <w:tcPr>
            <w:tcW w:w="1234" w:type="dxa"/>
            <w:noWrap w:val="0"/>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废元器件、线路板和废包装</w:t>
            </w:r>
          </w:p>
        </w:tc>
        <w:tc>
          <w:tcPr>
            <w:tcW w:w="1367" w:type="dxa"/>
            <w:noWrap w:val="0"/>
            <w:vAlign w:val="center"/>
          </w:tcPr>
          <w:p>
            <w:pPr>
              <w:keepNext w:val="0"/>
              <w:keepLines w:val="0"/>
              <w:suppressLineNumbers w:val="0"/>
              <w:spacing w:before="0" w:beforeAutospacing="0" w:after="0" w:afterAutospacing="0"/>
              <w:ind w:left="0" w:right="0"/>
              <w:jc w:val="center"/>
              <w:rPr>
                <w:rFonts w:hint="default" w:eastAsia="宋体"/>
                <w:color w:val="FF0000"/>
                <w:szCs w:val="21"/>
                <w:highlight w:val="none"/>
                <w:lang w:val="en-US" w:eastAsia="zh-CN"/>
              </w:rPr>
            </w:pPr>
            <w:r>
              <w:rPr>
                <w:rFonts w:hint="eastAsia"/>
                <w:color w:val="FF0000"/>
                <w:szCs w:val="21"/>
                <w:highlight w:val="none"/>
                <w:lang w:val="en-US" w:eastAsia="zh-CN"/>
              </w:rPr>
              <w:t>2.8</w:t>
            </w:r>
          </w:p>
        </w:tc>
        <w:tc>
          <w:tcPr>
            <w:tcW w:w="1458" w:type="dxa"/>
            <w:noWrap w:val="0"/>
            <w:vAlign w:val="center"/>
          </w:tcPr>
          <w:p>
            <w:pPr>
              <w:keepNext w:val="0"/>
              <w:keepLines w:val="0"/>
              <w:suppressLineNumbers w:val="0"/>
              <w:snapToGrid w:val="0"/>
              <w:spacing w:before="0" w:beforeAutospacing="0" w:after="0" w:afterAutospacing="0" w:line="240" w:lineRule="atLeast"/>
              <w:ind w:left="0" w:right="0"/>
              <w:jc w:val="cente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厂家回收综合利用</w:t>
            </w:r>
          </w:p>
        </w:tc>
        <w:tc>
          <w:tcPr>
            <w:tcW w:w="1458" w:type="dxa"/>
            <w:noWrap w:val="0"/>
            <w:vAlign w:val="center"/>
          </w:tcPr>
          <w:p>
            <w:pPr>
              <w:keepNext w:val="0"/>
              <w:keepLines w:val="0"/>
              <w:suppressLineNumbers w:val="0"/>
              <w:snapToGrid w:val="0"/>
              <w:spacing w:before="0" w:beforeAutospacing="0" w:after="0" w:afterAutospacing="0" w:line="240" w:lineRule="atLeast"/>
              <w:ind w:left="0" w:right="0"/>
              <w:jc w:val="center"/>
              <w:rPr>
                <w:rFonts w:hint="default" w:eastAsia="宋体"/>
                <w:color w:val="FF0000"/>
                <w:szCs w:val="21"/>
                <w:highlight w:val="none"/>
                <w:lang w:val="en-US" w:eastAsia="zh-CN"/>
              </w:rPr>
            </w:pPr>
            <w:r>
              <w:rPr>
                <w:rFonts w:hint="eastAsia"/>
                <w:color w:val="FF0000"/>
                <w:szCs w:val="21"/>
                <w:highlight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67" w:hRule="atLeast"/>
        </w:trPr>
        <w:tc>
          <w:tcPr>
            <w:tcW w:w="533" w:type="dxa"/>
            <w:vMerge w:val="continue"/>
            <w:noWrap w:val="0"/>
            <w:vAlign w:val="center"/>
          </w:tcPr>
          <w:p>
            <w:pPr>
              <w:pStyle w:val="308"/>
              <w:snapToGrid w:val="0"/>
              <w:spacing w:line="240" w:lineRule="atLeast"/>
              <w:jc w:val="center"/>
              <w:rPr>
                <w:color w:val="000000" w:themeColor="text1"/>
                <w:sz w:val="21"/>
                <w:szCs w:val="21"/>
                <w:highlight w:val="none"/>
                <w:lang w:val="zh-CN"/>
                <w14:textFill>
                  <w14:solidFill>
                    <w14:schemeClr w14:val="tx1"/>
                  </w14:solidFill>
                </w14:textFill>
              </w:rPr>
            </w:pPr>
          </w:p>
        </w:tc>
        <w:tc>
          <w:tcPr>
            <w:tcW w:w="584" w:type="dxa"/>
            <w:vMerge w:val="continue"/>
            <w:noWrap w:val="0"/>
            <w:vAlign w:val="center"/>
          </w:tcPr>
          <w:p>
            <w:pPr>
              <w:pStyle w:val="308"/>
              <w:snapToGrid w:val="0"/>
              <w:spacing w:line="240" w:lineRule="atLeast"/>
              <w:jc w:val="center"/>
              <w:rPr>
                <w:color w:val="000000" w:themeColor="text1"/>
                <w:sz w:val="21"/>
                <w:szCs w:val="21"/>
                <w:highlight w:val="none"/>
                <w:lang w:val="zh-CN"/>
                <w14:textFill>
                  <w14:solidFill>
                    <w14:schemeClr w14:val="tx1"/>
                  </w14:solidFill>
                </w14:textFill>
              </w:rPr>
            </w:pPr>
          </w:p>
        </w:tc>
        <w:tc>
          <w:tcPr>
            <w:tcW w:w="528" w:type="dxa"/>
            <w:vMerge w:val="continue"/>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p>
        </w:tc>
        <w:tc>
          <w:tcPr>
            <w:tcW w:w="1253" w:type="dxa"/>
            <w:noWrap w:val="0"/>
            <w:vAlign w:val="center"/>
          </w:tcPr>
          <w:p>
            <w:pPr>
              <w:keepNext w:val="0"/>
              <w:keepLines w:val="0"/>
              <w:suppressLineNumbers w:val="0"/>
              <w:spacing w:before="0" w:beforeAutospacing="0" w:after="0" w:afterAutospacing="0"/>
              <w:ind w:left="0" w:right="0"/>
              <w:jc w:val="center"/>
              <w:rPr>
                <w:color w:val="000000" w:themeColor="text1"/>
                <w:kern w:val="2"/>
                <w:sz w:val="21"/>
                <w:szCs w:val="21"/>
                <w:highlight w:val="none"/>
                <w:lang w:val="en-US" w:eastAsia="zh-CN" w:bidi="ar-SA"/>
                <w14:textFill>
                  <w14:solidFill>
                    <w14:schemeClr w14:val="tx1"/>
                  </w14:solidFill>
                </w14:textFill>
              </w:rPr>
            </w:pPr>
            <w:r>
              <w:rPr>
                <w:color w:val="000000" w:themeColor="text1"/>
                <w:szCs w:val="21"/>
                <w:highlight w:val="none"/>
                <w14:textFill>
                  <w14:solidFill>
                    <w14:schemeClr w14:val="tx1"/>
                  </w14:solidFill>
                </w14:textFill>
              </w:rPr>
              <w:t>员工生活</w:t>
            </w:r>
          </w:p>
        </w:tc>
        <w:tc>
          <w:tcPr>
            <w:tcW w:w="1234" w:type="dxa"/>
            <w:noWrap w:val="0"/>
            <w:vAlign w:val="center"/>
          </w:tcPr>
          <w:p>
            <w:pPr>
              <w:keepNext w:val="0"/>
              <w:keepLines w:val="0"/>
              <w:suppressLineNumbers w:val="0"/>
              <w:spacing w:before="0" w:beforeAutospacing="0" w:after="0" w:afterAutospacing="0"/>
              <w:ind w:left="0" w:leftChars="0" w:right="0" w:rightChars="0"/>
              <w:jc w:val="center"/>
              <w:rPr>
                <w:rFonts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color w:val="000000" w:themeColor="text1"/>
                <w:szCs w:val="21"/>
                <w:highlight w:val="none"/>
                <w14:textFill>
                  <w14:solidFill>
                    <w14:schemeClr w14:val="tx1"/>
                  </w14:solidFill>
                </w14:textFill>
              </w:rPr>
              <w:t>生活垃圾</w:t>
            </w:r>
          </w:p>
        </w:tc>
        <w:tc>
          <w:tcPr>
            <w:tcW w:w="1367" w:type="dxa"/>
            <w:noWrap w:val="0"/>
            <w:vAlign w:val="center"/>
          </w:tcPr>
          <w:p>
            <w:pPr>
              <w:keepNext w:val="0"/>
              <w:keepLines w:val="0"/>
              <w:suppressLineNumbers w:val="0"/>
              <w:spacing w:before="0" w:beforeAutospacing="0" w:after="0" w:afterAutospacing="0"/>
              <w:ind w:left="0" w:right="0"/>
              <w:jc w:val="center"/>
              <w:rPr>
                <w:rFonts w:hint="eastAsia" w:eastAsia="宋体"/>
                <w:color w:val="FF0000"/>
                <w:szCs w:val="21"/>
                <w:highlight w:val="none"/>
                <w:lang w:val="en-US" w:eastAsia="zh-CN"/>
              </w:rPr>
            </w:pPr>
            <w:r>
              <w:rPr>
                <w:rFonts w:hint="eastAsia"/>
                <w:color w:val="FF0000"/>
                <w:szCs w:val="21"/>
                <w:highlight w:val="none"/>
                <w:lang w:val="en-US" w:eastAsia="zh-CN"/>
              </w:rPr>
              <w:t>/</w:t>
            </w:r>
          </w:p>
        </w:tc>
        <w:tc>
          <w:tcPr>
            <w:tcW w:w="1458" w:type="dxa"/>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环卫统一收集处理</w:t>
            </w:r>
          </w:p>
        </w:tc>
        <w:tc>
          <w:tcPr>
            <w:tcW w:w="1458" w:type="dxa"/>
            <w:noWrap w:val="0"/>
            <w:vAlign w:val="center"/>
          </w:tcPr>
          <w:p>
            <w:pPr>
              <w:keepNext w:val="0"/>
              <w:keepLines w:val="0"/>
              <w:suppressLineNumbers w:val="0"/>
              <w:snapToGrid w:val="0"/>
              <w:spacing w:before="0" w:beforeAutospacing="0" w:after="0" w:afterAutospacing="0" w:line="240" w:lineRule="atLeast"/>
              <w:ind w:left="0" w:right="0"/>
              <w:jc w:val="center"/>
              <w:rPr>
                <w:rFonts w:hint="eastAsia" w:eastAsia="宋体"/>
                <w:color w:val="FF0000"/>
                <w:szCs w:val="21"/>
                <w:highlight w:val="none"/>
                <w:lang w:val="en-US" w:eastAsia="zh-CN"/>
              </w:rPr>
            </w:pPr>
            <w:r>
              <w:rPr>
                <w:rFonts w:hint="eastAsia"/>
                <w:color w:val="FF0000"/>
                <w:szCs w:val="21"/>
                <w:highlight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34" w:hRule="atLeast"/>
        </w:trPr>
        <w:tc>
          <w:tcPr>
            <w:tcW w:w="533" w:type="dxa"/>
            <w:vMerge w:val="continue"/>
            <w:noWrap w:val="0"/>
            <w:vAlign w:val="center"/>
          </w:tcPr>
          <w:p>
            <w:pPr>
              <w:pStyle w:val="308"/>
              <w:snapToGrid w:val="0"/>
              <w:spacing w:line="240" w:lineRule="atLeast"/>
              <w:jc w:val="center"/>
              <w:rPr>
                <w:color w:val="000000" w:themeColor="text1"/>
                <w:sz w:val="21"/>
                <w:szCs w:val="21"/>
                <w:highlight w:val="none"/>
                <w:lang w:val="zh-CN"/>
                <w14:textFill>
                  <w14:solidFill>
                    <w14:schemeClr w14:val="tx1"/>
                  </w14:solidFill>
                </w14:textFill>
              </w:rPr>
            </w:pPr>
          </w:p>
        </w:tc>
        <w:tc>
          <w:tcPr>
            <w:tcW w:w="584" w:type="dxa"/>
            <w:vMerge w:val="continue"/>
            <w:noWrap w:val="0"/>
            <w:vAlign w:val="center"/>
          </w:tcPr>
          <w:p>
            <w:pPr>
              <w:pStyle w:val="308"/>
              <w:snapToGrid w:val="0"/>
              <w:spacing w:line="240" w:lineRule="atLeast"/>
              <w:jc w:val="center"/>
              <w:rPr>
                <w:color w:val="000000" w:themeColor="text1"/>
                <w:sz w:val="21"/>
                <w:szCs w:val="21"/>
                <w:highlight w:val="none"/>
                <w:lang w:val="zh-CN"/>
                <w14:textFill>
                  <w14:solidFill>
                    <w14:schemeClr w14:val="tx1"/>
                  </w14:solidFill>
                </w14:textFill>
              </w:rPr>
            </w:pPr>
          </w:p>
        </w:tc>
        <w:tc>
          <w:tcPr>
            <w:tcW w:w="528" w:type="dxa"/>
            <w:vMerge w:val="restart"/>
            <w:noWrap w:val="0"/>
            <w:vAlign w:val="center"/>
          </w:tcPr>
          <w:p>
            <w:pPr>
              <w:keepNext w:val="0"/>
              <w:keepLines w:val="0"/>
              <w:suppressLineNumbers w:val="0"/>
              <w:spacing w:before="0" w:beforeAutospacing="0" w:after="0" w:afterAutospacing="0"/>
              <w:ind w:left="0" w:right="0"/>
              <w:jc w:val="center"/>
              <w:rPr>
                <w:rFonts w:hint="eastAsia"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危废</w:t>
            </w:r>
          </w:p>
        </w:tc>
        <w:tc>
          <w:tcPr>
            <w:tcW w:w="1253" w:type="dxa"/>
            <w:noWrap w:val="0"/>
            <w:vAlign w:val="center"/>
          </w:tcPr>
          <w:p>
            <w:pPr>
              <w:keepNext w:val="0"/>
              <w:keepLines w:val="0"/>
              <w:suppressLineNumbers w:val="0"/>
              <w:spacing w:before="0" w:beforeAutospacing="0" w:after="0" w:afterAutospacing="0"/>
              <w:ind w:left="0" w:right="0"/>
              <w:jc w:val="center"/>
              <w:rPr>
                <w:color w:val="000000" w:themeColor="text1"/>
                <w:kern w:val="2"/>
                <w:sz w:val="21"/>
                <w:szCs w:val="21"/>
                <w:highlight w:val="none"/>
                <w:lang w:val="en-US" w:eastAsia="zh-CN" w:bidi="ar-SA"/>
                <w14:textFill>
                  <w14:solidFill>
                    <w14:schemeClr w14:val="tx1"/>
                  </w14:solidFill>
                </w14:textFill>
              </w:rPr>
            </w:pPr>
            <w:r>
              <w:rPr>
                <w:color w:val="000000" w:themeColor="text1"/>
                <w:szCs w:val="21"/>
                <w:highlight w:val="none"/>
                <w14:textFill>
                  <w14:solidFill>
                    <w14:schemeClr w14:val="tx1"/>
                  </w14:solidFill>
                </w14:textFill>
              </w:rPr>
              <w:t>废包装桶</w:t>
            </w:r>
          </w:p>
        </w:tc>
        <w:tc>
          <w:tcPr>
            <w:tcW w:w="1234" w:type="dxa"/>
            <w:noWrap w:val="0"/>
            <w:vAlign w:val="center"/>
          </w:tcPr>
          <w:p>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color w:val="000000" w:themeColor="text1"/>
                <w:szCs w:val="21"/>
                <w:highlight w:val="none"/>
                <w14:textFill>
                  <w14:solidFill>
                    <w14:schemeClr w14:val="tx1"/>
                  </w14:solidFill>
                </w14:textFill>
              </w:rPr>
              <w:t>废</w:t>
            </w:r>
            <w:r>
              <w:rPr>
                <w:rFonts w:hint="eastAsia"/>
                <w:color w:val="000000" w:themeColor="text1"/>
                <w:szCs w:val="21"/>
                <w:highlight w:val="none"/>
                <w:lang w:val="en-US" w:eastAsia="zh-CN"/>
                <w14:textFill>
                  <w14:solidFill>
                    <w14:schemeClr w14:val="tx1"/>
                  </w14:solidFill>
                </w14:textFill>
              </w:rPr>
              <w:t>胶水</w:t>
            </w:r>
            <w:r>
              <w:rPr>
                <w:color w:val="000000" w:themeColor="text1"/>
                <w:szCs w:val="21"/>
                <w:highlight w:val="none"/>
                <w14:textFill>
                  <w14:solidFill>
                    <w14:schemeClr w14:val="tx1"/>
                  </w14:solidFill>
                </w14:textFill>
              </w:rPr>
              <w:t>桶</w:t>
            </w:r>
          </w:p>
        </w:tc>
        <w:tc>
          <w:tcPr>
            <w:tcW w:w="1367" w:type="dxa"/>
            <w:noWrap w:val="0"/>
            <w:vAlign w:val="center"/>
          </w:tcPr>
          <w:p>
            <w:pPr>
              <w:keepNext w:val="0"/>
              <w:keepLines w:val="0"/>
              <w:suppressLineNumbers w:val="0"/>
              <w:spacing w:before="0" w:beforeAutospacing="0" w:after="0" w:afterAutospacing="0"/>
              <w:ind w:left="0" w:right="0"/>
              <w:jc w:val="center"/>
              <w:rPr>
                <w:rFonts w:hint="eastAsia" w:eastAsia="宋体"/>
                <w:color w:val="FF0000"/>
                <w:szCs w:val="21"/>
                <w:highlight w:val="none"/>
                <w:lang w:val="en-US" w:eastAsia="zh-CN"/>
              </w:rPr>
            </w:pPr>
            <w:r>
              <w:rPr>
                <w:rFonts w:hint="eastAsia"/>
                <w:color w:val="FF0000"/>
                <w:szCs w:val="21"/>
                <w:highlight w:val="none"/>
                <w:lang w:val="en-US" w:eastAsia="zh-CN"/>
              </w:rPr>
              <w:t>1</w:t>
            </w:r>
          </w:p>
        </w:tc>
        <w:tc>
          <w:tcPr>
            <w:tcW w:w="1458" w:type="dxa"/>
            <w:vMerge w:val="restart"/>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集中收集，定期委托有资质单位处置</w:t>
            </w:r>
          </w:p>
        </w:tc>
        <w:tc>
          <w:tcPr>
            <w:tcW w:w="1458" w:type="dxa"/>
            <w:noWrap w:val="0"/>
            <w:vAlign w:val="center"/>
          </w:tcPr>
          <w:p>
            <w:pPr>
              <w:keepNext w:val="0"/>
              <w:keepLines w:val="0"/>
              <w:suppressLineNumbers w:val="0"/>
              <w:snapToGrid w:val="0"/>
              <w:spacing w:before="0" w:beforeAutospacing="0" w:after="0" w:afterAutospacing="0" w:line="240" w:lineRule="atLeast"/>
              <w:ind w:left="0" w:right="0"/>
              <w:jc w:val="center"/>
              <w:rPr>
                <w:rFonts w:hint="eastAsia" w:eastAsia="宋体"/>
                <w:color w:val="FF0000"/>
                <w:szCs w:val="21"/>
                <w:highlight w:val="none"/>
                <w:lang w:val="en-US" w:eastAsia="zh-CN"/>
              </w:rPr>
            </w:pPr>
            <w:r>
              <w:rPr>
                <w:rFonts w:hint="eastAsia"/>
                <w:color w:val="FF0000"/>
                <w:szCs w:val="21"/>
                <w:highlight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11" w:hRule="atLeast"/>
        </w:trPr>
        <w:tc>
          <w:tcPr>
            <w:tcW w:w="533" w:type="dxa"/>
            <w:vMerge w:val="continue"/>
            <w:noWrap w:val="0"/>
            <w:vAlign w:val="center"/>
          </w:tcPr>
          <w:p>
            <w:pPr>
              <w:pStyle w:val="308"/>
              <w:snapToGrid w:val="0"/>
              <w:spacing w:line="240" w:lineRule="atLeast"/>
              <w:jc w:val="center"/>
              <w:rPr>
                <w:color w:val="000000" w:themeColor="text1"/>
                <w:sz w:val="21"/>
                <w:szCs w:val="21"/>
                <w:highlight w:val="none"/>
                <w:lang w:val="zh-CN"/>
                <w14:textFill>
                  <w14:solidFill>
                    <w14:schemeClr w14:val="tx1"/>
                  </w14:solidFill>
                </w14:textFill>
              </w:rPr>
            </w:pPr>
          </w:p>
        </w:tc>
        <w:tc>
          <w:tcPr>
            <w:tcW w:w="584" w:type="dxa"/>
            <w:vMerge w:val="continue"/>
            <w:noWrap w:val="0"/>
            <w:vAlign w:val="center"/>
          </w:tcPr>
          <w:p>
            <w:pPr>
              <w:pStyle w:val="308"/>
              <w:snapToGrid w:val="0"/>
              <w:spacing w:line="240" w:lineRule="atLeast"/>
              <w:jc w:val="center"/>
              <w:rPr>
                <w:color w:val="000000" w:themeColor="text1"/>
                <w:sz w:val="21"/>
                <w:szCs w:val="21"/>
                <w:highlight w:val="none"/>
                <w:lang w:val="zh-CN"/>
                <w14:textFill>
                  <w14:solidFill>
                    <w14:schemeClr w14:val="tx1"/>
                  </w14:solidFill>
                </w14:textFill>
              </w:rPr>
            </w:pPr>
          </w:p>
        </w:tc>
        <w:tc>
          <w:tcPr>
            <w:tcW w:w="528" w:type="dxa"/>
            <w:vMerge w:val="continue"/>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p>
        </w:tc>
        <w:tc>
          <w:tcPr>
            <w:tcW w:w="1253" w:type="dxa"/>
            <w:noWrap w:val="0"/>
            <w:vAlign w:val="center"/>
          </w:tcPr>
          <w:p>
            <w:pPr>
              <w:keepNext w:val="0"/>
              <w:keepLines w:val="0"/>
              <w:suppressLineNumbers w:val="0"/>
              <w:spacing w:before="0" w:beforeAutospacing="0" w:after="0" w:afterAutospacing="0"/>
              <w:ind w:left="0" w:right="0"/>
              <w:jc w:val="center"/>
              <w:rPr>
                <w:color w:val="000000" w:themeColor="text1"/>
                <w:kern w:val="2"/>
                <w:sz w:val="21"/>
                <w:szCs w:val="21"/>
                <w:highlight w:val="none"/>
                <w:lang w:val="en-US" w:eastAsia="zh-CN" w:bidi="ar-SA"/>
                <w14:textFill>
                  <w14:solidFill>
                    <w14:schemeClr w14:val="tx1"/>
                  </w14:solidFill>
                </w14:textFill>
              </w:rPr>
            </w:pPr>
            <w:r>
              <w:rPr>
                <w:color w:val="000000" w:themeColor="text1"/>
                <w:szCs w:val="21"/>
                <w:highlight w:val="none"/>
                <w14:textFill>
                  <w14:solidFill>
                    <w14:schemeClr w14:val="tx1"/>
                  </w14:solidFill>
                </w14:textFill>
              </w:rPr>
              <w:t>废活性炭</w:t>
            </w:r>
          </w:p>
        </w:tc>
        <w:tc>
          <w:tcPr>
            <w:tcW w:w="1234" w:type="dxa"/>
            <w:noWrap w:val="0"/>
            <w:vAlign w:val="center"/>
          </w:tcPr>
          <w:p>
            <w:pPr>
              <w:keepNext w:val="0"/>
              <w:keepLines w:val="0"/>
              <w:suppressLineNumbers w:val="0"/>
              <w:spacing w:before="0" w:beforeAutospacing="0" w:after="0" w:afterAutospacing="0"/>
              <w:ind w:left="0" w:leftChars="0" w:right="0" w:rightChars="0"/>
              <w:jc w:val="center"/>
              <w:rPr>
                <w:rFonts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color w:val="000000" w:themeColor="text1"/>
                <w:szCs w:val="21"/>
                <w:highlight w:val="none"/>
                <w14:textFill>
                  <w14:solidFill>
                    <w14:schemeClr w14:val="tx1"/>
                  </w14:solidFill>
                </w14:textFill>
              </w:rPr>
              <w:t>废活性炭</w:t>
            </w:r>
          </w:p>
        </w:tc>
        <w:tc>
          <w:tcPr>
            <w:tcW w:w="1367" w:type="dxa"/>
            <w:noWrap w:val="0"/>
            <w:vAlign w:val="center"/>
          </w:tcPr>
          <w:p>
            <w:pPr>
              <w:keepNext w:val="0"/>
              <w:keepLines w:val="0"/>
              <w:suppressLineNumbers w:val="0"/>
              <w:spacing w:before="0" w:beforeAutospacing="0" w:after="0" w:afterAutospacing="0"/>
              <w:ind w:left="0" w:right="0"/>
              <w:jc w:val="center"/>
              <w:rPr>
                <w:rFonts w:hint="eastAsia" w:eastAsia="宋体"/>
                <w:color w:val="FF0000"/>
                <w:szCs w:val="21"/>
                <w:highlight w:val="none"/>
                <w:lang w:val="en-US" w:eastAsia="zh-CN"/>
              </w:rPr>
            </w:pPr>
            <w:r>
              <w:rPr>
                <w:rFonts w:hint="eastAsia"/>
                <w:color w:val="FF0000"/>
                <w:szCs w:val="21"/>
                <w:highlight w:val="none"/>
                <w:lang w:val="en-US" w:eastAsia="zh-CN"/>
              </w:rPr>
              <w:t>1</w:t>
            </w:r>
          </w:p>
        </w:tc>
        <w:tc>
          <w:tcPr>
            <w:tcW w:w="1458" w:type="dxa"/>
            <w:vMerge w:val="continue"/>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p>
        </w:tc>
        <w:tc>
          <w:tcPr>
            <w:tcW w:w="1458" w:type="dxa"/>
            <w:noWrap w:val="0"/>
            <w:vAlign w:val="center"/>
          </w:tcPr>
          <w:p>
            <w:pPr>
              <w:keepNext w:val="0"/>
              <w:keepLines w:val="0"/>
              <w:suppressLineNumbers w:val="0"/>
              <w:snapToGrid w:val="0"/>
              <w:spacing w:before="0" w:beforeAutospacing="0" w:after="0" w:afterAutospacing="0" w:line="240" w:lineRule="atLeast"/>
              <w:ind w:left="0" w:right="0"/>
              <w:jc w:val="center"/>
              <w:rPr>
                <w:rFonts w:hint="eastAsia" w:eastAsia="宋体"/>
                <w:color w:val="FF0000"/>
                <w:szCs w:val="21"/>
                <w:highlight w:val="none"/>
                <w:lang w:val="en-US" w:eastAsia="zh-CN"/>
              </w:rPr>
            </w:pPr>
            <w:r>
              <w:rPr>
                <w:rFonts w:hint="eastAsia"/>
                <w:color w:val="FF0000"/>
                <w:szCs w:val="21"/>
                <w:highlight w:val="none"/>
                <w:lang w:val="en-US" w:eastAsia="zh-CN"/>
              </w:rPr>
              <w:t>/</w:t>
            </w:r>
          </w:p>
        </w:tc>
      </w:tr>
    </w:tbl>
    <w:p>
      <w:pPr>
        <w:pStyle w:val="3"/>
        <w:bidi w:val="0"/>
        <w:rPr>
          <w:rFonts w:hint="eastAsia"/>
          <w:color w:val="000000" w:themeColor="text1"/>
          <w:highlight w:val="none"/>
          <w:lang w:val="en-US" w:eastAsia="zh-CN"/>
          <w14:textFill>
            <w14:solidFill>
              <w14:schemeClr w14:val="tx1"/>
            </w14:solidFill>
          </w14:textFill>
        </w:rPr>
      </w:pPr>
      <w:bookmarkStart w:id="211" w:name="_Toc20126"/>
      <w:r>
        <w:rPr>
          <w:rFonts w:hint="eastAsia"/>
          <w:color w:val="000000" w:themeColor="text1"/>
          <w:highlight w:val="none"/>
          <w:lang w:val="en-US" w:eastAsia="zh-CN"/>
          <w14:textFill>
            <w14:solidFill>
              <w14:schemeClr w14:val="tx1"/>
            </w14:solidFill>
          </w14:textFill>
        </w:rPr>
        <w:t>2.6 主要环境影响和保护措施</w:t>
      </w:r>
      <w:bookmarkEnd w:id="211"/>
    </w:p>
    <w:p>
      <w:pPr>
        <w:pStyle w:val="311"/>
        <w:widowControl/>
        <w:ind w:left="0" w:firstLine="422"/>
        <w:rPr>
          <w:rFonts w:hint="default" w:ascii="Times New Roman" w:hAnsi="Times New Roman" w:cs="Times New Roman"/>
          <w:b/>
          <w:bCs w:val="0"/>
          <w:color w:val="000000" w:themeColor="text1"/>
          <w:sz w:val="21"/>
          <w:szCs w:val="21"/>
          <w:highlight w:val="none"/>
          <w:lang w:val="en-US"/>
          <w14:textFill>
            <w14:solidFill>
              <w14:schemeClr w14:val="tx1"/>
            </w14:solidFill>
          </w14:textFill>
        </w:rPr>
      </w:pPr>
      <w:r>
        <w:rPr>
          <w:rFonts w:hint="default" w:ascii="Times New Roman" w:hAnsi="Times New Roman" w:cs="Times New Roman"/>
          <w:b/>
          <w:bCs w:val="0"/>
          <w:color w:val="000000" w:themeColor="text1"/>
          <w:sz w:val="21"/>
          <w:szCs w:val="21"/>
          <w:highlight w:val="none"/>
          <w:lang w:val="en-US"/>
          <w14:textFill>
            <w14:solidFill>
              <w14:schemeClr w14:val="tx1"/>
            </w14:solidFill>
          </w14:textFill>
        </w:rPr>
        <w:t>1</w:t>
      </w:r>
      <w:r>
        <w:rPr>
          <w:rFonts w:hint="eastAsia" w:ascii="Times New Roman" w:hAnsi="Times New Roman" w:eastAsia="宋体" w:cs="宋体"/>
          <w:b/>
          <w:bCs w:val="0"/>
          <w:color w:val="000000" w:themeColor="text1"/>
          <w:sz w:val="21"/>
          <w:szCs w:val="21"/>
          <w:highlight w:val="none"/>
          <w:lang w:eastAsia="zh-CN"/>
          <w14:textFill>
            <w14:solidFill>
              <w14:schemeClr w14:val="tx1"/>
            </w14:solidFill>
          </w14:textFill>
        </w:rPr>
        <w:t>、废气</w:t>
      </w:r>
    </w:p>
    <w:p>
      <w:pPr>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（1）焊接烟气</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项目焊接过程浸锡工序产生的烟气主要污染物为锡及其化合物，类比于现有工程，其产生量按8g/kg计算，则烟尘产生量为0.434t/a，产生浓度为45mg/m3，产生速率为0.09kg/h，通过采用集气罩+锡烟净化器+15米1#排气筒排放处理后，集气罩集气效率80%，净化设备风机风量为2000m3/h，处理效率为90%，则有组织排放浓度为3.6mg/m3，排放量为0.034kg/a，排放速率为0.007kg/h；无组织排放量为0.086t/a，排放速率为0.018kg/h。</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项目补焊工序焊接介质为锡丝，采用手工铬铁焊工艺，焊接时高温熔融锡丝焊接会产生烟尘，主要污染物为锡及其化合物，参照上述计算，得废气产生量为0.013t/a，产生浓度为15mg/m3，与焊接过程浸锡工序产生的烟气一并给集气罩+锡烟净化器+15米1#排气筒处理，有组织排放浓度为0.11mg/m3，排放量为0.001t/a；无组织排放量为0.002t/a，排放速率为0.0004kg/h。</w:t>
      </w:r>
    </w:p>
    <w:p>
      <w:pPr>
        <w:keepNext w:val="0"/>
        <w:keepLines w:val="0"/>
        <w:widowControl w:val="0"/>
        <w:suppressLineNumbers w:val="0"/>
        <w:spacing w:before="0" w:beforeAutospacing="0" w:after="0" w:afterAutospacing="0" w:line="360" w:lineRule="auto"/>
        <w:ind w:left="0" w:right="0" w:firstLine="480" w:firstLineChars="200"/>
        <w:jc w:val="both"/>
        <w:rPr>
          <w:rFonts w:hint="default"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（2）机贴及点胶废气</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项目机贴和点胶过程会产生有机废气，使用酒精、锡膏、助焊剂和白硅胶在使用过程中会产生有机废气，主要污染为VOCs，根据建设单位提供资料经验，类比于同行业，酒精全部在使用过程中挥发，使用及挥发量为3.16t/a；锡膏和白硅胶使用过程产生有机废气产生量按2.5g/kg计算，则总有机废气产生量为3.282t/a，产生速率为0.684kg/h，产生浓度为136.75mg/m3，经集气罩+活性炭吸附装置+15米2#排气筒处理后外排，集气罩集气效率80%，净化设备风机风量为5000m3/h，处理效率为75%，则有组织排放浓度为27.35mg/m3，排放量为0.656t/a，排放速率为0.137kg/h；无组织排放量为0.656t/a，排放速率为0.137kg/h。</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VOCs物料平衡如下：</w:t>
      </w:r>
    </w:p>
    <w:p>
      <w:pPr>
        <w:spacing w:line="360" w:lineRule="auto"/>
        <w:ind w:firstLine="420" w:firstLineChars="200"/>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color w:val="000000" w:themeColor="text1"/>
          <w:sz w:val="21"/>
          <w:highlight w:val="none"/>
          <w14:textFill>
            <w14:solidFill>
              <w14:schemeClr w14:val="tx1"/>
            </w14:solidFill>
          </w14:textFill>
        </w:rPr>
        <mc:AlternateContent>
          <mc:Choice Requires="wps">
            <w:drawing>
              <wp:anchor distT="0" distB="0" distL="114300" distR="114300" simplePos="0" relativeHeight="251670528" behindDoc="0" locked="0" layoutInCell="1" allowOverlap="1">
                <wp:simplePos x="0" y="0"/>
                <wp:positionH relativeFrom="column">
                  <wp:posOffset>2102485</wp:posOffset>
                </wp:positionH>
                <wp:positionV relativeFrom="paragraph">
                  <wp:posOffset>172720</wp:posOffset>
                </wp:positionV>
                <wp:extent cx="299720" cy="278130"/>
                <wp:effectExtent l="4445" t="46990" r="3175" b="15240"/>
                <wp:wrapNone/>
                <wp:docPr id="18" name="曲线连接符 18"/>
                <wp:cNvGraphicFramePr/>
                <a:graphic xmlns:a="http://schemas.openxmlformats.org/drawingml/2006/main">
                  <a:graphicData uri="http://schemas.microsoft.com/office/word/2010/wordprocessingShape">
                    <wps:wsp>
                      <wps:cNvCnPr>
                        <a:stCxn id="23" idx="0"/>
                        <a:endCxn id="122" idx="1"/>
                      </wps:cNvCnPr>
                      <wps:spPr>
                        <a:xfrm rot="-5400000">
                          <a:off x="0" y="0"/>
                          <a:ext cx="299720" cy="278130"/>
                        </a:xfrm>
                        <a:prstGeom prst="curvedConnector2">
                          <a:avLst/>
                        </a:prstGeom>
                        <a:ln w="9525" cap="flat" cmpd="sng">
                          <a:solidFill>
                            <a:srgbClr val="000000"/>
                          </a:solidFill>
                          <a:prstDash val="solid"/>
                          <a:headEnd type="none" w="med" len="med"/>
                          <a:tailEnd type="arrow" w="med" len="med"/>
                        </a:ln>
                      </wps:spPr>
                      <wps:bodyPr/>
                    </wps:wsp>
                  </a:graphicData>
                </a:graphic>
              </wp:anchor>
            </w:drawing>
          </mc:Choice>
          <mc:Fallback>
            <w:pict>
              <v:shape id="_x0000_s1026" o:spid="_x0000_s1026" o:spt="37" type="#_x0000_t37" style="position:absolute;left:0pt;margin-left:165.55pt;margin-top:13.6pt;height:21.9pt;width:23.6pt;rotation:-5898240f;z-index:251670528;mso-width-relative:page;mso-height-relative:page;" filled="f" stroked="t" coordsize="21600,21600" o:gfxdata="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BMAqXnYAAAACQEAAA8AAAAAAAAAAQAgAAAAIgAAAGRycy9kb3ducmV2LnhtbFBLAQIUABQAAAAI&#10;AIdO4kCFYzUfJgIAAD0EAAAOAAAAAAAAAAEAIAAAACcBAABkcnMvZTJvRG9jLnhtbFBLBQYAAAAA&#10;BgAGAFkBAAC/BQAAAAA=&#10;">
                <v:fill on="f" focussize="0,0"/>
                <v:stroke color="#000000" joinstyle="round" endarrow="open"/>
                <v:imagedata o:title=""/>
                <o:lock v:ext="edit" aspectratio="f"/>
              </v:shape>
            </w:pict>
          </mc:Fallback>
        </mc:AlternateContent>
      </w:r>
      <w:r>
        <w:rPr>
          <w:color w:val="000000" w:themeColor="text1"/>
          <w:highlight w:val="none"/>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haracter">
                  <wp:posOffset>-40640</wp:posOffset>
                </wp:positionH>
                <wp:positionV relativeFrom="line">
                  <wp:posOffset>123825</wp:posOffset>
                </wp:positionV>
                <wp:extent cx="854710" cy="266700"/>
                <wp:effectExtent l="4445" t="4445" r="17145" b="14605"/>
                <wp:wrapNone/>
                <wp:docPr id="19" name="矩形 19"/>
                <wp:cNvGraphicFramePr/>
                <a:graphic xmlns:a="http://schemas.openxmlformats.org/drawingml/2006/main">
                  <a:graphicData uri="http://schemas.microsoft.com/office/word/2010/wordprocessingShape">
                    <wps:wsp>
                      <wps:cNvSpPr/>
                      <wps:spPr>
                        <a:xfrm>
                          <a:off x="2049779" y="766233"/>
                          <a:ext cx="549487" cy="266700"/>
                        </a:xfrm>
                        <a:prstGeom prst="rect">
                          <a:avLst/>
                        </a:prstGeom>
                        <a:solidFill>
                          <a:srgbClr val="FFFFFF"/>
                        </a:solidFill>
                        <a:ln w="9525" cap="flat" cmpd="sng" algn="ctr">
                          <a:solidFill>
                            <a:srgbClr val="000000"/>
                          </a:solidFill>
                          <a:prstDash val="solid"/>
                        </a:ln>
                        <a:effectLst/>
                      </wps:spPr>
                      <wps:txbx>
                        <w:txbxContent>
                          <w:p>
                            <w:pPr>
                              <w:jc w:val="center"/>
                              <w:rPr>
                                <w:rFonts w:hint="default" w:eastAsia="宋体"/>
                                <w:sz w:val="18"/>
                                <w:szCs w:val="18"/>
                                <w:lang w:val="en-US" w:eastAsia="zh-CN"/>
                              </w:rPr>
                            </w:pPr>
                            <w:r>
                              <w:rPr>
                                <w:rFonts w:hint="eastAsia" w:eastAsia="宋体"/>
                                <w:sz w:val="18"/>
                                <w:szCs w:val="18"/>
                                <w:lang w:val="en-US" w:eastAsia="zh-CN"/>
                              </w:rPr>
                              <w:t>酒精3.16t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2pt;margin-top:9.75pt;height:21pt;width:67.3pt;mso-position-horizontal-relative:char;mso-position-vertical-relative:line;z-index:251662336;v-text-anchor:middle;mso-width-relative:page;mso-height-relative:page;" fillcolor="#FFFFFF" filled="t" stroked="t" coordsize="21600,21600" o:gfxdata="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I9auWLZAAAACAEAAA8AAAAAAAAAAQAg&#10;AAAAIgAAAGRycy9kb3ducmV2LnhtbFBLAQIUABQAAAAIAIdO4kA2goUcfwIAAAEFAAAOAAAAAAAA&#10;AAEAIAAAACgBAABkcnMvZTJvRG9jLnhtbFBLBQYAAAAABgAGAFkBAAAZBgAAAAA=&#10;">
                <v:fill on="t" focussize="0,0"/>
                <v:stroke color="#000000" joinstyle="round"/>
                <v:imagedata o:title=""/>
                <o:lock v:ext="edit" aspectratio="f"/>
                <v:textbox>
                  <w:txbxContent>
                    <w:p>
                      <w:pPr>
                        <w:jc w:val="center"/>
                        <w:rPr>
                          <w:rFonts w:hint="default" w:eastAsia="宋体"/>
                          <w:sz w:val="18"/>
                          <w:szCs w:val="18"/>
                          <w:lang w:val="en-US" w:eastAsia="zh-CN"/>
                        </w:rPr>
                      </w:pPr>
                      <w:r>
                        <w:rPr>
                          <w:rFonts w:hint="eastAsia" w:eastAsia="宋体"/>
                          <w:sz w:val="18"/>
                          <w:szCs w:val="18"/>
                          <w:lang w:val="en-US" w:eastAsia="zh-CN"/>
                        </w:rPr>
                        <w:t>酒精3.16t</w:t>
                      </w:r>
                    </w:p>
                  </w:txbxContent>
                </v:textbox>
              </v:rect>
            </w:pict>
          </mc:Fallback>
        </mc:AlternateContent>
      </w:r>
      <w:r>
        <w:rPr>
          <w:color w:val="000000" w:themeColor="text1"/>
          <w:highlight w:val="none"/>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haracter">
                  <wp:posOffset>2129790</wp:posOffset>
                </wp:positionH>
                <wp:positionV relativeFrom="line">
                  <wp:posOffset>33655</wp:posOffset>
                </wp:positionV>
                <wp:extent cx="854710" cy="266700"/>
                <wp:effectExtent l="4445" t="4445" r="17145" b="14605"/>
                <wp:wrapNone/>
                <wp:docPr id="122" name="矩形 122"/>
                <wp:cNvGraphicFramePr/>
                <a:graphic xmlns:a="http://schemas.openxmlformats.org/drawingml/2006/main">
                  <a:graphicData uri="http://schemas.microsoft.com/office/word/2010/wordprocessingShape">
                    <wps:wsp>
                      <wps:cNvSpPr/>
                      <wps:spPr>
                        <a:xfrm>
                          <a:off x="2049779" y="766233"/>
                          <a:ext cx="549487" cy="266700"/>
                        </a:xfrm>
                        <a:prstGeom prst="rect">
                          <a:avLst/>
                        </a:prstGeom>
                        <a:solidFill>
                          <a:srgbClr val="FFFFFF"/>
                        </a:solidFill>
                        <a:ln w="9525" cap="flat" cmpd="sng" algn="ctr">
                          <a:solidFill>
                            <a:srgbClr val="000000"/>
                          </a:solidFill>
                          <a:prstDash val="solid"/>
                        </a:ln>
                        <a:effectLst/>
                      </wps:spPr>
                      <wps:txbx>
                        <w:txbxContent>
                          <w:p>
                            <w:pPr>
                              <w:jc w:val="center"/>
                              <w:rPr>
                                <w:rFonts w:hint="default" w:eastAsia="宋体"/>
                                <w:sz w:val="18"/>
                                <w:szCs w:val="18"/>
                                <w:lang w:val="en-US" w:eastAsia="zh-CN"/>
                              </w:rPr>
                            </w:pPr>
                            <w:r>
                              <w:rPr>
                                <w:rFonts w:hint="eastAsia" w:eastAsia="宋体"/>
                                <w:sz w:val="18"/>
                                <w:szCs w:val="18"/>
                                <w:lang w:val="en-US" w:eastAsia="zh-CN"/>
                              </w:rPr>
                              <w:t>无组织0.656t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67.7pt;margin-top:2.65pt;height:21pt;width:67.3pt;mso-position-horizontal-relative:char;mso-position-vertical-relative:line;z-index:251665408;v-text-anchor:middle;mso-width-relative:page;mso-height-relative:page;" fillcolor="#FFFFFF" filled="t" stroked="t" coordsize="21600,21600" o:gfxdata="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OKlgnPYAAAACAEAAA8AAAAAAAAAAQAg&#10;AAAAIgAAAGRycy9kb3ducmV2LnhtbFBLAQIUABQAAAAIAIdO4kAYG2DvgAIAAAMFAAAOAAAAAAAA&#10;AAEAIAAAACcBAABkcnMvZTJvRG9jLnhtbFBLBQYAAAAABgAGAFkBAAAZBgAAAAA=&#10;">
                <v:fill on="t" focussize="0,0"/>
                <v:stroke color="#000000" joinstyle="round"/>
                <v:imagedata o:title=""/>
                <o:lock v:ext="edit" aspectratio="f"/>
                <v:textbox>
                  <w:txbxContent>
                    <w:p>
                      <w:pPr>
                        <w:jc w:val="center"/>
                        <w:rPr>
                          <w:rFonts w:hint="default" w:eastAsia="宋体"/>
                          <w:sz w:val="18"/>
                          <w:szCs w:val="18"/>
                          <w:lang w:val="en-US" w:eastAsia="zh-CN"/>
                        </w:rPr>
                      </w:pPr>
                      <w:r>
                        <w:rPr>
                          <w:rFonts w:hint="eastAsia" w:eastAsia="宋体"/>
                          <w:sz w:val="18"/>
                          <w:szCs w:val="18"/>
                          <w:lang w:val="en-US" w:eastAsia="zh-CN"/>
                        </w:rPr>
                        <w:t>无组织0.656t</w:t>
                      </w:r>
                    </w:p>
                  </w:txbxContent>
                </v:textbox>
              </v:rect>
            </w:pict>
          </mc:Fallback>
        </mc:AlternateContent>
      </w:r>
    </w:p>
    <w:p>
      <w:pPr>
        <w:spacing w:line="360" w:lineRule="auto"/>
        <w:ind w:firstLine="420" w:firstLineChars="200"/>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color w:val="000000" w:themeColor="text1"/>
          <w:sz w:val="21"/>
          <w:highlight w:val="none"/>
          <w14:textFill>
            <w14:solidFill>
              <w14:schemeClr w14:val="tx1"/>
            </w14:solidFill>
          </w14:textFill>
        </w:rPr>
        <mc:AlternateContent>
          <mc:Choice Requires="wps">
            <w:drawing>
              <wp:anchor distT="0" distB="0" distL="114300" distR="114300" simplePos="0" relativeHeight="251668480" behindDoc="0" locked="0" layoutInCell="1" allowOverlap="1">
                <wp:simplePos x="0" y="0"/>
                <wp:positionH relativeFrom="column">
                  <wp:posOffset>1080770</wp:posOffset>
                </wp:positionH>
                <wp:positionV relativeFrom="paragraph">
                  <wp:posOffset>27305</wp:posOffset>
                </wp:positionV>
                <wp:extent cx="536575" cy="342900"/>
                <wp:effectExtent l="0" t="4445" r="15875" b="52705"/>
                <wp:wrapNone/>
                <wp:docPr id="16" name="肘形连接符 16"/>
                <wp:cNvGraphicFramePr/>
                <a:graphic xmlns:a="http://schemas.openxmlformats.org/drawingml/2006/main">
                  <a:graphicData uri="http://schemas.microsoft.com/office/word/2010/wordprocessingShape">
                    <wps:wsp>
                      <wps:cNvCnPr>
                        <a:stCxn id="19" idx="3"/>
                        <a:endCxn id="23" idx="1"/>
                      </wps:cNvCnPr>
                      <wps:spPr>
                        <a:xfrm>
                          <a:off x="0" y="0"/>
                          <a:ext cx="536575" cy="342900"/>
                        </a:xfrm>
                        <a:prstGeom prst="bentConnector3">
                          <a:avLst>
                            <a:gd name="adj1" fmla="val 50060"/>
                          </a:avLst>
                        </a:prstGeom>
                        <a:ln w="952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margin-left:85.1pt;margin-top:2.15pt;height:27pt;width:42.25pt;z-index:251668480;mso-width-relative:page;mso-height-relative:page;" filled="f" stroked="t" coordsize="21600,21600" o:gfxdata="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IXRenrZAAAACAEAAA8AAAAAAAAAAQAgAAAAIgAAAGRycy9kb3du&#10;cmV2LnhtbFBLAQIUABQAAAAIAIdO4kDNwFz1NwIAAGIEAAAOAAAAAAAAAAEAIAAAACgBAABkcnMv&#10;ZTJvRG9jLnhtbFBLBQYAAAAABgAGAFkBAADRBQAAAAA=&#10;" adj="10813">
                <v:fill on="f" focussize="0,0"/>
                <v:stroke color="#000000" joinstyle="miter" endarrow="open"/>
                <v:imagedata o:title=""/>
                <o:lock v:ext="edit" aspectratio="f"/>
              </v:shape>
            </w:pict>
          </mc:Fallback>
        </mc:AlternateContent>
      </w:r>
      <w:r>
        <w:rPr>
          <w:color w:val="000000" w:themeColor="text1"/>
          <w:highlight w:val="none"/>
          <w14:textFill>
            <w14:solidFill>
              <w14:schemeClr w14:val="tx1"/>
            </w14:solidFill>
          </w14:textFill>
        </w:rPr>
        <mc:AlternateContent>
          <mc:Choice Requires="wps">
            <w:drawing>
              <wp:anchor distT="0" distB="0" distL="114300" distR="114300" simplePos="0" relativeHeight="251667456" behindDoc="0" locked="0" layoutInCell="1" allowOverlap="1">
                <wp:simplePos x="0" y="0"/>
                <wp:positionH relativeFrom="character">
                  <wp:posOffset>3990975</wp:posOffset>
                </wp:positionH>
                <wp:positionV relativeFrom="line">
                  <wp:posOffset>228600</wp:posOffset>
                </wp:positionV>
                <wp:extent cx="854710" cy="266700"/>
                <wp:effectExtent l="4445" t="4445" r="17145" b="14605"/>
                <wp:wrapNone/>
                <wp:docPr id="20" name="矩形 20"/>
                <wp:cNvGraphicFramePr/>
                <a:graphic xmlns:a="http://schemas.openxmlformats.org/drawingml/2006/main">
                  <a:graphicData uri="http://schemas.microsoft.com/office/word/2010/wordprocessingShape">
                    <wps:wsp>
                      <wps:cNvSpPr/>
                      <wps:spPr>
                        <a:xfrm>
                          <a:off x="2049779" y="766233"/>
                          <a:ext cx="549487" cy="266700"/>
                        </a:xfrm>
                        <a:prstGeom prst="rect">
                          <a:avLst/>
                        </a:prstGeom>
                        <a:solidFill>
                          <a:srgbClr val="FFFFFF"/>
                        </a:solidFill>
                        <a:ln w="9525" cap="flat" cmpd="sng" algn="ctr">
                          <a:solidFill>
                            <a:srgbClr val="000000"/>
                          </a:solidFill>
                          <a:prstDash val="solid"/>
                        </a:ln>
                        <a:effectLst/>
                      </wps:spPr>
                      <wps:txbx>
                        <w:txbxContent>
                          <w:p>
                            <w:pPr>
                              <w:jc w:val="center"/>
                              <w:rPr>
                                <w:rFonts w:hint="default" w:eastAsia="宋体"/>
                                <w:sz w:val="18"/>
                                <w:szCs w:val="18"/>
                                <w:lang w:val="en-US" w:eastAsia="zh-CN"/>
                              </w:rPr>
                            </w:pPr>
                            <w:r>
                              <w:rPr>
                                <w:rFonts w:hint="eastAsia" w:eastAsia="宋体"/>
                                <w:sz w:val="18"/>
                                <w:szCs w:val="18"/>
                                <w:lang w:val="en-US" w:eastAsia="zh-CN"/>
                              </w:rPr>
                              <w:t>有组织0.656t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14.25pt;margin-top:18pt;height:21pt;width:67.3pt;mso-position-horizontal-relative:char;mso-position-vertical-relative:line;z-index:251667456;v-text-anchor:middle;mso-width-relative:page;mso-height-relative:page;" fillcolor="#FFFFFF" filled="t" stroked="t" coordsize="21600,21600" o:gfxdata="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quPhRNkAAAAJAQAADwAAAAAAAAABACAA&#10;AAAiAAAAZHJzL2Rvd25yZXYueG1sUEsBAhQAFAAAAAgAh07iQNQZKQB+AgAAAQUAAA4AAAAAAAAA&#10;AQAgAAAAKAEAAGRycy9lMm9Eb2MueG1sUEsFBgAAAAAGAAYAWQEAABgGAAAAAA==&#10;">
                <v:fill on="t" focussize="0,0"/>
                <v:stroke color="#000000" joinstyle="round"/>
                <v:imagedata o:title=""/>
                <o:lock v:ext="edit" aspectratio="f"/>
                <v:textbox>
                  <w:txbxContent>
                    <w:p>
                      <w:pPr>
                        <w:jc w:val="center"/>
                        <w:rPr>
                          <w:rFonts w:hint="default" w:eastAsia="宋体"/>
                          <w:sz w:val="18"/>
                          <w:szCs w:val="18"/>
                          <w:lang w:val="en-US" w:eastAsia="zh-CN"/>
                        </w:rPr>
                      </w:pPr>
                      <w:r>
                        <w:rPr>
                          <w:rFonts w:hint="eastAsia" w:eastAsia="宋体"/>
                          <w:sz w:val="18"/>
                          <w:szCs w:val="18"/>
                          <w:lang w:val="en-US" w:eastAsia="zh-CN"/>
                        </w:rPr>
                        <w:t>有组织0.656t</w:t>
                      </w:r>
                    </w:p>
                  </w:txbxContent>
                </v:textbox>
              </v:rect>
            </w:pict>
          </mc:Fallback>
        </mc:AlternateContent>
      </w:r>
      <w:r>
        <w:rPr>
          <w:color w:val="000000" w:themeColor="text1"/>
          <w:highlight w:val="none"/>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haracter">
                  <wp:posOffset>2700655</wp:posOffset>
                </wp:positionH>
                <wp:positionV relativeFrom="line">
                  <wp:posOffset>177800</wp:posOffset>
                </wp:positionV>
                <wp:extent cx="854710" cy="474980"/>
                <wp:effectExtent l="4445" t="4445" r="17145" b="15875"/>
                <wp:wrapNone/>
                <wp:docPr id="26" name="矩形 26"/>
                <wp:cNvGraphicFramePr/>
                <a:graphic xmlns:a="http://schemas.openxmlformats.org/drawingml/2006/main">
                  <a:graphicData uri="http://schemas.microsoft.com/office/word/2010/wordprocessingShape">
                    <wps:wsp>
                      <wps:cNvSpPr/>
                      <wps:spPr>
                        <a:xfrm>
                          <a:off x="2049779" y="766233"/>
                          <a:ext cx="549487" cy="474980"/>
                        </a:xfrm>
                        <a:prstGeom prst="rect">
                          <a:avLst/>
                        </a:prstGeom>
                        <a:solidFill>
                          <a:srgbClr val="FFFFFF"/>
                        </a:solidFill>
                        <a:ln w="9525" cap="flat" cmpd="sng" algn="ctr">
                          <a:solidFill>
                            <a:srgbClr val="000000"/>
                          </a:solidFill>
                          <a:prstDash val="solid"/>
                        </a:ln>
                        <a:effectLst/>
                      </wps:spPr>
                      <wps:txbx>
                        <w:txbxContent>
                          <w:p>
                            <w:pPr>
                              <w:jc w:val="center"/>
                              <w:rPr>
                                <w:rFonts w:hint="default" w:eastAsia="宋体"/>
                                <w:sz w:val="18"/>
                                <w:szCs w:val="18"/>
                                <w:lang w:val="en-US" w:eastAsia="zh-CN"/>
                              </w:rPr>
                            </w:pPr>
                            <w:r>
                              <w:rPr>
                                <w:rFonts w:hint="eastAsia" w:eastAsia="宋体"/>
                                <w:sz w:val="18"/>
                                <w:szCs w:val="18"/>
                                <w:lang w:val="en-US" w:eastAsia="zh-CN"/>
                              </w:rPr>
                              <w:t>活性炭吸附1.97t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12.65pt;margin-top:14pt;height:37.4pt;width:67.3pt;mso-position-horizontal-relative:char;mso-position-vertical-relative:line;z-index:251666432;v-text-anchor:middle;mso-width-relative:page;mso-height-relative:page;" fillcolor="#FFFFFF" filled="t" stroked="t" coordsize="21600,21600" o:gfxdata="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N/yb89oAAAAKAQAADwAAAAAAAAAB&#10;ACAAAAAiAAAAZHJzL2Rvd25yZXYueG1sUEsBAhQAFAAAAAgAh07iQJBGJ06AAgAAAQUAAA4AAAAA&#10;AAAAAQAgAAAAKQEAAGRycy9lMm9Eb2MueG1sUEsFBgAAAAAGAAYAWQEAABsGAAAAAA==&#10;">
                <v:fill on="t" focussize="0,0"/>
                <v:stroke color="#000000" joinstyle="round"/>
                <v:imagedata o:title=""/>
                <o:lock v:ext="edit" aspectratio="f"/>
                <v:textbox>
                  <w:txbxContent>
                    <w:p>
                      <w:pPr>
                        <w:jc w:val="center"/>
                        <w:rPr>
                          <w:rFonts w:hint="default" w:eastAsia="宋体"/>
                          <w:sz w:val="18"/>
                          <w:szCs w:val="18"/>
                          <w:lang w:val="en-US" w:eastAsia="zh-CN"/>
                        </w:rPr>
                      </w:pPr>
                      <w:r>
                        <w:rPr>
                          <w:rFonts w:hint="eastAsia" w:eastAsia="宋体"/>
                          <w:sz w:val="18"/>
                          <w:szCs w:val="18"/>
                          <w:lang w:val="en-US" w:eastAsia="zh-CN"/>
                        </w:rPr>
                        <w:t>活性炭吸附1.97t</w:t>
                      </w:r>
                    </w:p>
                  </w:txbxContent>
                </v:textbox>
              </v:rect>
            </w:pict>
          </mc:Fallback>
        </mc:AlternateContent>
      </w:r>
    </w:p>
    <w:p>
      <w:pPr>
        <w:spacing w:line="360" w:lineRule="auto"/>
        <w:ind w:firstLine="420" w:firstLineChars="200"/>
        <w:rPr>
          <w:rFonts w:hint="eastAsia" w:ascii="Times New Roman" w:hAnsi="Times New Roman" w:eastAsia="宋体" w:cs="Times New Roman"/>
          <w:color w:val="000000" w:themeColor="text1"/>
          <w:highlight w:val="none"/>
          <w:lang w:val="en-US" w:eastAsia="zh-CN"/>
          <w14:textFill>
            <w14:solidFill>
              <w14:schemeClr w14:val="tx1"/>
            </w14:solidFill>
          </w14:textFill>
        </w:rPr>
      </w:pPr>
      <w:r>
        <w:rPr>
          <w:color w:val="000000" w:themeColor="text1"/>
          <w:sz w:val="21"/>
          <w:highlight w:val="none"/>
          <w14:textFill>
            <w14:solidFill>
              <w14:schemeClr w14:val="tx1"/>
            </w14:solidFill>
          </w14:textFill>
        </w:rPr>
        <mc:AlternateContent>
          <mc:Choice Requires="wps">
            <w:drawing>
              <wp:anchor distT="0" distB="0" distL="114300" distR="114300" simplePos="0" relativeHeight="251672576" behindDoc="0" locked="0" layoutInCell="1" allowOverlap="1">
                <wp:simplePos x="0" y="0"/>
                <wp:positionH relativeFrom="column">
                  <wp:posOffset>3822065</wp:posOffset>
                </wp:positionH>
                <wp:positionV relativeFrom="paragraph">
                  <wp:posOffset>64770</wp:posOffset>
                </wp:positionV>
                <wp:extent cx="435610" cy="53340"/>
                <wp:effectExtent l="635" t="38735" r="1905" b="22225"/>
                <wp:wrapNone/>
                <wp:docPr id="25" name="直接箭头连接符 25"/>
                <wp:cNvGraphicFramePr/>
                <a:graphic xmlns:a="http://schemas.openxmlformats.org/drawingml/2006/main">
                  <a:graphicData uri="http://schemas.microsoft.com/office/word/2010/wordprocessingShape">
                    <wps:wsp>
                      <wps:cNvCnPr>
                        <a:stCxn id="26" idx="3"/>
                        <a:endCxn id="20" idx="1"/>
                      </wps:cNvCnPr>
                      <wps:spPr>
                        <a:xfrm flipV="1">
                          <a:off x="0" y="0"/>
                          <a:ext cx="435610" cy="53340"/>
                        </a:xfrm>
                        <a:prstGeom prst="straightConnector1">
                          <a:avLst/>
                        </a:prstGeom>
                        <a:ln w="9525" cap="flat" cmpd="sng">
                          <a:solidFill>
                            <a:srgbClr val="000000"/>
                          </a:solidFill>
                          <a:prstDash val="solid"/>
                          <a:headEnd type="none" w="med" len="med"/>
                          <a:tailEnd type="arrow" w="med" len="med"/>
                        </a:ln>
                      </wps:spPr>
                      <wps:bodyPr/>
                    </wps:wsp>
                  </a:graphicData>
                </a:graphic>
              </wp:anchor>
            </w:drawing>
          </mc:Choice>
          <mc:Fallback>
            <w:pict>
              <v:shape id="_x0000_s1026" o:spid="_x0000_s1026" o:spt="32" type="#_x0000_t32" style="position:absolute;left:0pt;flip:y;margin-left:300.95pt;margin-top:5.1pt;height:4.2pt;width:34.3pt;z-index:251672576;mso-width-relative:page;mso-height-relative:page;" filled="f" stroked="t" coordsize="21600,21600" o:gfxdata="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KUcRA1wAAAAkBAAAPAAAAAAAAAAEAIAAAACIAAABkcnMvZG93bnJldi54bWxQSwECFAAUAAAA&#10;CACHTuJA2Pe1ISgCAAA+BAAADgAAAAAAAAABACAAAAAmAQAAZHJzL2Uyb0RvYy54bWxQSwUGAAAA&#10;AAYABgBZAQAAwAUAAAAA&#10;">
                <v:fill on="f" focussize="0,0"/>
                <v:stroke color="#000000" joinstyle="round" endarrow="open"/>
                <v:imagedata o:title=""/>
                <o:lock v:ext="edit" aspectratio="f"/>
              </v:shape>
            </w:pict>
          </mc:Fallback>
        </mc:AlternateContent>
      </w:r>
      <w:r>
        <w:rPr>
          <w:color w:val="000000" w:themeColor="text1"/>
          <w:sz w:val="21"/>
          <w:highlight w:val="none"/>
          <w14:textFill>
            <w14:solidFill>
              <w14:schemeClr w14:val="tx1"/>
            </w14:solidFill>
          </w14:textFill>
        </w:rPr>
        <mc:AlternateContent>
          <mc:Choice Requires="wps">
            <w:drawing>
              <wp:anchor distT="0" distB="0" distL="114300" distR="114300" simplePos="0" relativeHeight="251671552" behindDoc="0" locked="0" layoutInCell="1" allowOverlap="1">
                <wp:simplePos x="0" y="0"/>
                <wp:positionH relativeFrom="column">
                  <wp:posOffset>2619375</wp:posOffset>
                </wp:positionH>
                <wp:positionV relativeFrom="paragraph">
                  <wp:posOffset>118110</wp:posOffset>
                </wp:positionV>
                <wp:extent cx="347980" cy="22225"/>
                <wp:effectExtent l="0" t="43815" r="13970" b="48260"/>
                <wp:wrapNone/>
                <wp:docPr id="21" name="直接箭头连接符 21"/>
                <wp:cNvGraphicFramePr/>
                <a:graphic xmlns:a="http://schemas.openxmlformats.org/drawingml/2006/main">
                  <a:graphicData uri="http://schemas.microsoft.com/office/word/2010/wordprocessingShape">
                    <wps:wsp>
                      <wps:cNvCnPr>
                        <a:stCxn id="23" idx="3"/>
                        <a:endCxn id="26" idx="1"/>
                      </wps:cNvCnPr>
                      <wps:spPr>
                        <a:xfrm flipV="1">
                          <a:off x="0" y="0"/>
                          <a:ext cx="347980" cy="22225"/>
                        </a:xfrm>
                        <a:prstGeom prst="straightConnector1">
                          <a:avLst/>
                        </a:prstGeom>
                        <a:ln w="9525" cap="flat" cmpd="sng">
                          <a:solidFill>
                            <a:srgbClr val="000000"/>
                          </a:solidFill>
                          <a:prstDash val="solid"/>
                          <a:headEnd type="none" w="med" len="med"/>
                          <a:tailEnd type="arrow" w="med" len="med"/>
                        </a:ln>
                      </wps:spPr>
                      <wps:bodyPr/>
                    </wps:wsp>
                  </a:graphicData>
                </a:graphic>
              </wp:anchor>
            </w:drawing>
          </mc:Choice>
          <mc:Fallback>
            <w:pict>
              <v:shape id="_x0000_s1026" o:spid="_x0000_s1026" o:spt="32" type="#_x0000_t32" style="position:absolute;left:0pt;flip:y;margin-left:206.25pt;margin-top:9.3pt;height:1.75pt;width:27.4pt;z-index:251671552;mso-width-relative:page;mso-height-relative:page;" filled="f" stroked="t" coordsize="21600,21600" o:gfxdata="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wGvx0dgAAAAJAQAADwAAAAAAAAABACAAAAAiAAAAZHJzL2Rvd25yZXYueG1sUEsBAhQAFAAAAAgA&#10;h07iQO7XNBAlAgAAPgQAAA4AAAAAAAAAAQAgAAAAJwEAAGRycy9lMm9Eb2MueG1sUEsFBgAAAAAG&#10;AAYAWQEAAL4FAAAAAA==&#10;">
                <v:fill on="f" focussize="0,0"/>
                <v:stroke color="#000000" joinstyle="round" endarrow="open"/>
                <v:imagedata o:title=""/>
                <o:lock v:ext="edit" aspectratio="f"/>
              </v:shape>
            </w:pict>
          </mc:Fallback>
        </mc:AlternateContent>
      </w:r>
      <w:r>
        <w:rPr>
          <w:color w:val="000000" w:themeColor="text1"/>
          <w:sz w:val="21"/>
          <w:highlight w:val="none"/>
          <w14:textFill>
            <w14:solidFill>
              <w14:schemeClr w14:val="tx1"/>
            </w14:solidFill>
          </w14:textFill>
        </w:rPr>
        <mc:AlternateContent>
          <mc:Choice Requires="wps">
            <w:drawing>
              <wp:anchor distT="0" distB="0" distL="114300" distR="114300" simplePos="0" relativeHeight="251669504" behindDoc="0" locked="0" layoutInCell="1" allowOverlap="1">
                <wp:simplePos x="0" y="0"/>
                <wp:positionH relativeFrom="column">
                  <wp:posOffset>1301750</wp:posOffset>
                </wp:positionH>
                <wp:positionV relativeFrom="paragraph">
                  <wp:posOffset>140335</wp:posOffset>
                </wp:positionV>
                <wp:extent cx="315595" cy="272415"/>
                <wp:effectExtent l="0" t="48895" r="8255" b="21590"/>
                <wp:wrapNone/>
                <wp:docPr id="22" name="肘形连接符 22"/>
                <wp:cNvGraphicFramePr/>
                <a:graphic xmlns:a="http://schemas.openxmlformats.org/drawingml/2006/main">
                  <a:graphicData uri="http://schemas.microsoft.com/office/word/2010/wordprocessingShape">
                    <wps:wsp>
                      <wps:cNvCnPr>
                        <a:stCxn id="24" idx="3"/>
                        <a:endCxn id="23" idx="1"/>
                      </wps:cNvCnPr>
                      <wps:spPr>
                        <a:xfrm flipV="1">
                          <a:off x="0" y="0"/>
                          <a:ext cx="315595" cy="272415"/>
                        </a:xfrm>
                        <a:prstGeom prst="bentConnector3">
                          <a:avLst>
                            <a:gd name="adj1" fmla="val 17102"/>
                          </a:avLst>
                        </a:prstGeom>
                        <a:ln w="9525" cap="flat" cmpd="sng">
                          <a:solidFill>
                            <a:srgbClr val="000000"/>
                          </a:solidFill>
                          <a:prstDash val="solid"/>
                          <a:miter/>
                          <a:headEnd type="none" w="med" len="med"/>
                          <a:tailEnd type="arrow" w="med" len="med"/>
                        </a:ln>
                      </wps:spPr>
                      <wps:bodyPr/>
                    </wps:wsp>
                  </a:graphicData>
                </a:graphic>
              </wp:anchor>
            </w:drawing>
          </mc:Choice>
          <mc:Fallback>
            <w:pict>
              <v:shape id="_x0000_s1026" o:spid="_x0000_s1026" o:spt="34" type="#_x0000_t34" style="position:absolute;left:0pt;flip:y;margin-left:102.5pt;margin-top:11.05pt;height:21.45pt;width:24.85pt;z-index:251669504;mso-width-relative:page;mso-height-relative:page;" filled="f" stroked="t" coordsize="21600,21600" o:gfxdata="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GlzNJ2QAAAAkBAAAPAAAAAAAAAAEAIAAAACIAAABk&#10;cnMvZG93bnJldi54bWxQSwECFAAUAAAACACHTuJAhS033T4CAABsBAAADgAAAAAAAAABACAAAAAo&#10;AQAAZHJzL2Uyb0RvYy54bWxQSwUGAAAAAAYABgBZAQAA2AUAAAAA&#10;" adj="3694">
                <v:fill on="f" focussize="0,0"/>
                <v:stroke color="#000000" joinstyle="miter" endarrow="open"/>
                <v:imagedata o:title=""/>
                <o:lock v:ext="edit" aspectratio="f"/>
              </v:shape>
            </w:pict>
          </mc:Fallback>
        </mc:AlternateContent>
      </w:r>
      <w:r>
        <w:rPr>
          <w:color w:val="000000" w:themeColor="text1"/>
          <w:highlight w:val="none"/>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haracter">
                  <wp:posOffset>-234950</wp:posOffset>
                </wp:positionH>
                <wp:positionV relativeFrom="line">
                  <wp:posOffset>145415</wp:posOffset>
                </wp:positionV>
                <wp:extent cx="1270000" cy="534035"/>
                <wp:effectExtent l="4445" t="4445" r="20955" b="13970"/>
                <wp:wrapNone/>
                <wp:docPr id="24" name="矩形 24"/>
                <wp:cNvGraphicFramePr/>
                <a:graphic xmlns:a="http://schemas.openxmlformats.org/drawingml/2006/main">
                  <a:graphicData uri="http://schemas.microsoft.com/office/word/2010/wordprocessingShape">
                    <wps:wsp>
                      <wps:cNvSpPr/>
                      <wps:spPr>
                        <a:xfrm>
                          <a:off x="2049779" y="766233"/>
                          <a:ext cx="549487" cy="266700"/>
                        </a:xfrm>
                        <a:prstGeom prst="rect">
                          <a:avLst/>
                        </a:prstGeom>
                        <a:solidFill>
                          <a:srgbClr val="FFFFFF"/>
                        </a:solidFill>
                        <a:ln w="9525" cap="flat" cmpd="sng" algn="ctr">
                          <a:solidFill>
                            <a:srgbClr val="000000"/>
                          </a:solidFill>
                          <a:prstDash val="solid"/>
                        </a:ln>
                        <a:effectLst/>
                      </wps:spPr>
                      <wps:txbx>
                        <w:txbxContent>
                          <w:p>
                            <w:pPr>
                              <w:jc w:val="center"/>
                              <w:rPr>
                                <w:rFonts w:hint="default" w:ascii="Times New Roman" w:hAnsi="Times New Roman" w:eastAsia="宋体" w:cs="Times New Roman"/>
                                <w:sz w:val="18"/>
                                <w:szCs w:val="18"/>
                                <w:lang w:val="en-US" w:eastAsia="zh-CN"/>
                              </w:rPr>
                            </w:pPr>
                            <w:r>
                              <w:rPr>
                                <w:rFonts w:hint="eastAsia" w:eastAsia="宋体"/>
                                <w:sz w:val="18"/>
                                <w:szCs w:val="18"/>
                                <w:lang w:val="en-US" w:eastAsia="zh-CN"/>
                              </w:rPr>
                              <w:t>锡</w:t>
                            </w:r>
                            <w:r>
                              <w:rPr>
                                <w:rFonts w:hint="eastAsia" w:ascii="Times New Roman" w:hAnsi="Times New Roman" w:eastAsia="宋体" w:cs="Times New Roman"/>
                                <w:sz w:val="18"/>
                                <w:szCs w:val="18"/>
                                <w:lang w:val="en-US" w:eastAsia="zh-CN"/>
                              </w:rPr>
                              <w:t>膏和白硅胶（挥发性有机物按2.5g/kg计算）1.22t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8.5pt;margin-top:11.45pt;height:42.05pt;width:100pt;mso-position-horizontal-relative:char;mso-position-vertical-relative:line;z-index:251663360;v-text-anchor:middle;mso-width-relative:page;mso-height-relative:page;" fillcolor="#FFFFFF" filled="t" stroked="t" coordsize="21600,21600" o:gfxdata="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">
                <v:fill on="t" focussize="0,0"/>
                <v:stroke color="#000000" joinstyle="round"/>
                <v:imagedata o:title=""/>
                <o:lock v:ext="edit" aspectratio="f"/>
                <v:textbox>
                  <w:txbxContent>
                    <w:p>
                      <w:pPr>
                        <w:jc w:val="center"/>
                        <w:rPr>
                          <w:rFonts w:hint="default" w:ascii="Times New Roman" w:hAnsi="Times New Roman" w:eastAsia="宋体" w:cs="Times New Roman"/>
                          <w:sz w:val="18"/>
                          <w:szCs w:val="18"/>
                          <w:lang w:val="en-US" w:eastAsia="zh-CN"/>
                        </w:rPr>
                      </w:pPr>
                      <w:r>
                        <w:rPr>
                          <w:rFonts w:hint="eastAsia" w:eastAsia="宋体"/>
                          <w:sz w:val="18"/>
                          <w:szCs w:val="18"/>
                          <w:lang w:val="en-US" w:eastAsia="zh-CN"/>
                        </w:rPr>
                        <w:t>锡</w:t>
                      </w:r>
                      <w:r>
                        <w:rPr>
                          <w:rFonts w:hint="eastAsia" w:ascii="Times New Roman" w:hAnsi="Times New Roman" w:eastAsia="宋体" w:cs="Times New Roman"/>
                          <w:sz w:val="18"/>
                          <w:szCs w:val="18"/>
                          <w:lang w:val="en-US" w:eastAsia="zh-CN"/>
                        </w:rPr>
                        <w:t>膏和白硅胶（挥发性有机物按2.5g/kg计算）1.22t</w:t>
                      </w:r>
                    </w:p>
                  </w:txbxContent>
                </v:textbox>
              </v:rect>
            </w:pict>
          </mc:Fallback>
        </mc:AlternateContent>
      </w:r>
      <w:r>
        <w:rPr>
          <w:color w:val="000000" w:themeColor="text1"/>
          <w:highlight w:val="none"/>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haracter">
                  <wp:posOffset>1350645</wp:posOffset>
                </wp:positionH>
                <wp:positionV relativeFrom="line">
                  <wp:posOffset>6985</wp:posOffset>
                </wp:positionV>
                <wp:extent cx="1002030" cy="266700"/>
                <wp:effectExtent l="4445" t="4445" r="22225" b="14605"/>
                <wp:wrapNone/>
                <wp:docPr id="23" name="矩形 23"/>
                <wp:cNvGraphicFramePr/>
                <a:graphic xmlns:a="http://schemas.openxmlformats.org/drawingml/2006/main">
                  <a:graphicData uri="http://schemas.microsoft.com/office/word/2010/wordprocessingShape">
                    <wps:wsp>
                      <wps:cNvSpPr/>
                      <wps:spPr>
                        <a:xfrm>
                          <a:off x="2049779" y="766233"/>
                          <a:ext cx="549487" cy="266700"/>
                        </a:xfrm>
                        <a:prstGeom prst="rect">
                          <a:avLst/>
                        </a:prstGeom>
                        <a:solidFill>
                          <a:srgbClr val="FFFFFF"/>
                        </a:solidFill>
                        <a:ln w="9525" cap="flat" cmpd="sng" algn="ctr">
                          <a:solidFill>
                            <a:srgbClr val="000000"/>
                          </a:solidFill>
                          <a:prstDash val="solid"/>
                        </a:ln>
                        <a:effectLst/>
                      </wps:spPr>
                      <wps:txbx>
                        <w:txbxContent>
                          <w:p>
                            <w:pPr>
                              <w:jc w:val="center"/>
                              <w:rPr>
                                <w:rFonts w:hint="default" w:eastAsia="宋体"/>
                                <w:sz w:val="18"/>
                                <w:szCs w:val="18"/>
                                <w:lang w:val="en-US" w:eastAsia="zh-CN"/>
                              </w:rPr>
                            </w:pPr>
                            <w:r>
                              <w:rPr>
                                <w:rFonts w:hint="eastAsia" w:eastAsia="宋体"/>
                                <w:sz w:val="18"/>
                                <w:szCs w:val="18"/>
                                <w:lang w:val="en-US" w:eastAsia="zh-CN"/>
                              </w:rPr>
                              <w:t>有机废气3.282t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06.35pt;margin-top:0.55pt;height:21pt;width:78.9pt;mso-position-horizontal-relative:char;mso-position-vertical-relative:line;z-index:251664384;v-text-anchor:middle;mso-width-relative:page;mso-height-relative:page;" fillcolor="#FFFFFF" filled="t" stroked="t" coordsize="21600,21600" o:gfxdata="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MsXj5DYAAAACAEAAA8AAAAAAAAAAQAg&#10;AAAAIgAAAGRycy9kb3ducmV2LnhtbFBLAQIUABQAAAAIAIdO4kCsXpXUgAIAAAEFAAAOAAAAAAAA&#10;AAEAIAAAACcBAABkcnMvZTJvRG9jLnhtbFBLBQYAAAAABgAGAFkBAAAZBgAAAAA=&#10;">
                <v:fill on="t" focussize="0,0"/>
                <v:stroke color="#000000" joinstyle="round"/>
                <v:imagedata o:title=""/>
                <o:lock v:ext="edit" aspectratio="f"/>
                <v:textbox>
                  <w:txbxContent>
                    <w:p>
                      <w:pPr>
                        <w:jc w:val="center"/>
                        <w:rPr>
                          <w:rFonts w:hint="default" w:eastAsia="宋体"/>
                          <w:sz w:val="18"/>
                          <w:szCs w:val="18"/>
                          <w:lang w:val="en-US" w:eastAsia="zh-CN"/>
                        </w:rPr>
                      </w:pPr>
                      <w:r>
                        <w:rPr>
                          <w:rFonts w:hint="eastAsia" w:eastAsia="宋体"/>
                          <w:sz w:val="18"/>
                          <w:szCs w:val="18"/>
                          <w:lang w:val="en-US" w:eastAsia="zh-CN"/>
                        </w:rPr>
                        <w:t>有机废气3.282t</w:t>
                      </w:r>
                    </w:p>
                  </w:txbxContent>
                </v:textbox>
              </v:rect>
            </w:pict>
          </mc:Fallback>
        </mc:AlternateContent>
      </w:r>
    </w:p>
    <w:p>
      <w:pPr>
        <w:spacing w:line="360" w:lineRule="auto"/>
        <w:ind w:firstLine="420" w:firstLineChars="200"/>
        <w:rPr>
          <w:rFonts w:hint="eastAsia" w:ascii="Times New Roman" w:hAnsi="Times New Roman" w:eastAsia="宋体" w:cs="Times New Roman"/>
          <w:color w:val="000000" w:themeColor="text1"/>
          <w:highlight w:val="none"/>
          <w:lang w:val="en-US" w:eastAsia="zh-CN"/>
          <w14:textFill>
            <w14:solidFill>
              <w14:schemeClr w14:val="tx1"/>
            </w14:solidFill>
          </w14:textFill>
        </w:rPr>
      </w:pPr>
    </w:p>
    <w:p>
      <w:pPr>
        <w:spacing w:line="360" w:lineRule="auto"/>
        <w:ind w:firstLine="420" w:firstLineChars="200"/>
        <w:rPr>
          <w:rFonts w:hint="eastAsia" w:ascii="Times New Roman" w:hAnsi="Times New Roman" w:eastAsia="宋体" w:cs="Times New Roman"/>
          <w:color w:val="000000" w:themeColor="text1"/>
          <w:highlight w:val="none"/>
          <w:lang w:val="en-US" w:eastAsia="zh-CN"/>
          <w14:textFill>
            <w14:solidFill>
              <w14:schemeClr w14:val="tx1"/>
            </w14:solidFill>
          </w14:textFill>
        </w:rPr>
      </w:pPr>
    </w:p>
    <w:p>
      <w:pPr>
        <w:spacing w:line="360" w:lineRule="auto"/>
        <w:rPr>
          <w:rFonts w:hint="eastAsia" w:ascii="Times New Roman" w:hAnsi="Times New Roman" w:eastAsia="宋体" w:cs="Times New Roman"/>
          <w:color w:val="000000" w:themeColor="text1"/>
          <w:highlight w:val="none"/>
          <w:lang w:val="en-US" w:eastAsia="zh-CN"/>
          <w14:textFill>
            <w14:solidFill>
              <w14:schemeClr w14:val="tx1"/>
            </w14:solidFill>
          </w14:textFill>
        </w:rPr>
      </w:pPr>
    </w:p>
    <w:p>
      <w:pPr>
        <w:keepNext w:val="0"/>
        <w:keepLines w:val="0"/>
        <w:widowControl w:val="0"/>
        <w:suppressLineNumbers w:val="0"/>
        <w:spacing w:before="0" w:beforeAutospacing="0" w:after="0" w:afterAutospacing="0" w:line="360" w:lineRule="auto"/>
        <w:ind w:left="0" w:right="0" w:firstLine="480" w:firstLineChars="200"/>
        <w:jc w:val="center"/>
        <w:rPr>
          <w:rFonts w:hint="default"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图4-1 VOCs物料平衡图</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（5）治理设施：</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锡烟净化器：烟雾净化过滤系统能有效地吸收并过滤在焊接、激光打标、激光雕刻等加工过程中产生的烟雾和粉尘，同时对其中的有毒有害的气体和粉尘，起到吸附和彻底过滤的效果，防止环境污染，锡烟雾净化过滤系统，采用了单工位设计和三层过滤装置，包括</w:t>
      </w:r>
      <w:r>
        <w:rPr>
          <w:rFonts w:hint="default" w:ascii="Times New Roman" w:hAnsi="Times New Roman" w:eastAsia="宋体" w:cs="宋体"/>
          <w:color w:val="000000" w:themeColor="text1"/>
          <w:kern w:val="2"/>
          <w:sz w:val="24"/>
          <w:szCs w:val="24"/>
          <w:highlight w:val="none"/>
          <w:lang w:val="en-US" w:eastAsia="zh-CN" w:bidi="ar"/>
          <w14:textFill>
            <w14:solidFill>
              <w14:schemeClr w14:val="tx1"/>
            </w14:solidFill>
          </w14:textFill>
        </w:rPr>
        <w:fldChar w:fldCharType="begin"/>
      </w:r>
      <w:r>
        <w:rPr>
          <w:rFonts w:hint="default" w:ascii="Times New Roman" w:hAnsi="Times New Roman" w:eastAsia="宋体" w:cs="宋体"/>
          <w:color w:val="000000" w:themeColor="text1"/>
          <w:kern w:val="2"/>
          <w:sz w:val="24"/>
          <w:szCs w:val="24"/>
          <w:highlight w:val="none"/>
          <w:lang w:val="en-US" w:eastAsia="zh-CN" w:bidi="ar"/>
          <w14:textFill>
            <w14:solidFill>
              <w14:schemeClr w14:val="tx1"/>
            </w14:solidFill>
          </w14:textFill>
        </w:rPr>
        <w:instrText xml:space="preserve"> HYPERLINK "https://baike.baidu.com/item/%E5%88%9D%E6%95%88%E8%BF%87%E6%BB%A4%E5%99%A8/10390747" \t "https://baike.baidu.com/item/%E9%94%A1%E9%93%85%E7%83%9F%E9%9B%BE%E5%87%80%E5%8C%96%E5%99%A8/_blank" </w:instrText>
      </w:r>
      <w:r>
        <w:rPr>
          <w:rFonts w:hint="default" w:ascii="Times New Roman" w:hAnsi="Times New Roman" w:eastAsia="宋体" w:cs="宋体"/>
          <w:color w:val="000000" w:themeColor="text1"/>
          <w:kern w:val="2"/>
          <w:sz w:val="24"/>
          <w:szCs w:val="24"/>
          <w:highlight w:val="none"/>
          <w:lang w:val="en-US" w:eastAsia="zh-CN" w:bidi="ar"/>
          <w14:textFill>
            <w14:solidFill>
              <w14:schemeClr w14:val="tx1"/>
            </w14:solidFill>
          </w14:textFill>
        </w:rPr>
        <w:fldChar w:fldCharType="separate"/>
      </w:r>
      <w:r>
        <w:rPr>
          <w:rFonts w:hint="default" w:ascii="Times New Roman" w:hAnsi="Times New Roman" w:eastAsia="宋体" w:cs="宋体"/>
          <w:color w:val="000000" w:themeColor="text1"/>
          <w:kern w:val="2"/>
          <w:sz w:val="24"/>
          <w:szCs w:val="24"/>
          <w:highlight w:val="none"/>
          <w:lang w:val="en-US" w:eastAsia="zh-CN" w:bidi="ar"/>
          <w14:textFill>
            <w14:solidFill>
              <w14:schemeClr w14:val="tx1"/>
            </w14:solidFill>
          </w14:textFill>
        </w:rPr>
        <w:t>初效过滤器</w:t>
      </w:r>
      <w:r>
        <w:rPr>
          <w:rFonts w:hint="default" w:ascii="Times New Roman" w:hAnsi="Times New Roman" w:eastAsia="宋体" w:cs="宋体"/>
          <w:color w:val="000000" w:themeColor="text1"/>
          <w:kern w:val="2"/>
          <w:sz w:val="24"/>
          <w:szCs w:val="24"/>
          <w:highlight w:val="none"/>
          <w:lang w:val="en-US" w:eastAsia="zh-CN" w:bidi="ar"/>
          <w14:textFill>
            <w14:solidFill>
              <w14:schemeClr w14:val="tx1"/>
            </w14:solidFill>
          </w14:textFill>
        </w:rPr>
        <w:fldChar w:fldCharType="end"/>
      </w:r>
      <w:r>
        <w:rPr>
          <w:rFonts w:hint="default" w:ascii="Times New Roman" w:hAnsi="Times New Roman" w:eastAsia="宋体" w:cs="宋体"/>
          <w:color w:val="000000" w:themeColor="text1"/>
          <w:kern w:val="2"/>
          <w:sz w:val="24"/>
          <w:szCs w:val="24"/>
          <w:highlight w:val="none"/>
          <w:lang w:val="en-US" w:eastAsia="zh-CN" w:bidi="ar"/>
          <w14:textFill>
            <w14:solidFill>
              <w14:schemeClr w14:val="tx1"/>
            </w14:solidFill>
          </w14:textFill>
        </w:rPr>
        <w:t>、</w:t>
      </w:r>
      <w:r>
        <w:rPr>
          <w:rFonts w:hint="default" w:ascii="Times New Roman" w:hAnsi="Times New Roman" w:eastAsia="宋体" w:cs="宋体"/>
          <w:color w:val="000000" w:themeColor="text1"/>
          <w:kern w:val="2"/>
          <w:sz w:val="24"/>
          <w:szCs w:val="24"/>
          <w:highlight w:val="none"/>
          <w:lang w:val="en-US" w:eastAsia="zh-CN" w:bidi="ar"/>
          <w14:textFill>
            <w14:solidFill>
              <w14:schemeClr w14:val="tx1"/>
            </w14:solidFill>
          </w14:textFill>
        </w:rPr>
        <w:fldChar w:fldCharType="begin"/>
      </w:r>
      <w:r>
        <w:rPr>
          <w:rFonts w:hint="default" w:ascii="Times New Roman" w:hAnsi="Times New Roman" w:eastAsia="宋体" w:cs="宋体"/>
          <w:color w:val="000000" w:themeColor="text1"/>
          <w:kern w:val="2"/>
          <w:sz w:val="24"/>
          <w:szCs w:val="24"/>
          <w:highlight w:val="none"/>
          <w:lang w:val="en-US" w:eastAsia="zh-CN" w:bidi="ar"/>
          <w14:textFill>
            <w14:solidFill>
              <w14:schemeClr w14:val="tx1"/>
            </w14:solidFill>
          </w14:textFill>
        </w:rPr>
        <w:instrText xml:space="preserve"> HYPERLINK "https://baike.baidu.com/item/%E4%B8%AD%E6%95%88%E8%BF%87%E6%BB%A4%E5%99%A8/2031341" \t "https://baike.baidu.com/item/%E9%94%A1%E9%93%85%E7%83%9F%E9%9B%BE%E5%87%80%E5%8C%96%E5%99%A8/_blank" </w:instrText>
      </w:r>
      <w:r>
        <w:rPr>
          <w:rFonts w:hint="default" w:ascii="Times New Roman" w:hAnsi="Times New Roman" w:eastAsia="宋体" w:cs="宋体"/>
          <w:color w:val="000000" w:themeColor="text1"/>
          <w:kern w:val="2"/>
          <w:sz w:val="24"/>
          <w:szCs w:val="24"/>
          <w:highlight w:val="none"/>
          <w:lang w:val="en-US" w:eastAsia="zh-CN" w:bidi="ar"/>
          <w14:textFill>
            <w14:solidFill>
              <w14:schemeClr w14:val="tx1"/>
            </w14:solidFill>
          </w14:textFill>
        </w:rPr>
        <w:fldChar w:fldCharType="separate"/>
      </w:r>
      <w:r>
        <w:rPr>
          <w:rFonts w:hint="default" w:ascii="Times New Roman" w:hAnsi="Times New Roman" w:eastAsia="宋体" w:cs="宋体"/>
          <w:color w:val="000000" w:themeColor="text1"/>
          <w:kern w:val="2"/>
          <w:sz w:val="24"/>
          <w:szCs w:val="24"/>
          <w:highlight w:val="none"/>
          <w:lang w:val="en-US" w:eastAsia="zh-CN" w:bidi="ar"/>
          <w14:textFill>
            <w14:solidFill>
              <w14:schemeClr w14:val="tx1"/>
            </w14:solidFill>
          </w14:textFill>
        </w:rPr>
        <w:t>中效过滤器</w:t>
      </w:r>
      <w:r>
        <w:rPr>
          <w:rFonts w:hint="default" w:ascii="Times New Roman" w:hAnsi="Times New Roman" w:eastAsia="宋体" w:cs="宋体"/>
          <w:color w:val="000000" w:themeColor="text1"/>
          <w:kern w:val="2"/>
          <w:sz w:val="24"/>
          <w:szCs w:val="24"/>
          <w:highlight w:val="none"/>
          <w:lang w:val="en-US" w:eastAsia="zh-CN" w:bidi="ar"/>
          <w14:textFill>
            <w14:solidFill>
              <w14:schemeClr w14:val="tx1"/>
            </w14:solidFill>
          </w14:textFill>
        </w:rPr>
        <w:fldChar w:fldCharType="end"/>
      </w:r>
      <w:r>
        <w:rPr>
          <w:rFonts w:hint="default" w:ascii="Times New Roman" w:hAnsi="Times New Roman" w:eastAsia="宋体" w:cs="宋体"/>
          <w:color w:val="000000" w:themeColor="text1"/>
          <w:kern w:val="2"/>
          <w:sz w:val="24"/>
          <w:szCs w:val="24"/>
          <w:highlight w:val="none"/>
          <w:lang w:val="en-US" w:eastAsia="zh-CN" w:bidi="ar"/>
          <w14:textFill>
            <w14:solidFill>
              <w14:schemeClr w14:val="tx1"/>
            </w14:solidFill>
          </w14:textFill>
        </w:rPr>
        <w:t>和主过滤器。HEPA高效过滤部分和气体过滤部分组成主过滤器。大面积垫式初效过滤器能有效过滤颗粒较大的粉尘</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活性炭吸附装置：活性炭吸附是一种常用的吸附方法，主要利用高孔隙率、高比表面积的吸附剂，藉由物理性吸附(可逆反应)或化学性键结(不可逆反应)作用，将有机气体分子自废气中分离，以达成净化废气的目的。由于一般多采用物理性吸附，随操作时间之增加，吸附剂将逐渐趋于饱和现象，此时则须进行脱附再生或吸附剂更换工作。因活性炭表面有大量微孔，其中绝大部分孔径小于500A（1A=10-10m），单位材料微孔的总内表面积称“比表面积”，比表面积可高达700～2300m2/g，常被用来作为吸附有机废气的吸附剂。空气中的有害气体称“吸附质”，活性炭为“吸附剂”，由于分子间的引力，吸附质粘到微孔内表面，从而使空气得到净化。活性炭材料分颗粒炭、纤维炭，传统的颗粒活性炭有煤质炭、木质炭、椰壳炭、骨炭。纤维活性炭由含碳有机纤维制成，它比颗粒活性炭孔径小（&lt;50A）、吸附容量大、吸附快、再生快。在有机废气处理过程中，活性炭常被用来吸附烷烃、烯烃、芳香烃、酮、醛、氯代烃、酯以及挥发性有机化合物。</w:t>
      </w:r>
    </w:p>
    <w:tbl>
      <w:tblPr>
        <w:tblStyle w:val="48"/>
        <w:tblpPr w:leftFromText="180" w:rightFromText="180" w:vertAnchor="text" w:horzAnchor="page" w:tblpX="1684" w:tblpY="300"/>
        <w:tblOverlap w:val="never"/>
        <w:tblW w:w="8495" w:type="dxa"/>
        <w:tblInd w:w="0" w:type="dxa"/>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Layout w:type="autofit"/>
        <w:tblCellMar>
          <w:top w:w="57" w:type="dxa"/>
          <w:left w:w="0" w:type="dxa"/>
          <w:bottom w:w="57" w:type="dxa"/>
          <w:right w:w="0" w:type="dxa"/>
        </w:tblCellMar>
      </w:tblPr>
      <w:tblGrid>
        <w:gridCol w:w="499"/>
        <w:gridCol w:w="501"/>
        <w:gridCol w:w="801"/>
        <w:gridCol w:w="985"/>
        <w:gridCol w:w="800"/>
        <w:gridCol w:w="1451"/>
        <w:gridCol w:w="672"/>
        <w:gridCol w:w="985"/>
        <w:gridCol w:w="683"/>
        <w:gridCol w:w="353"/>
        <w:gridCol w:w="390"/>
        <w:gridCol w:w="375"/>
      </w:tblGrid>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PrEx>
        <w:trPr>
          <w:trHeight w:val="344" w:hRule="atLeast"/>
        </w:trPr>
        <w:tc>
          <w:tcPr>
            <w:tcW w:w="499" w:type="dxa"/>
            <w:vMerge w:val="restart"/>
            <w:noWrap w:val="0"/>
            <w:vAlign w:val="center"/>
          </w:tcPr>
          <w:p>
            <w:pPr>
              <w:keepNext w:val="0"/>
              <w:keepLines w:val="0"/>
              <w:suppressLineNumbers w:val="0"/>
              <w:adjustRightInd w:val="0"/>
              <w:snapToGrid w:val="0"/>
              <w:spacing w:before="0" w:beforeAutospacing="0" w:after="0" w:afterAutospacing="0"/>
              <w:ind w:left="0" w:right="0"/>
              <w:jc w:val="center"/>
              <w:rPr>
                <w:rFonts w:hint="eastAsia" w:eastAsia="宋体"/>
                <w:color w:val="000000" w:themeColor="text1"/>
                <w:kern w:val="0"/>
                <w:szCs w:val="21"/>
                <w:highlight w:val="none"/>
                <w:lang w:eastAsia="zh-CN"/>
                <w14:textFill>
                  <w14:solidFill>
                    <w14:schemeClr w14:val="tx1"/>
                  </w14:solidFill>
                </w14:textFill>
              </w:rPr>
            </w:pPr>
            <w:r>
              <w:rPr>
                <w:rFonts w:hint="eastAsia"/>
                <w:color w:val="000000" w:themeColor="text1"/>
                <w:kern w:val="0"/>
                <w:szCs w:val="21"/>
                <w:highlight w:val="none"/>
                <w:lang w:eastAsia="zh-CN"/>
                <w14:textFill>
                  <w14:solidFill>
                    <w14:schemeClr w14:val="tx1"/>
                  </w14:solidFill>
                </w14:textFill>
              </w:rPr>
              <w:t>排气筒编号</w:t>
            </w:r>
          </w:p>
        </w:tc>
        <w:tc>
          <w:tcPr>
            <w:tcW w:w="501" w:type="dxa"/>
            <w:vMerge w:val="restart"/>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污染源</w:t>
            </w:r>
          </w:p>
        </w:tc>
        <w:tc>
          <w:tcPr>
            <w:tcW w:w="801" w:type="dxa"/>
            <w:vMerge w:val="restart"/>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污染物</w:t>
            </w:r>
          </w:p>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名称</w:t>
            </w:r>
          </w:p>
        </w:tc>
        <w:tc>
          <w:tcPr>
            <w:tcW w:w="1785" w:type="dxa"/>
            <w:gridSpan w:val="2"/>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产生量</w:t>
            </w:r>
          </w:p>
        </w:tc>
        <w:tc>
          <w:tcPr>
            <w:tcW w:w="1451" w:type="dxa"/>
            <w:vMerge w:val="restart"/>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治理</w:t>
            </w:r>
          </w:p>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措施</w:t>
            </w:r>
          </w:p>
        </w:tc>
        <w:tc>
          <w:tcPr>
            <w:tcW w:w="672" w:type="dxa"/>
            <w:vMerge w:val="restart"/>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去除率</w:t>
            </w:r>
          </w:p>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w:t>
            </w:r>
            <w:r>
              <w:rPr>
                <w:rFonts w:hint="eastAsia"/>
                <w:color w:val="000000" w:themeColor="text1"/>
                <w:kern w:val="0"/>
                <w:szCs w:val="21"/>
                <w:highlight w:val="none"/>
                <w14:textFill>
                  <w14:solidFill>
                    <w14:schemeClr w14:val="tx1"/>
                  </w14:solidFill>
                </w14:textFill>
              </w:rPr>
              <w:t>%</w:t>
            </w:r>
            <w:r>
              <w:rPr>
                <w:color w:val="000000" w:themeColor="text1"/>
                <w:kern w:val="0"/>
                <w:szCs w:val="21"/>
                <w:highlight w:val="none"/>
                <w14:textFill>
                  <w14:solidFill>
                    <w14:schemeClr w14:val="tx1"/>
                  </w14:solidFill>
                </w14:textFill>
              </w:rPr>
              <w:t>）</w:t>
            </w:r>
          </w:p>
        </w:tc>
        <w:tc>
          <w:tcPr>
            <w:tcW w:w="1668" w:type="dxa"/>
            <w:gridSpan w:val="2"/>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排放量</w:t>
            </w:r>
          </w:p>
        </w:tc>
        <w:tc>
          <w:tcPr>
            <w:tcW w:w="1118" w:type="dxa"/>
            <w:gridSpan w:val="3"/>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排气筒参数</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57" w:type="dxa"/>
            <w:left w:w="0" w:type="dxa"/>
            <w:bottom w:w="57" w:type="dxa"/>
            <w:right w:w="0" w:type="dxa"/>
          </w:tblCellMar>
        </w:tblPrEx>
        <w:trPr>
          <w:trHeight w:val="643" w:hRule="atLeast"/>
        </w:trPr>
        <w:tc>
          <w:tcPr>
            <w:tcW w:w="499" w:type="dxa"/>
            <w:vMerge w:val="continue"/>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p>
        </w:tc>
        <w:tc>
          <w:tcPr>
            <w:tcW w:w="501" w:type="dxa"/>
            <w:vMerge w:val="continue"/>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p>
        </w:tc>
        <w:tc>
          <w:tcPr>
            <w:tcW w:w="801" w:type="dxa"/>
            <w:vMerge w:val="continue"/>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p>
        </w:tc>
        <w:tc>
          <w:tcPr>
            <w:tcW w:w="985" w:type="dxa"/>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浓度</w:t>
            </w:r>
          </w:p>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（mg/m</w:t>
            </w:r>
            <w:r>
              <w:rPr>
                <w:color w:val="000000" w:themeColor="text1"/>
                <w:kern w:val="0"/>
                <w:szCs w:val="21"/>
                <w:highlight w:val="none"/>
                <w:vertAlign w:val="superscript"/>
                <w14:textFill>
                  <w14:solidFill>
                    <w14:schemeClr w14:val="tx1"/>
                  </w14:solidFill>
                </w14:textFill>
              </w:rPr>
              <w:t>3</w:t>
            </w:r>
            <w:r>
              <w:rPr>
                <w:color w:val="000000" w:themeColor="text1"/>
                <w:kern w:val="0"/>
                <w:szCs w:val="21"/>
                <w:highlight w:val="none"/>
                <w14:textFill>
                  <w14:solidFill>
                    <w14:schemeClr w14:val="tx1"/>
                  </w14:solidFill>
                </w14:textFill>
              </w:rPr>
              <w:t>）</w:t>
            </w:r>
          </w:p>
        </w:tc>
        <w:tc>
          <w:tcPr>
            <w:tcW w:w="800" w:type="dxa"/>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产生量</w:t>
            </w:r>
          </w:p>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w:t>
            </w:r>
            <w:r>
              <w:rPr>
                <w:rFonts w:hint="eastAsia"/>
                <w:color w:val="000000" w:themeColor="text1"/>
                <w:kern w:val="0"/>
                <w:szCs w:val="21"/>
                <w:highlight w:val="none"/>
                <w:lang w:val="en-US" w:eastAsia="zh-CN"/>
                <w14:textFill>
                  <w14:solidFill>
                    <w14:schemeClr w14:val="tx1"/>
                  </w14:solidFill>
                </w14:textFill>
              </w:rPr>
              <w:t>t</w:t>
            </w:r>
            <w:r>
              <w:rPr>
                <w:color w:val="000000" w:themeColor="text1"/>
                <w:kern w:val="0"/>
                <w:szCs w:val="21"/>
                <w:highlight w:val="none"/>
                <w14:textFill>
                  <w14:solidFill>
                    <w14:schemeClr w14:val="tx1"/>
                  </w14:solidFill>
                </w14:textFill>
              </w:rPr>
              <w:t>/a)</w:t>
            </w:r>
          </w:p>
        </w:tc>
        <w:tc>
          <w:tcPr>
            <w:tcW w:w="1451" w:type="dxa"/>
            <w:vMerge w:val="continue"/>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p>
        </w:tc>
        <w:tc>
          <w:tcPr>
            <w:tcW w:w="672" w:type="dxa"/>
            <w:vMerge w:val="continue"/>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p>
        </w:tc>
        <w:tc>
          <w:tcPr>
            <w:tcW w:w="985" w:type="dxa"/>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浓度</w:t>
            </w:r>
          </w:p>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（mg/m</w:t>
            </w:r>
            <w:r>
              <w:rPr>
                <w:color w:val="000000" w:themeColor="text1"/>
                <w:kern w:val="0"/>
                <w:szCs w:val="21"/>
                <w:highlight w:val="none"/>
                <w:vertAlign w:val="superscript"/>
                <w14:textFill>
                  <w14:solidFill>
                    <w14:schemeClr w14:val="tx1"/>
                  </w14:solidFill>
                </w14:textFill>
              </w:rPr>
              <w:t>3</w:t>
            </w:r>
            <w:r>
              <w:rPr>
                <w:color w:val="000000" w:themeColor="text1"/>
                <w:kern w:val="0"/>
                <w:szCs w:val="21"/>
                <w:highlight w:val="none"/>
                <w14:textFill>
                  <w14:solidFill>
                    <w14:schemeClr w14:val="tx1"/>
                  </w14:solidFill>
                </w14:textFill>
              </w:rPr>
              <w:t>）</w:t>
            </w:r>
          </w:p>
        </w:tc>
        <w:tc>
          <w:tcPr>
            <w:tcW w:w="683" w:type="dxa"/>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排放量</w:t>
            </w:r>
          </w:p>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w:t>
            </w:r>
            <w:r>
              <w:rPr>
                <w:rFonts w:hint="eastAsia"/>
                <w:color w:val="000000" w:themeColor="text1"/>
                <w:kern w:val="0"/>
                <w:szCs w:val="21"/>
                <w:highlight w:val="none"/>
                <w:lang w:val="en-US" w:eastAsia="zh-CN"/>
                <w14:textFill>
                  <w14:solidFill>
                    <w14:schemeClr w14:val="tx1"/>
                  </w14:solidFill>
                </w14:textFill>
              </w:rPr>
              <w:t>t</w:t>
            </w:r>
            <w:r>
              <w:rPr>
                <w:color w:val="000000" w:themeColor="text1"/>
                <w:kern w:val="0"/>
                <w:szCs w:val="21"/>
                <w:highlight w:val="none"/>
                <w14:textFill>
                  <w14:solidFill>
                    <w14:schemeClr w14:val="tx1"/>
                  </w14:solidFill>
                </w14:textFill>
              </w:rPr>
              <w:t>/a)</w:t>
            </w:r>
          </w:p>
        </w:tc>
        <w:tc>
          <w:tcPr>
            <w:tcW w:w="353" w:type="dxa"/>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高度</w:t>
            </w:r>
          </w:p>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(m)</w:t>
            </w:r>
          </w:p>
        </w:tc>
        <w:tc>
          <w:tcPr>
            <w:tcW w:w="390" w:type="dxa"/>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直径</w:t>
            </w:r>
          </w:p>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(m)</w:t>
            </w:r>
          </w:p>
        </w:tc>
        <w:tc>
          <w:tcPr>
            <w:tcW w:w="375" w:type="dxa"/>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温度</w:t>
            </w:r>
          </w:p>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PrEx>
        <w:trPr>
          <w:trHeight w:val="340" w:hRule="atLeast"/>
        </w:trPr>
        <w:tc>
          <w:tcPr>
            <w:tcW w:w="499" w:type="dxa"/>
            <w:vMerge w:val="restar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1#</w:t>
            </w:r>
          </w:p>
        </w:tc>
        <w:tc>
          <w:tcPr>
            <w:tcW w:w="501" w:type="dxa"/>
            <w:vMerge w:val="restar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焊接工序</w:t>
            </w:r>
          </w:p>
        </w:tc>
        <w:tc>
          <w:tcPr>
            <w:tcW w:w="801" w:type="dxa"/>
            <w:noWrap w:val="0"/>
            <w:vAlign w:val="center"/>
          </w:tcPr>
          <w:p>
            <w:pPr>
              <w:keepNext w:val="0"/>
              <w:keepLines w:val="0"/>
              <w:suppressLineNumbers w:val="0"/>
              <w:adjustRightInd w:val="0"/>
              <w:snapToGrid w:val="0"/>
              <w:spacing w:before="0" w:beforeAutospacing="0" w:after="0" w:afterAutospacing="0"/>
              <w:ind w:left="0" w:right="0"/>
              <w:jc w:val="center"/>
              <w:rPr>
                <w:rFonts w:hint="eastAsia" w:eastAsia="宋体"/>
                <w:color w:val="000000" w:themeColor="text1"/>
                <w:kern w:val="0"/>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浸锡</w:t>
            </w:r>
            <w:r>
              <w:rPr>
                <w:rFonts w:hint="eastAsia" w:ascii="Times New Roman" w:hAnsi="Times New Roman" w:eastAsia="宋体" w:cs="Times New Roman"/>
                <w:color w:val="000000" w:themeColor="text1"/>
                <w:highlight w:val="none"/>
                <w:lang w:val="en-US" w:eastAsia="zh-CN"/>
                <w14:textFill>
                  <w14:solidFill>
                    <w14:schemeClr w14:val="tx1"/>
                  </w14:solidFill>
                </w14:textFill>
              </w:rPr>
              <w:t>废气</w:t>
            </w:r>
          </w:p>
        </w:tc>
        <w:tc>
          <w:tcPr>
            <w:tcW w:w="985"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45</w:t>
            </w:r>
          </w:p>
        </w:tc>
        <w:tc>
          <w:tcPr>
            <w:tcW w:w="800"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eastAsia="宋体"/>
                <w:color w:val="000000" w:themeColor="text1"/>
                <w:sz w:val="20"/>
                <w:szCs w:val="20"/>
                <w:highlight w:val="none"/>
                <w:lang w:val="en-US" w:eastAsia="zh-CN"/>
                <w14:textFill>
                  <w14:solidFill>
                    <w14:schemeClr w14:val="tx1"/>
                  </w14:solidFill>
                </w14:textFill>
              </w:rPr>
            </w:pPr>
            <w:r>
              <w:rPr>
                <w:rFonts w:hint="eastAsia"/>
                <w:color w:val="000000" w:themeColor="text1"/>
                <w:sz w:val="20"/>
                <w:szCs w:val="20"/>
                <w:highlight w:val="none"/>
                <w:lang w:val="en-US" w:eastAsia="zh-CN"/>
                <w14:textFill>
                  <w14:solidFill>
                    <w14:schemeClr w14:val="tx1"/>
                  </w14:solidFill>
                </w14:textFill>
              </w:rPr>
              <w:t>0.434</w:t>
            </w:r>
          </w:p>
        </w:tc>
        <w:tc>
          <w:tcPr>
            <w:tcW w:w="1451" w:type="dxa"/>
            <w:vMerge w:val="restart"/>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集气罩+锡烟净化器</w:t>
            </w:r>
            <w:r>
              <w:rPr>
                <w:color w:val="000000" w:themeColor="text1"/>
                <w:kern w:val="0"/>
                <w:szCs w:val="21"/>
                <w:highlight w:val="none"/>
                <w:lang w:bidi="ar"/>
                <w14:textFill>
                  <w14:solidFill>
                    <w14:schemeClr w14:val="tx1"/>
                  </w14:solidFill>
                </w14:textFill>
              </w:rPr>
              <w:t>+15</w:t>
            </w:r>
            <w:r>
              <w:rPr>
                <w:rFonts w:hint="eastAsia"/>
                <w:color w:val="000000" w:themeColor="text1"/>
                <w:kern w:val="0"/>
                <w:szCs w:val="21"/>
                <w:highlight w:val="none"/>
                <w:lang w:val="en-US" w:eastAsia="zh-CN" w:bidi="ar"/>
                <w14:textFill>
                  <w14:solidFill>
                    <w14:schemeClr w14:val="tx1"/>
                  </w14:solidFill>
                </w14:textFill>
              </w:rPr>
              <w:t>米1#</w:t>
            </w:r>
            <w:r>
              <w:rPr>
                <w:color w:val="000000" w:themeColor="text1"/>
                <w:kern w:val="0"/>
                <w:szCs w:val="21"/>
                <w:highlight w:val="none"/>
                <w:lang w:bidi="ar"/>
                <w14:textFill>
                  <w14:solidFill>
                    <w14:schemeClr w14:val="tx1"/>
                  </w14:solidFill>
                </w14:textFill>
              </w:rPr>
              <w:t>排气筒</w:t>
            </w:r>
          </w:p>
        </w:tc>
        <w:tc>
          <w:tcPr>
            <w:tcW w:w="672"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eastAsia="宋体"/>
                <w:color w:val="000000" w:themeColor="text1"/>
                <w:kern w:val="0"/>
                <w:szCs w:val="21"/>
                <w:highlight w:val="none"/>
                <w:lang w:val="en-US" w:eastAsia="zh-CN"/>
                <w14:textFill>
                  <w14:solidFill>
                    <w14:schemeClr w14:val="tx1"/>
                  </w14:solidFill>
                </w14:textFill>
              </w:rPr>
            </w:pPr>
            <w:r>
              <w:rPr>
                <w:rFonts w:hint="eastAsia"/>
                <w:color w:val="000000" w:themeColor="text1"/>
                <w:kern w:val="0"/>
                <w:szCs w:val="21"/>
                <w:highlight w:val="none"/>
                <w:lang w:eastAsia="zh-CN"/>
                <w14:textFill>
                  <w14:solidFill>
                    <w14:schemeClr w14:val="tx1"/>
                  </w14:solidFill>
                </w14:textFill>
              </w:rPr>
              <w:t>9</w:t>
            </w:r>
            <w:r>
              <w:rPr>
                <w:rFonts w:hint="eastAsia"/>
                <w:color w:val="000000" w:themeColor="text1"/>
                <w:kern w:val="0"/>
                <w:szCs w:val="21"/>
                <w:highlight w:val="none"/>
                <w:lang w:val="en-US" w:eastAsia="zh-CN"/>
                <w14:textFill>
                  <w14:solidFill>
                    <w14:schemeClr w14:val="tx1"/>
                  </w14:solidFill>
                </w14:textFill>
              </w:rPr>
              <w:t>0</w:t>
            </w:r>
          </w:p>
        </w:tc>
        <w:tc>
          <w:tcPr>
            <w:tcW w:w="985"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3.6</w:t>
            </w:r>
          </w:p>
        </w:tc>
        <w:tc>
          <w:tcPr>
            <w:tcW w:w="683"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0.034</w:t>
            </w:r>
          </w:p>
        </w:tc>
        <w:tc>
          <w:tcPr>
            <w:tcW w:w="353" w:type="dxa"/>
            <w:vMerge w:val="restart"/>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15</w:t>
            </w:r>
          </w:p>
        </w:tc>
        <w:tc>
          <w:tcPr>
            <w:tcW w:w="390" w:type="dxa"/>
            <w:vMerge w:val="restart"/>
            <w:noWrap w:val="0"/>
            <w:vAlign w:val="center"/>
          </w:tcPr>
          <w:p>
            <w:pPr>
              <w:keepNext w:val="0"/>
              <w:keepLines w:val="0"/>
              <w:suppressLineNumbers w:val="0"/>
              <w:adjustRightInd w:val="0"/>
              <w:snapToGrid w:val="0"/>
              <w:spacing w:before="0" w:beforeAutospacing="0" w:after="0" w:afterAutospacing="0"/>
              <w:ind w:left="0" w:right="0"/>
              <w:jc w:val="center"/>
              <w:rPr>
                <w:rFonts w:hint="eastAsia" w:eastAsia="宋体"/>
                <w:color w:val="000000" w:themeColor="text1"/>
                <w:kern w:val="0"/>
                <w:szCs w:val="21"/>
                <w:highlight w:val="none"/>
                <w:lang w:eastAsia="zh-CN"/>
                <w14:textFill>
                  <w14:solidFill>
                    <w14:schemeClr w14:val="tx1"/>
                  </w14:solidFill>
                </w14:textFill>
              </w:rPr>
            </w:pPr>
            <w:r>
              <w:rPr>
                <w:color w:val="000000" w:themeColor="text1"/>
                <w:kern w:val="0"/>
                <w:szCs w:val="21"/>
                <w:highlight w:val="none"/>
                <w14:textFill>
                  <w14:solidFill>
                    <w14:schemeClr w14:val="tx1"/>
                  </w14:solidFill>
                </w14:textFill>
              </w:rPr>
              <w:t>0.</w:t>
            </w:r>
            <w:r>
              <w:rPr>
                <w:rFonts w:hint="eastAsia"/>
                <w:color w:val="000000" w:themeColor="text1"/>
                <w:kern w:val="0"/>
                <w:szCs w:val="21"/>
                <w:highlight w:val="none"/>
                <w:lang w:val="en-US" w:eastAsia="zh-CN"/>
                <w14:textFill>
                  <w14:solidFill>
                    <w14:schemeClr w14:val="tx1"/>
                  </w14:solidFill>
                </w14:textFill>
              </w:rPr>
              <w:t>3</w:t>
            </w:r>
          </w:p>
        </w:tc>
        <w:tc>
          <w:tcPr>
            <w:tcW w:w="375" w:type="dxa"/>
            <w:vMerge w:val="restart"/>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20</w:t>
            </w: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57" w:type="dxa"/>
            <w:left w:w="0" w:type="dxa"/>
            <w:bottom w:w="57" w:type="dxa"/>
            <w:right w:w="0" w:type="dxa"/>
          </w:tblCellMar>
        </w:tblPrEx>
        <w:trPr>
          <w:trHeight w:val="340" w:hRule="atLeast"/>
        </w:trPr>
        <w:tc>
          <w:tcPr>
            <w:tcW w:w="499" w:type="dxa"/>
            <w:vMerge w:val="continue"/>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p>
        </w:tc>
        <w:tc>
          <w:tcPr>
            <w:tcW w:w="501" w:type="dxa"/>
            <w:vMerge w:val="continue"/>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p>
        </w:tc>
        <w:tc>
          <w:tcPr>
            <w:tcW w:w="801"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eastAsia="宋体"/>
                <w:color w:val="000000" w:themeColor="text1"/>
                <w:szCs w:val="21"/>
                <w:highlight w:val="none"/>
                <w:lang w:val="en-US" w:eastAsia="zh-CN"/>
                <w14:textFill>
                  <w14:solidFill>
                    <w14:schemeClr w14:val="tx1"/>
                  </w14:solidFill>
                </w14:textFill>
              </w:rPr>
            </w:pPr>
            <w:r>
              <w:rPr>
                <w:rFonts w:hint="eastAsia" w:eastAsia="宋体"/>
                <w:color w:val="000000" w:themeColor="text1"/>
                <w:szCs w:val="21"/>
                <w:highlight w:val="none"/>
                <w:lang w:val="en-US" w:eastAsia="zh-CN"/>
                <w14:textFill>
                  <w14:solidFill>
                    <w14:schemeClr w14:val="tx1"/>
                  </w14:solidFill>
                </w14:textFill>
              </w:rPr>
              <w:t>焊接废气</w:t>
            </w:r>
          </w:p>
        </w:tc>
        <w:tc>
          <w:tcPr>
            <w:tcW w:w="985"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eastAsia="宋体"/>
                <w:color w:val="000000" w:themeColor="text1"/>
                <w:kern w:val="0"/>
                <w:sz w:val="20"/>
                <w:szCs w:val="20"/>
                <w:highlight w:val="none"/>
                <w:lang w:val="en-US" w:eastAsia="zh-CN" w:bidi="ar"/>
                <w14:textFill>
                  <w14:solidFill>
                    <w14:schemeClr w14:val="tx1"/>
                  </w14:solidFill>
                </w14:textFill>
              </w:rPr>
            </w:pPr>
            <w:r>
              <w:rPr>
                <w:rFonts w:hint="eastAsia" w:eastAsia="宋体"/>
                <w:color w:val="000000" w:themeColor="text1"/>
                <w:kern w:val="0"/>
                <w:sz w:val="20"/>
                <w:szCs w:val="20"/>
                <w:highlight w:val="none"/>
                <w:lang w:val="en-US" w:eastAsia="zh-CN" w:bidi="ar"/>
                <w14:textFill>
                  <w14:solidFill>
                    <w14:schemeClr w14:val="tx1"/>
                  </w14:solidFill>
                </w14:textFill>
              </w:rPr>
              <w:t>15</w:t>
            </w:r>
          </w:p>
        </w:tc>
        <w:tc>
          <w:tcPr>
            <w:tcW w:w="800"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eastAsia="宋体"/>
                <w:color w:val="000000" w:themeColor="text1"/>
                <w:sz w:val="20"/>
                <w:szCs w:val="20"/>
                <w:highlight w:val="none"/>
                <w:lang w:val="en-US" w:eastAsia="zh-CN"/>
                <w14:textFill>
                  <w14:solidFill>
                    <w14:schemeClr w14:val="tx1"/>
                  </w14:solidFill>
                </w14:textFill>
              </w:rPr>
            </w:pPr>
            <w:r>
              <w:rPr>
                <w:rFonts w:hint="eastAsia" w:eastAsia="宋体"/>
                <w:color w:val="000000" w:themeColor="text1"/>
                <w:sz w:val="20"/>
                <w:szCs w:val="20"/>
                <w:highlight w:val="none"/>
                <w:lang w:val="en-US" w:eastAsia="zh-CN"/>
                <w14:textFill>
                  <w14:solidFill>
                    <w14:schemeClr w14:val="tx1"/>
                  </w14:solidFill>
                </w14:textFill>
              </w:rPr>
              <w:t>0.013</w:t>
            </w:r>
          </w:p>
        </w:tc>
        <w:tc>
          <w:tcPr>
            <w:tcW w:w="1451" w:type="dxa"/>
            <w:vMerge w:val="continue"/>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highlight w:val="none"/>
                <w14:textFill>
                  <w14:solidFill>
                    <w14:schemeClr w14:val="tx1"/>
                  </w14:solidFill>
                </w14:textFill>
              </w:rPr>
            </w:pPr>
          </w:p>
        </w:tc>
        <w:tc>
          <w:tcPr>
            <w:tcW w:w="672"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eastAsia="宋体"/>
                <w:color w:val="000000" w:themeColor="text1"/>
                <w:kern w:val="0"/>
                <w:szCs w:val="21"/>
                <w:highlight w:val="none"/>
                <w:lang w:val="en-US" w:eastAsia="zh-CN"/>
                <w14:textFill>
                  <w14:solidFill>
                    <w14:schemeClr w14:val="tx1"/>
                  </w14:solidFill>
                </w14:textFill>
              </w:rPr>
            </w:pPr>
            <w:r>
              <w:rPr>
                <w:rFonts w:hint="eastAsia"/>
                <w:color w:val="000000" w:themeColor="text1"/>
                <w:kern w:val="0"/>
                <w:szCs w:val="21"/>
                <w:highlight w:val="none"/>
                <w:lang w:val="en-US" w:eastAsia="zh-CN"/>
                <w14:textFill>
                  <w14:solidFill>
                    <w14:schemeClr w14:val="tx1"/>
                  </w14:solidFill>
                </w14:textFill>
              </w:rPr>
              <w:t>90</w:t>
            </w:r>
          </w:p>
        </w:tc>
        <w:tc>
          <w:tcPr>
            <w:tcW w:w="985"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eastAsia="宋体"/>
                <w:color w:val="000000" w:themeColor="text1"/>
                <w:kern w:val="0"/>
                <w:sz w:val="20"/>
                <w:szCs w:val="20"/>
                <w:highlight w:val="none"/>
                <w:lang w:val="en-US" w:eastAsia="zh-CN" w:bidi="ar"/>
                <w14:textFill>
                  <w14:solidFill>
                    <w14:schemeClr w14:val="tx1"/>
                  </w14:solidFill>
                </w14:textFill>
              </w:rPr>
            </w:pPr>
            <w:r>
              <w:rPr>
                <w:rFonts w:hint="eastAsia" w:eastAsia="宋体"/>
                <w:color w:val="000000" w:themeColor="text1"/>
                <w:kern w:val="0"/>
                <w:sz w:val="20"/>
                <w:szCs w:val="20"/>
                <w:highlight w:val="none"/>
                <w:lang w:val="en-US" w:eastAsia="zh-CN" w:bidi="ar"/>
                <w14:textFill>
                  <w14:solidFill>
                    <w14:schemeClr w14:val="tx1"/>
                  </w14:solidFill>
                </w14:textFill>
              </w:rPr>
              <w:t>0.11</w:t>
            </w:r>
          </w:p>
        </w:tc>
        <w:tc>
          <w:tcPr>
            <w:tcW w:w="683"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eastAsia="宋体"/>
                <w:color w:val="000000" w:themeColor="text1"/>
                <w:kern w:val="0"/>
                <w:sz w:val="20"/>
                <w:szCs w:val="20"/>
                <w:highlight w:val="none"/>
                <w:lang w:val="en-US" w:eastAsia="zh-CN" w:bidi="ar"/>
                <w14:textFill>
                  <w14:solidFill>
                    <w14:schemeClr w14:val="tx1"/>
                  </w14:solidFill>
                </w14:textFill>
              </w:rPr>
            </w:pPr>
            <w:r>
              <w:rPr>
                <w:rFonts w:hint="eastAsia" w:eastAsia="宋体"/>
                <w:color w:val="000000" w:themeColor="text1"/>
                <w:kern w:val="0"/>
                <w:sz w:val="20"/>
                <w:szCs w:val="20"/>
                <w:highlight w:val="none"/>
                <w:lang w:val="en-US" w:eastAsia="zh-CN" w:bidi="ar"/>
                <w14:textFill>
                  <w14:solidFill>
                    <w14:schemeClr w14:val="tx1"/>
                  </w14:solidFill>
                </w14:textFill>
              </w:rPr>
              <w:t>0.001</w:t>
            </w:r>
          </w:p>
        </w:tc>
        <w:tc>
          <w:tcPr>
            <w:tcW w:w="353" w:type="dxa"/>
            <w:vMerge w:val="continue"/>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p>
        </w:tc>
        <w:tc>
          <w:tcPr>
            <w:tcW w:w="390" w:type="dxa"/>
            <w:vMerge w:val="continue"/>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p>
        </w:tc>
        <w:tc>
          <w:tcPr>
            <w:tcW w:w="375" w:type="dxa"/>
            <w:vMerge w:val="continue"/>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57" w:type="dxa"/>
            <w:left w:w="0" w:type="dxa"/>
            <w:bottom w:w="57" w:type="dxa"/>
            <w:right w:w="0" w:type="dxa"/>
          </w:tblCellMar>
        </w:tblPrEx>
        <w:trPr>
          <w:trHeight w:val="340" w:hRule="atLeast"/>
        </w:trPr>
        <w:tc>
          <w:tcPr>
            <w:tcW w:w="499" w:type="dxa"/>
            <w:vMerge w:val="continue"/>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p>
        </w:tc>
        <w:tc>
          <w:tcPr>
            <w:tcW w:w="501" w:type="dxa"/>
            <w:vMerge w:val="continue"/>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p>
        </w:tc>
        <w:tc>
          <w:tcPr>
            <w:tcW w:w="801" w:type="dxa"/>
            <w:noWrap w:val="0"/>
            <w:vAlign w:val="center"/>
          </w:tcPr>
          <w:p>
            <w:pPr>
              <w:keepNext w:val="0"/>
              <w:keepLines w:val="0"/>
              <w:suppressLineNumbers w:val="0"/>
              <w:spacing w:before="0" w:beforeAutospacing="0" w:after="0" w:afterAutospacing="0"/>
              <w:ind w:left="0" w:right="0"/>
              <w:jc w:val="center"/>
              <w:rPr>
                <w:rFonts w:hint="eastAsia"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合计</w:t>
            </w:r>
          </w:p>
        </w:tc>
        <w:tc>
          <w:tcPr>
            <w:tcW w:w="985"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60</w:t>
            </w:r>
          </w:p>
        </w:tc>
        <w:tc>
          <w:tcPr>
            <w:tcW w:w="800"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eastAsia="宋体"/>
                <w:color w:val="000000" w:themeColor="text1"/>
                <w:sz w:val="20"/>
                <w:szCs w:val="20"/>
                <w:highlight w:val="none"/>
                <w:lang w:val="en-US" w:eastAsia="zh-CN"/>
                <w14:textFill>
                  <w14:solidFill>
                    <w14:schemeClr w14:val="tx1"/>
                  </w14:solidFill>
                </w14:textFill>
              </w:rPr>
            </w:pPr>
            <w:r>
              <w:rPr>
                <w:rFonts w:hint="eastAsia"/>
                <w:color w:val="000000" w:themeColor="text1"/>
                <w:sz w:val="20"/>
                <w:szCs w:val="20"/>
                <w:highlight w:val="none"/>
                <w:lang w:val="en-US" w:eastAsia="zh-CN"/>
                <w14:textFill>
                  <w14:solidFill>
                    <w14:schemeClr w14:val="tx1"/>
                  </w14:solidFill>
                </w14:textFill>
              </w:rPr>
              <w:t>0.447</w:t>
            </w:r>
          </w:p>
        </w:tc>
        <w:tc>
          <w:tcPr>
            <w:tcW w:w="1451" w:type="dxa"/>
            <w:vMerge w:val="continue"/>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szCs w:val="21"/>
                <w:highlight w:val="none"/>
                <w14:textFill>
                  <w14:solidFill>
                    <w14:schemeClr w14:val="tx1"/>
                  </w14:solidFill>
                </w14:textFill>
              </w:rPr>
            </w:pPr>
          </w:p>
        </w:tc>
        <w:tc>
          <w:tcPr>
            <w:tcW w:w="672"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eastAsia="宋体"/>
                <w:color w:val="000000" w:themeColor="text1"/>
                <w:kern w:val="0"/>
                <w:szCs w:val="21"/>
                <w:highlight w:val="none"/>
                <w:lang w:val="en-US" w:eastAsia="zh-CN"/>
                <w14:textFill>
                  <w14:solidFill>
                    <w14:schemeClr w14:val="tx1"/>
                  </w14:solidFill>
                </w14:textFill>
              </w:rPr>
            </w:pPr>
            <w:r>
              <w:rPr>
                <w:rFonts w:hint="eastAsia"/>
                <w:color w:val="000000" w:themeColor="text1"/>
                <w:kern w:val="0"/>
                <w:szCs w:val="21"/>
                <w:highlight w:val="none"/>
                <w:lang w:val="en-US" w:eastAsia="zh-CN"/>
                <w14:textFill>
                  <w14:solidFill>
                    <w14:schemeClr w14:val="tx1"/>
                  </w14:solidFill>
                </w14:textFill>
              </w:rPr>
              <w:t>90</w:t>
            </w:r>
          </w:p>
        </w:tc>
        <w:tc>
          <w:tcPr>
            <w:tcW w:w="985"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3.71</w:t>
            </w:r>
          </w:p>
        </w:tc>
        <w:tc>
          <w:tcPr>
            <w:tcW w:w="683"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0.035</w:t>
            </w:r>
          </w:p>
        </w:tc>
        <w:tc>
          <w:tcPr>
            <w:tcW w:w="353" w:type="dxa"/>
            <w:vMerge w:val="continue"/>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p>
        </w:tc>
        <w:tc>
          <w:tcPr>
            <w:tcW w:w="390" w:type="dxa"/>
            <w:vMerge w:val="continue"/>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p>
        </w:tc>
        <w:tc>
          <w:tcPr>
            <w:tcW w:w="375" w:type="dxa"/>
            <w:vMerge w:val="continue"/>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p>
        </w:tc>
      </w:tr>
      <w:tr>
        <w:tblPrEx>
          <w:tblBorders>
            <w:top w:val="single" w:color="000000" w:sz="12" w:space="0"/>
            <w:left w:val="none" w:color="auto" w:sz="0" w:space="0"/>
            <w:bottom w:val="single" w:color="000000" w:sz="12" w:space="0"/>
            <w:right w:val="none" w:color="auto" w:sz="0" w:space="0"/>
            <w:insideH w:val="single" w:color="000000" w:sz="2" w:space="0"/>
            <w:insideV w:val="single" w:color="000000" w:sz="2" w:space="0"/>
          </w:tblBorders>
          <w:tblCellMar>
            <w:top w:w="57" w:type="dxa"/>
            <w:left w:w="0" w:type="dxa"/>
            <w:bottom w:w="57" w:type="dxa"/>
            <w:right w:w="0" w:type="dxa"/>
          </w:tblCellMar>
        </w:tblPrEx>
        <w:trPr>
          <w:trHeight w:val="340" w:hRule="atLeast"/>
        </w:trPr>
        <w:tc>
          <w:tcPr>
            <w:tcW w:w="499" w:type="dxa"/>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2#</w:t>
            </w:r>
          </w:p>
        </w:tc>
        <w:tc>
          <w:tcPr>
            <w:tcW w:w="501" w:type="dxa"/>
            <w:noWrap w:val="0"/>
            <w:vAlign w:val="center"/>
          </w:tcPr>
          <w:p>
            <w:pPr>
              <w:keepNext w:val="0"/>
              <w:keepLines w:val="0"/>
              <w:suppressLineNumbers w:val="0"/>
              <w:spacing w:before="0" w:beforeAutospacing="0" w:after="0" w:afterAutospacing="0"/>
              <w:ind w:left="0" w:right="0"/>
              <w:jc w:val="center"/>
              <w:rPr>
                <w:rFonts w:hint="default"/>
                <w:color w:val="000000" w:themeColor="text1"/>
                <w:szCs w:val="21"/>
                <w:highlight w:val="none"/>
                <w:lang w:val="en-US"/>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机贴及点胶工序</w:t>
            </w:r>
          </w:p>
        </w:tc>
        <w:tc>
          <w:tcPr>
            <w:tcW w:w="801" w:type="dxa"/>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VOC</w:t>
            </w:r>
            <w:r>
              <w:rPr>
                <w:rFonts w:hint="default"/>
                <w:color w:val="000000" w:themeColor="text1"/>
                <w:szCs w:val="21"/>
                <w:highlight w:val="none"/>
                <w:vertAlign w:val="subscript"/>
                <w14:textFill>
                  <w14:solidFill>
                    <w14:schemeClr w14:val="tx1"/>
                  </w14:solidFill>
                </w14:textFill>
              </w:rPr>
              <w:t>S</w:t>
            </w:r>
          </w:p>
        </w:tc>
        <w:tc>
          <w:tcPr>
            <w:tcW w:w="985"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eastAsia="宋体"/>
                <w:color w:val="000000" w:themeColor="text1"/>
                <w:szCs w:val="21"/>
                <w:highlight w:val="none"/>
                <w:lang w:val="en-US" w:eastAsia="zh-CN"/>
                <w14:textFill>
                  <w14:solidFill>
                    <w14:schemeClr w14:val="tx1"/>
                  </w14:solidFill>
                </w14:textFill>
              </w:rPr>
            </w:pPr>
            <w:r>
              <w:rPr>
                <w:rFonts w:hint="eastAsia" w:eastAsia="宋体"/>
                <w:color w:val="000000" w:themeColor="text1"/>
                <w:szCs w:val="21"/>
                <w:highlight w:val="none"/>
                <w:lang w:val="en-US" w:eastAsia="zh-CN"/>
                <w14:textFill>
                  <w14:solidFill>
                    <w14:schemeClr w14:val="tx1"/>
                  </w14:solidFill>
                </w14:textFill>
              </w:rPr>
              <w:t>136.75</w:t>
            </w:r>
          </w:p>
        </w:tc>
        <w:tc>
          <w:tcPr>
            <w:tcW w:w="800"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eastAsia="宋体"/>
                <w:color w:val="000000" w:themeColor="text1"/>
                <w:szCs w:val="21"/>
                <w:highlight w:val="none"/>
                <w:lang w:val="en-US" w:eastAsia="zh-CN"/>
                <w14:textFill>
                  <w14:solidFill>
                    <w14:schemeClr w14:val="tx1"/>
                  </w14:solidFill>
                </w14:textFill>
              </w:rPr>
            </w:pPr>
            <w:r>
              <w:rPr>
                <w:rFonts w:hint="eastAsia" w:eastAsia="宋体"/>
                <w:color w:val="000000" w:themeColor="text1"/>
                <w:szCs w:val="21"/>
                <w:highlight w:val="none"/>
                <w:lang w:val="en-US" w:eastAsia="zh-CN"/>
                <w14:textFill>
                  <w14:solidFill>
                    <w14:schemeClr w14:val="tx1"/>
                  </w14:solidFill>
                </w14:textFill>
              </w:rPr>
              <w:t>3.282</w:t>
            </w:r>
          </w:p>
        </w:tc>
        <w:tc>
          <w:tcPr>
            <w:tcW w:w="1451" w:type="dxa"/>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集气罩</w:t>
            </w:r>
            <w:r>
              <w:rPr>
                <w:color w:val="000000" w:themeColor="text1"/>
                <w:highlight w:val="none"/>
                <w14:textFill>
                  <w14:solidFill>
                    <w14:schemeClr w14:val="tx1"/>
                  </w14:solidFill>
                </w14:textFill>
              </w:rPr>
              <w:t>+活性炭吸附</w:t>
            </w:r>
            <w:r>
              <w:rPr>
                <w:color w:val="000000" w:themeColor="text1"/>
                <w:kern w:val="0"/>
                <w:szCs w:val="21"/>
                <w:highlight w:val="none"/>
                <w:lang w:bidi="ar"/>
                <w14:textFill>
                  <w14:solidFill>
                    <w14:schemeClr w14:val="tx1"/>
                  </w14:solidFill>
                </w14:textFill>
              </w:rPr>
              <w:t>+15</w:t>
            </w:r>
            <w:r>
              <w:rPr>
                <w:rFonts w:hint="eastAsia"/>
                <w:color w:val="000000" w:themeColor="text1"/>
                <w:kern w:val="0"/>
                <w:szCs w:val="21"/>
                <w:highlight w:val="none"/>
                <w:lang w:val="en-US" w:eastAsia="zh-CN" w:bidi="ar"/>
                <w14:textFill>
                  <w14:solidFill>
                    <w14:schemeClr w14:val="tx1"/>
                  </w14:solidFill>
                </w14:textFill>
              </w:rPr>
              <w:t>米2#</w:t>
            </w:r>
            <w:r>
              <w:rPr>
                <w:color w:val="000000" w:themeColor="text1"/>
                <w:kern w:val="0"/>
                <w:szCs w:val="21"/>
                <w:highlight w:val="none"/>
                <w:lang w:bidi="ar"/>
                <w14:textFill>
                  <w14:solidFill>
                    <w14:schemeClr w14:val="tx1"/>
                  </w14:solidFill>
                </w14:textFill>
              </w:rPr>
              <w:t>排气筒</w:t>
            </w:r>
          </w:p>
        </w:tc>
        <w:tc>
          <w:tcPr>
            <w:tcW w:w="672"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eastAsia="宋体"/>
                <w:color w:val="000000" w:themeColor="text1"/>
                <w:kern w:val="0"/>
                <w:szCs w:val="21"/>
                <w:highlight w:val="none"/>
                <w:lang w:val="en-US" w:eastAsia="zh-CN"/>
                <w14:textFill>
                  <w14:solidFill>
                    <w14:schemeClr w14:val="tx1"/>
                  </w14:solidFill>
                </w14:textFill>
              </w:rPr>
            </w:pPr>
            <w:r>
              <w:rPr>
                <w:rFonts w:hint="eastAsia"/>
                <w:color w:val="000000" w:themeColor="text1"/>
                <w:kern w:val="0"/>
                <w:szCs w:val="21"/>
                <w:highlight w:val="none"/>
                <w:lang w:val="en-US" w:eastAsia="zh-CN"/>
                <w14:textFill>
                  <w14:solidFill>
                    <w14:schemeClr w14:val="tx1"/>
                  </w14:solidFill>
                </w14:textFill>
              </w:rPr>
              <w:t>75</w:t>
            </w:r>
          </w:p>
        </w:tc>
        <w:tc>
          <w:tcPr>
            <w:tcW w:w="985"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eastAsia="宋体"/>
                <w:color w:val="000000" w:themeColor="text1"/>
                <w:szCs w:val="21"/>
                <w:highlight w:val="none"/>
                <w:lang w:val="en-US" w:eastAsia="zh-CN"/>
                <w14:textFill>
                  <w14:solidFill>
                    <w14:schemeClr w14:val="tx1"/>
                  </w14:solidFill>
                </w14:textFill>
              </w:rPr>
            </w:pPr>
            <w:r>
              <w:rPr>
                <w:rFonts w:hint="eastAsia" w:eastAsia="宋体"/>
                <w:color w:val="000000" w:themeColor="text1"/>
                <w:szCs w:val="21"/>
                <w:highlight w:val="none"/>
                <w:lang w:val="en-US" w:eastAsia="zh-CN"/>
                <w14:textFill>
                  <w14:solidFill>
                    <w14:schemeClr w14:val="tx1"/>
                  </w14:solidFill>
                </w14:textFill>
              </w:rPr>
              <w:t>27.35</w:t>
            </w:r>
          </w:p>
        </w:tc>
        <w:tc>
          <w:tcPr>
            <w:tcW w:w="683"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eastAsia="宋体"/>
                <w:color w:val="000000" w:themeColor="text1"/>
                <w:szCs w:val="21"/>
                <w:highlight w:val="none"/>
                <w:lang w:val="en-US" w:eastAsia="zh-CN"/>
                <w14:textFill>
                  <w14:solidFill>
                    <w14:schemeClr w14:val="tx1"/>
                  </w14:solidFill>
                </w14:textFill>
              </w:rPr>
            </w:pPr>
            <w:r>
              <w:rPr>
                <w:rFonts w:hint="eastAsia" w:eastAsia="宋体"/>
                <w:color w:val="000000" w:themeColor="text1"/>
                <w:szCs w:val="21"/>
                <w:highlight w:val="none"/>
                <w:lang w:val="en-US" w:eastAsia="zh-CN"/>
                <w14:textFill>
                  <w14:solidFill>
                    <w14:schemeClr w14:val="tx1"/>
                  </w14:solidFill>
                </w14:textFill>
              </w:rPr>
              <w:t>0.656</w:t>
            </w:r>
          </w:p>
        </w:tc>
        <w:tc>
          <w:tcPr>
            <w:tcW w:w="353"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eastAsia="宋体"/>
                <w:color w:val="000000" w:themeColor="text1"/>
                <w:kern w:val="0"/>
                <w:szCs w:val="21"/>
                <w:highlight w:val="none"/>
                <w:lang w:val="en-US" w:eastAsia="zh-CN"/>
                <w14:textFill>
                  <w14:solidFill>
                    <w14:schemeClr w14:val="tx1"/>
                  </w14:solidFill>
                </w14:textFill>
              </w:rPr>
            </w:pPr>
            <w:r>
              <w:rPr>
                <w:rFonts w:hint="eastAsia"/>
                <w:color w:val="000000" w:themeColor="text1"/>
                <w:kern w:val="0"/>
                <w:szCs w:val="21"/>
                <w:highlight w:val="none"/>
                <w:lang w:val="en-US" w:eastAsia="zh-CN"/>
                <w14:textFill>
                  <w14:solidFill>
                    <w14:schemeClr w14:val="tx1"/>
                  </w14:solidFill>
                </w14:textFill>
              </w:rPr>
              <w:t>15</w:t>
            </w:r>
          </w:p>
        </w:tc>
        <w:tc>
          <w:tcPr>
            <w:tcW w:w="390"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eastAsia="宋体"/>
                <w:color w:val="000000" w:themeColor="text1"/>
                <w:kern w:val="0"/>
                <w:szCs w:val="21"/>
                <w:highlight w:val="none"/>
                <w:lang w:val="en-US" w:eastAsia="zh-CN"/>
                <w14:textFill>
                  <w14:solidFill>
                    <w14:schemeClr w14:val="tx1"/>
                  </w14:solidFill>
                </w14:textFill>
              </w:rPr>
            </w:pPr>
            <w:r>
              <w:rPr>
                <w:rFonts w:hint="eastAsia"/>
                <w:color w:val="000000" w:themeColor="text1"/>
                <w:kern w:val="0"/>
                <w:szCs w:val="21"/>
                <w:highlight w:val="none"/>
                <w:lang w:val="en-US" w:eastAsia="zh-CN"/>
                <w14:textFill>
                  <w14:solidFill>
                    <w14:schemeClr w14:val="tx1"/>
                  </w14:solidFill>
                </w14:textFill>
              </w:rPr>
              <w:t>0.5</w:t>
            </w:r>
          </w:p>
        </w:tc>
        <w:tc>
          <w:tcPr>
            <w:tcW w:w="375" w:type="dxa"/>
            <w:noWrap w:val="0"/>
            <w:vAlign w:val="center"/>
          </w:tcPr>
          <w:p>
            <w:pPr>
              <w:keepNext w:val="0"/>
              <w:keepLines w:val="0"/>
              <w:suppressLineNumbers w:val="0"/>
              <w:adjustRightInd w:val="0"/>
              <w:snapToGrid w:val="0"/>
              <w:spacing w:before="0" w:beforeAutospacing="0" w:after="0" w:afterAutospacing="0"/>
              <w:ind w:left="0" w:right="0"/>
              <w:jc w:val="center"/>
              <w:rPr>
                <w:rFonts w:hint="default" w:eastAsia="宋体"/>
                <w:color w:val="000000" w:themeColor="text1"/>
                <w:kern w:val="0"/>
                <w:szCs w:val="21"/>
                <w:highlight w:val="none"/>
                <w:lang w:val="en-US" w:eastAsia="zh-CN"/>
                <w14:textFill>
                  <w14:solidFill>
                    <w14:schemeClr w14:val="tx1"/>
                  </w14:solidFill>
                </w14:textFill>
              </w:rPr>
            </w:pPr>
            <w:r>
              <w:rPr>
                <w:rFonts w:hint="eastAsia"/>
                <w:color w:val="000000" w:themeColor="text1"/>
                <w:kern w:val="0"/>
                <w:szCs w:val="21"/>
                <w:highlight w:val="none"/>
                <w:lang w:val="en-US" w:eastAsia="zh-CN"/>
                <w14:textFill>
                  <w14:solidFill>
                    <w14:schemeClr w14:val="tx1"/>
                  </w14:solidFill>
                </w14:textFill>
              </w:rPr>
              <w:t>20</w:t>
            </w:r>
          </w:p>
        </w:tc>
      </w:tr>
    </w:tbl>
    <w:p>
      <w:pPr>
        <w:jc w:val="center"/>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表</w:t>
      </w:r>
      <w:r>
        <w:rPr>
          <w:rFonts w:hint="eastAsia"/>
          <w:b/>
          <w:bCs/>
          <w:color w:val="000000" w:themeColor="text1"/>
          <w:szCs w:val="21"/>
          <w:highlight w:val="none"/>
          <w14:textFill>
            <w14:solidFill>
              <w14:schemeClr w14:val="tx1"/>
            </w14:solidFill>
          </w14:textFill>
        </w:rPr>
        <w:t>4</w:t>
      </w:r>
      <w:r>
        <w:rPr>
          <w:b/>
          <w:bCs/>
          <w:color w:val="000000" w:themeColor="text1"/>
          <w:szCs w:val="21"/>
          <w:highlight w:val="none"/>
          <w14:textFill>
            <w14:solidFill>
              <w14:schemeClr w14:val="tx1"/>
            </w14:solidFill>
          </w14:textFill>
        </w:rPr>
        <w:t>-</w:t>
      </w:r>
      <w:r>
        <w:rPr>
          <w:rFonts w:hint="eastAsia"/>
          <w:b/>
          <w:bCs/>
          <w:color w:val="000000" w:themeColor="text1"/>
          <w:szCs w:val="21"/>
          <w:highlight w:val="none"/>
          <w:lang w:val="en-US" w:eastAsia="zh-CN"/>
          <w14:textFill>
            <w14:solidFill>
              <w14:schemeClr w14:val="tx1"/>
            </w14:solidFill>
          </w14:textFill>
        </w:rPr>
        <w:t>1</w:t>
      </w:r>
      <w:r>
        <w:rPr>
          <w:b/>
          <w:bCs/>
          <w:color w:val="000000" w:themeColor="text1"/>
          <w:szCs w:val="21"/>
          <w:highlight w:val="none"/>
          <w14:textFill>
            <w14:solidFill>
              <w14:schemeClr w14:val="tx1"/>
            </w14:solidFill>
          </w14:textFill>
        </w:rPr>
        <w:t xml:space="preserve">  项目有组织废气产生及排放情况一览表</w:t>
      </w:r>
    </w:p>
    <w:p>
      <w:pPr>
        <w:ind w:firstLine="422" w:firstLineChars="200"/>
        <w:jc w:val="center"/>
        <w:rPr>
          <w:b/>
          <w:bCs/>
          <w:color w:val="000000" w:themeColor="text1"/>
          <w:szCs w:val="21"/>
          <w:highlight w:val="none"/>
          <w14:textFill>
            <w14:solidFill>
              <w14:schemeClr w14:val="tx1"/>
            </w14:solidFill>
          </w14:textFill>
        </w:rPr>
      </w:pPr>
    </w:p>
    <w:p>
      <w:pPr>
        <w:ind w:firstLine="422" w:firstLineChars="200"/>
        <w:jc w:val="center"/>
        <w:rPr>
          <w:color w:val="000000" w:themeColor="text1"/>
          <w:kern w:val="0"/>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表</w:t>
      </w:r>
      <w:r>
        <w:rPr>
          <w:rFonts w:hint="eastAsia"/>
          <w:b/>
          <w:bCs/>
          <w:color w:val="000000" w:themeColor="text1"/>
          <w:szCs w:val="21"/>
          <w:highlight w:val="none"/>
          <w14:textFill>
            <w14:solidFill>
              <w14:schemeClr w14:val="tx1"/>
            </w14:solidFill>
          </w14:textFill>
        </w:rPr>
        <w:t>4</w:t>
      </w:r>
      <w:r>
        <w:rPr>
          <w:b/>
          <w:bCs/>
          <w:color w:val="000000" w:themeColor="text1"/>
          <w:szCs w:val="21"/>
          <w:highlight w:val="none"/>
          <w14:textFill>
            <w14:solidFill>
              <w14:schemeClr w14:val="tx1"/>
            </w14:solidFill>
          </w14:textFill>
        </w:rPr>
        <w:t>-</w:t>
      </w:r>
      <w:r>
        <w:rPr>
          <w:rFonts w:hint="eastAsia"/>
          <w:b/>
          <w:bCs/>
          <w:color w:val="000000" w:themeColor="text1"/>
          <w:szCs w:val="21"/>
          <w:highlight w:val="none"/>
          <w:lang w:val="en-US" w:eastAsia="zh-CN"/>
          <w14:textFill>
            <w14:solidFill>
              <w14:schemeClr w14:val="tx1"/>
            </w14:solidFill>
          </w14:textFill>
        </w:rPr>
        <w:t>2</w:t>
      </w:r>
      <w:r>
        <w:rPr>
          <w:b/>
          <w:bCs/>
          <w:color w:val="000000" w:themeColor="text1"/>
          <w:szCs w:val="21"/>
          <w:highlight w:val="none"/>
          <w14:textFill>
            <w14:solidFill>
              <w14:schemeClr w14:val="tx1"/>
            </w14:solidFill>
          </w14:textFill>
        </w:rPr>
        <w:t xml:space="preserve"> 项目无组织废气产生情况一览表</w:t>
      </w:r>
    </w:p>
    <w:tbl>
      <w:tblPr>
        <w:tblStyle w:val="48"/>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1865"/>
        <w:gridCol w:w="1575"/>
        <w:gridCol w:w="1239"/>
        <w:gridCol w:w="1564"/>
        <w:gridCol w:w="176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85" w:type="pct"/>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污染源</w:t>
            </w:r>
          </w:p>
        </w:tc>
        <w:tc>
          <w:tcPr>
            <w:tcW w:w="1004" w:type="pct"/>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污染物名称</w:t>
            </w:r>
          </w:p>
        </w:tc>
        <w:tc>
          <w:tcPr>
            <w:tcW w:w="848" w:type="pct"/>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面源面积</w:t>
            </w:r>
          </w:p>
        </w:tc>
        <w:tc>
          <w:tcPr>
            <w:tcW w:w="667" w:type="pct"/>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面源高度</w:t>
            </w:r>
          </w:p>
        </w:tc>
        <w:tc>
          <w:tcPr>
            <w:tcW w:w="842" w:type="pct"/>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产生量(</w:t>
            </w:r>
            <w:r>
              <w:rPr>
                <w:rFonts w:hint="eastAsia"/>
                <w:color w:val="000000" w:themeColor="text1"/>
                <w:kern w:val="0"/>
                <w:szCs w:val="21"/>
                <w:highlight w:val="none"/>
                <w:lang w:val="en-US" w:eastAsia="zh-CN"/>
                <w14:textFill>
                  <w14:solidFill>
                    <w14:schemeClr w14:val="tx1"/>
                  </w14:solidFill>
                </w14:textFill>
              </w:rPr>
              <w:t>t</w:t>
            </w:r>
            <w:r>
              <w:rPr>
                <w:color w:val="000000" w:themeColor="text1"/>
                <w:kern w:val="0"/>
                <w:szCs w:val="21"/>
                <w:highlight w:val="none"/>
                <w14:textFill>
                  <w14:solidFill>
                    <w14:schemeClr w14:val="tx1"/>
                  </w14:solidFill>
                </w14:textFill>
              </w:rPr>
              <w:t>/a)</w:t>
            </w:r>
          </w:p>
        </w:tc>
        <w:tc>
          <w:tcPr>
            <w:tcW w:w="952" w:type="pct"/>
            <w:noWrap w:val="0"/>
            <w:vAlign w:val="center"/>
          </w:tcPr>
          <w:p>
            <w:pPr>
              <w:keepNext w:val="0"/>
              <w:keepLines w:val="0"/>
              <w:suppressLineNumbers w:val="0"/>
              <w:adjustRightInd w:val="0"/>
              <w:snapToGrid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产生速率(kg/h)</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85" w:type="pct"/>
            <w:vMerge w:val="restart"/>
            <w:noWrap w:val="0"/>
            <w:vAlign w:val="center"/>
          </w:tcPr>
          <w:p>
            <w:pPr>
              <w:keepNext w:val="0"/>
              <w:keepLines w:val="0"/>
              <w:suppressLineNumbers w:val="0"/>
              <w:spacing w:before="0" w:beforeAutospacing="0" w:after="0" w:afterAutospacing="0"/>
              <w:ind w:left="0" w:right="0"/>
              <w:jc w:val="center"/>
              <w:rPr>
                <w:rFonts w:hint="eastAsia"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生产车间</w:t>
            </w:r>
          </w:p>
        </w:tc>
        <w:tc>
          <w:tcPr>
            <w:tcW w:w="1004" w:type="pct"/>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锡及其化合物</w:t>
            </w:r>
          </w:p>
        </w:tc>
        <w:tc>
          <w:tcPr>
            <w:tcW w:w="848" w:type="pct"/>
            <w:vMerge w:val="restart"/>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200*50</w:t>
            </w:r>
            <w:r>
              <w:rPr>
                <w:color w:val="000000" w:themeColor="text1"/>
                <w:szCs w:val="21"/>
                <w:highlight w:val="none"/>
                <w14:textFill>
                  <w14:solidFill>
                    <w14:schemeClr w14:val="tx1"/>
                  </w14:solidFill>
                </w14:textFill>
              </w:rPr>
              <w:t>m</w:t>
            </w:r>
          </w:p>
        </w:tc>
        <w:tc>
          <w:tcPr>
            <w:tcW w:w="667" w:type="pct"/>
            <w:vMerge w:val="restart"/>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5</w:t>
            </w:r>
            <w:r>
              <w:rPr>
                <w:color w:val="000000" w:themeColor="text1"/>
                <w:szCs w:val="21"/>
                <w:highlight w:val="none"/>
                <w14:textFill>
                  <w14:solidFill>
                    <w14:schemeClr w14:val="tx1"/>
                  </w14:solidFill>
                </w14:textFill>
              </w:rPr>
              <w:t>m</w:t>
            </w:r>
          </w:p>
        </w:tc>
        <w:tc>
          <w:tcPr>
            <w:tcW w:w="842"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szCs w:val="21"/>
                <w:highlight w:val="none"/>
                <w:lang w:val="en-US" w:eastAsia="zh-CN"/>
                <w14:textFill>
                  <w14:solidFill>
                    <w14:schemeClr w14:val="tx1"/>
                  </w14:solidFill>
                </w14:textFill>
              </w:rPr>
            </w:pPr>
            <w:r>
              <w:rPr>
                <w:rFonts w:hint="eastAsia" w:eastAsia="宋体"/>
                <w:color w:val="000000" w:themeColor="text1"/>
                <w:szCs w:val="21"/>
                <w:highlight w:val="none"/>
                <w:lang w:val="en-US" w:eastAsia="zh-CN"/>
                <w14:textFill>
                  <w14:solidFill>
                    <w14:schemeClr w14:val="tx1"/>
                  </w14:solidFill>
                </w14:textFill>
              </w:rPr>
              <w:t>0.089</w:t>
            </w:r>
          </w:p>
        </w:tc>
        <w:tc>
          <w:tcPr>
            <w:tcW w:w="952"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szCs w:val="21"/>
                <w:highlight w:val="none"/>
                <w:lang w:val="en-US" w:eastAsia="zh-CN"/>
                <w14:textFill>
                  <w14:solidFill>
                    <w14:schemeClr w14:val="tx1"/>
                  </w14:solidFill>
                </w14:textFill>
              </w:rPr>
            </w:pPr>
            <w:r>
              <w:rPr>
                <w:rFonts w:hint="eastAsia" w:eastAsia="宋体"/>
                <w:color w:val="000000" w:themeColor="text1"/>
                <w:szCs w:val="21"/>
                <w:highlight w:val="none"/>
                <w:lang w:val="en-US" w:eastAsia="zh-CN"/>
                <w14:textFill>
                  <w14:solidFill>
                    <w14:schemeClr w14:val="tx1"/>
                  </w14:solidFill>
                </w14:textFill>
              </w:rPr>
              <w:t>0.018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85" w:type="pct"/>
            <w:vMerge w:val="continue"/>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p>
        </w:tc>
        <w:tc>
          <w:tcPr>
            <w:tcW w:w="1004" w:type="pct"/>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r>
              <w:rPr>
                <w:rFonts w:hint="default"/>
                <w:color w:val="000000" w:themeColor="text1"/>
                <w:szCs w:val="21"/>
                <w:highlight w:val="none"/>
                <w14:textFill>
                  <w14:solidFill>
                    <w14:schemeClr w14:val="tx1"/>
                  </w14:solidFill>
                </w14:textFill>
              </w:rPr>
              <w:t>VOC</w:t>
            </w:r>
            <w:r>
              <w:rPr>
                <w:rFonts w:hint="default"/>
                <w:color w:val="000000" w:themeColor="text1"/>
                <w:szCs w:val="21"/>
                <w:highlight w:val="none"/>
                <w:vertAlign w:val="subscript"/>
                <w14:textFill>
                  <w14:solidFill>
                    <w14:schemeClr w14:val="tx1"/>
                  </w14:solidFill>
                </w14:textFill>
              </w:rPr>
              <w:t>S</w:t>
            </w:r>
          </w:p>
        </w:tc>
        <w:tc>
          <w:tcPr>
            <w:tcW w:w="848" w:type="pct"/>
            <w:vMerge w:val="continue"/>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p>
        </w:tc>
        <w:tc>
          <w:tcPr>
            <w:tcW w:w="667" w:type="pct"/>
            <w:vMerge w:val="continue"/>
            <w:noWrap w:val="0"/>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p>
        </w:tc>
        <w:tc>
          <w:tcPr>
            <w:tcW w:w="842"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szCs w:val="21"/>
                <w:highlight w:val="none"/>
                <w:lang w:val="en-US" w:eastAsia="zh-CN"/>
                <w14:textFill>
                  <w14:solidFill>
                    <w14:schemeClr w14:val="tx1"/>
                  </w14:solidFill>
                </w14:textFill>
              </w:rPr>
            </w:pPr>
            <w:r>
              <w:rPr>
                <w:rFonts w:hint="eastAsia" w:eastAsia="宋体"/>
                <w:color w:val="000000" w:themeColor="text1"/>
                <w:szCs w:val="21"/>
                <w:highlight w:val="none"/>
                <w:lang w:val="en-US" w:eastAsia="zh-CN"/>
                <w14:textFill>
                  <w14:solidFill>
                    <w14:schemeClr w14:val="tx1"/>
                  </w14:solidFill>
                </w14:textFill>
              </w:rPr>
              <w:t>0.656</w:t>
            </w:r>
          </w:p>
        </w:tc>
        <w:tc>
          <w:tcPr>
            <w:tcW w:w="952" w:type="pct"/>
            <w:noWrap w:val="0"/>
            <w:vAlign w:val="center"/>
          </w:tcPr>
          <w:p>
            <w:pPr>
              <w:keepNext w:val="0"/>
              <w:keepLines w:val="0"/>
              <w:suppressLineNumbers w:val="0"/>
              <w:spacing w:before="0" w:beforeAutospacing="0" w:after="0" w:afterAutospacing="0"/>
              <w:ind w:left="0" w:right="0"/>
              <w:jc w:val="center"/>
              <w:rPr>
                <w:rFonts w:hint="default" w:eastAsia="宋体"/>
                <w:color w:val="000000" w:themeColor="text1"/>
                <w:szCs w:val="21"/>
                <w:highlight w:val="none"/>
                <w:lang w:val="en-US" w:eastAsia="zh-CN"/>
                <w14:textFill>
                  <w14:solidFill>
                    <w14:schemeClr w14:val="tx1"/>
                  </w14:solidFill>
                </w14:textFill>
              </w:rPr>
            </w:pPr>
            <w:r>
              <w:rPr>
                <w:rFonts w:hint="eastAsia" w:eastAsia="宋体"/>
                <w:color w:val="000000" w:themeColor="text1"/>
                <w:szCs w:val="21"/>
                <w:highlight w:val="none"/>
                <w:lang w:val="en-US" w:eastAsia="zh-CN"/>
                <w14:textFill>
                  <w14:solidFill>
                    <w14:schemeClr w14:val="tx1"/>
                  </w14:solidFill>
                </w14:textFill>
              </w:rPr>
              <w:t>0.137</w:t>
            </w:r>
          </w:p>
        </w:tc>
      </w:tr>
    </w:tbl>
    <w:p>
      <w:pPr>
        <w:keepNext w:val="0"/>
        <w:keepLines w:val="0"/>
        <w:widowControl w:val="0"/>
        <w:suppressLineNumbers w:val="0"/>
        <w:spacing w:before="0" w:beforeAutospacing="0" w:after="0" w:afterAutospacing="0" w:line="360" w:lineRule="auto"/>
        <w:ind w:left="0" w:right="0" w:firstLine="482" w:firstLineChars="200"/>
        <w:jc w:val="both"/>
        <w:rPr>
          <w:b/>
          <w:bCs w:val="0"/>
          <w:color w:val="000000" w:themeColor="text1"/>
          <w:sz w:val="24"/>
          <w:szCs w:val="24"/>
          <w:highlight w:val="none"/>
          <w:lang w:val="en-US"/>
          <w14:textFill>
            <w14:solidFill>
              <w14:schemeClr w14:val="tx1"/>
            </w14:solidFill>
          </w14:textFill>
        </w:rPr>
      </w:pPr>
      <w:r>
        <w:rPr>
          <w:rFonts w:hint="default" w:ascii="Times New Roman" w:hAnsi="Times New Roman" w:eastAsia="宋体" w:cs="Times New Roman"/>
          <w:b/>
          <w:bCs w:val="0"/>
          <w:color w:val="000000" w:themeColor="text1"/>
          <w:kern w:val="2"/>
          <w:sz w:val="24"/>
          <w:szCs w:val="24"/>
          <w:highlight w:val="none"/>
          <w:lang w:val="en-US" w:eastAsia="zh-CN" w:bidi="ar"/>
          <w14:textFill>
            <w14:solidFill>
              <w14:schemeClr w14:val="tx1"/>
            </w14:solidFill>
          </w14:textFill>
        </w:rPr>
        <w:t>2</w:t>
      </w:r>
      <w:r>
        <w:rPr>
          <w:rFonts w:hint="eastAsia" w:ascii="Times New Roman" w:hAnsi="Times New Roman" w:eastAsia="宋体" w:cs="宋体"/>
          <w:b/>
          <w:bCs w:val="0"/>
          <w:color w:val="000000" w:themeColor="text1"/>
          <w:kern w:val="2"/>
          <w:sz w:val="24"/>
          <w:szCs w:val="24"/>
          <w:highlight w:val="none"/>
          <w:lang w:val="en-US" w:eastAsia="zh-CN" w:bidi="ar"/>
          <w14:textFill>
            <w14:solidFill>
              <w14:schemeClr w14:val="tx1"/>
            </w14:solidFill>
          </w14:textFill>
        </w:rPr>
        <w:t>、噪声</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本次扩建营运期主要噪声源为风机、空压机运行时产生的噪声，设备噪声源强70-100dB（A），主要噪声源及声级详见表4-8。</w:t>
      </w:r>
    </w:p>
    <w:p>
      <w:pPr>
        <w:keepNext w:val="0"/>
        <w:keepLines w:val="0"/>
        <w:widowControl w:val="0"/>
        <w:suppressLineNumbers w:val="0"/>
        <w:spacing w:before="0" w:beforeAutospacing="0" w:after="0" w:afterAutospacing="0" w:line="360" w:lineRule="auto"/>
        <w:ind w:left="0" w:right="0" w:firstLine="480" w:firstLineChars="200"/>
        <w:jc w:val="cente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表4-8  主要设备噪声源强一览表</w:t>
      </w:r>
    </w:p>
    <w:tbl>
      <w:tblPr>
        <w:tblStyle w:val="48"/>
        <w:tblW w:w="0" w:type="auto"/>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15" w:type="dxa"/>
          <w:left w:w="15" w:type="dxa"/>
          <w:bottom w:w="15" w:type="dxa"/>
          <w:right w:w="15" w:type="dxa"/>
        </w:tblCellMar>
      </w:tblPr>
      <w:tblGrid>
        <w:gridCol w:w="860"/>
        <w:gridCol w:w="2394"/>
        <w:gridCol w:w="966"/>
        <w:gridCol w:w="1590"/>
        <w:gridCol w:w="1230"/>
        <w:gridCol w:w="125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860" w:type="dxa"/>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szCs w:val="21"/>
                <w:highlight w:val="none"/>
                <w14:textFill>
                  <w14:solidFill>
                    <w14:schemeClr w14:val="tx1"/>
                  </w14:solidFill>
                </w14:textFill>
              </w:rPr>
            </w:pPr>
            <w:r>
              <w:rPr>
                <w:color w:val="000000" w:themeColor="text1"/>
                <w:kern w:val="0"/>
                <w:szCs w:val="21"/>
                <w:highlight w:val="none"/>
                <w:lang w:bidi="ar"/>
                <w14:textFill>
                  <w14:solidFill>
                    <w14:schemeClr w14:val="tx1"/>
                  </w14:solidFill>
                </w14:textFill>
              </w:rPr>
              <w:t>序号</w:t>
            </w:r>
          </w:p>
        </w:tc>
        <w:tc>
          <w:tcPr>
            <w:tcW w:w="2394" w:type="dxa"/>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szCs w:val="21"/>
                <w:highlight w:val="none"/>
                <w14:textFill>
                  <w14:solidFill>
                    <w14:schemeClr w14:val="tx1"/>
                  </w14:solidFill>
                </w14:textFill>
              </w:rPr>
            </w:pPr>
            <w:r>
              <w:rPr>
                <w:color w:val="000000" w:themeColor="text1"/>
                <w:kern w:val="0"/>
                <w:szCs w:val="21"/>
                <w:highlight w:val="none"/>
                <w:lang w:bidi="ar"/>
                <w14:textFill>
                  <w14:solidFill>
                    <w14:schemeClr w14:val="tx1"/>
                  </w14:solidFill>
                </w14:textFill>
              </w:rPr>
              <w:t>设备</w:t>
            </w:r>
          </w:p>
        </w:tc>
        <w:tc>
          <w:tcPr>
            <w:tcW w:w="966" w:type="dxa"/>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szCs w:val="21"/>
                <w:highlight w:val="none"/>
                <w14:textFill>
                  <w14:solidFill>
                    <w14:schemeClr w14:val="tx1"/>
                  </w14:solidFill>
                </w14:textFill>
              </w:rPr>
            </w:pPr>
            <w:r>
              <w:rPr>
                <w:color w:val="000000" w:themeColor="text1"/>
                <w:kern w:val="0"/>
                <w:szCs w:val="21"/>
                <w:highlight w:val="none"/>
                <w:lang w:bidi="ar"/>
                <w14:textFill>
                  <w14:solidFill>
                    <w14:schemeClr w14:val="tx1"/>
                  </w14:solidFill>
                </w14:textFill>
              </w:rPr>
              <w:t>数量（台）</w:t>
            </w:r>
          </w:p>
        </w:tc>
        <w:tc>
          <w:tcPr>
            <w:tcW w:w="1590" w:type="dxa"/>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szCs w:val="21"/>
                <w:highlight w:val="none"/>
                <w14:textFill>
                  <w14:solidFill>
                    <w14:schemeClr w14:val="tx1"/>
                  </w14:solidFill>
                </w14:textFill>
              </w:rPr>
            </w:pPr>
            <w:r>
              <w:rPr>
                <w:color w:val="000000" w:themeColor="text1"/>
                <w:kern w:val="0"/>
                <w:szCs w:val="21"/>
                <w:highlight w:val="none"/>
                <w:lang w:bidi="ar"/>
                <w14:textFill>
                  <w14:solidFill>
                    <w14:schemeClr w14:val="tx1"/>
                  </w14:solidFill>
                </w14:textFill>
              </w:rPr>
              <w:t>噪声级</w:t>
            </w:r>
            <w:r>
              <w:rPr>
                <w:rStyle w:val="280"/>
                <w:color w:val="000000" w:themeColor="text1"/>
                <w:sz w:val="21"/>
                <w:szCs w:val="21"/>
                <w:highlight w:val="none"/>
                <w:lang w:bidi="ar"/>
                <w14:textFill>
                  <w14:solidFill>
                    <w14:schemeClr w14:val="tx1"/>
                  </w14:solidFill>
                </w14:textFill>
              </w:rPr>
              <w:t>dB</w:t>
            </w:r>
            <w:r>
              <w:rPr>
                <w:rStyle w:val="281"/>
                <w:rFonts w:hint="default" w:ascii="Times New Roman" w:hAnsi="Times New Roman" w:cs="Times New Roman"/>
                <w:color w:val="000000" w:themeColor="text1"/>
                <w:highlight w:val="none"/>
                <w:lang w:bidi="ar"/>
                <w14:textFill>
                  <w14:solidFill>
                    <w14:schemeClr w14:val="tx1"/>
                  </w14:solidFill>
                </w14:textFill>
              </w:rPr>
              <w:t>（</w:t>
            </w:r>
            <w:r>
              <w:rPr>
                <w:rStyle w:val="280"/>
                <w:color w:val="000000" w:themeColor="text1"/>
                <w:sz w:val="21"/>
                <w:szCs w:val="21"/>
                <w:highlight w:val="none"/>
                <w:lang w:bidi="ar"/>
                <w14:textFill>
                  <w14:solidFill>
                    <w14:schemeClr w14:val="tx1"/>
                  </w14:solidFill>
                </w14:textFill>
              </w:rPr>
              <w:t>A</w:t>
            </w:r>
            <w:r>
              <w:rPr>
                <w:rStyle w:val="281"/>
                <w:rFonts w:hint="default" w:ascii="Times New Roman" w:hAnsi="Times New Roman" w:cs="Times New Roman"/>
                <w:color w:val="000000" w:themeColor="text1"/>
                <w:highlight w:val="none"/>
                <w:lang w:bidi="ar"/>
                <w14:textFill>
                  <w14:solidFill>
                    <w14:schemeClr w14:val="tx1"/>
                  </w14:solidFill>
                </w14:textFill>
              </w:rPr>
              <w:t>）</w:t>
            </w:r>
          </w:p>
        </w:tc>
        <w:tc>
          <w:tcPr>
            <w:tcW w:w="1230" w:type="dxa"/>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位置</w:t>
            </w:r>
          </w:p>
        </w:tc>
        <w:tc>
          <w:tcPr>
            <w:tcW w:w="1253" w:type="dxa"/>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kern w:val="0"/>
                <w:szCs w:val="21"/>
                <w:highlight w:val="none"/>
                <w:lang w:bidi="ar"/>
                <w14:textFill>
                  <w14:solidFill>
                    <w14:schemeClr w14:val="tx1"/>
                  </w14:solidFill>
                </w14:textFill>
              </w:rPr>
            </w:pPr>
            <w:r>
              <w:rPr>
                <w:color w:val="000000" w:themeColor="text1"/>
                <w:kern w:val="0"/>
                <w:szCs w:val="21"/>
                <w:highlight w:val="none"/>
                <w:lang w:bidi="ar"/>
                <w14:textFill>
                  <w14:solidFill>
                    <w14:schemeClr w14:val="tx1"/>
                  </w14:solidFill>
                </w14:textFill>
              </w:rPr>
              <w:t>治理措施</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860" w:type="dxa"/>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szCs w:val="21"/>
                <w:highlight w:val="none"/>
                <w14:textFill>
                  <w14:solidFill>
                    <w14:schemeClr w14:val="tx1"/>
                  </w14:solidFill>
                </w14:textFill>
              </w:rPr>
            </w:pPr>
            <w:r>
              <w:rPr>
                <w:color w:val="000000" w:themeColor="text1"/>
                <w:kern w:val="0"/>
                <w:szCs w:val="21"/>
                <w:highlight w:val="none"/>
                <w:lang w:bidi="ar"/>
                <w14:textFill>
                  <w14:solidFill>
                    <w14:schemeClr w14:val="tx1"/>
                  </w14:solidFill>
                </w14:textFill>
              </w:rPr>
              <w:t>1</w:t>
            </w:r>
          </w:p>
        </w:tc>
        <w:tc>
          <w:tcPr>
            <w:tcW w:w="2394" w:type="dxa"/>
            <w:noWrap w:val="0"/>
            <w:vAlign w:val="center"/>
          </w:tcPr>
          <w:p>
            <w:pPr>
              <w:keepNext w:val="0"/>
              <w:keepLines w:val="0"/>
              <w:suppressLineNumbers w:val="0"/>
              <w:spacing w:before="0" w:beforeAutospacing="0" w:after="0" w:afterAutospacing="0"/>
              <w:ind w:left="0" w:right="0"/>
              <w:jc w:val="center"/>
              <w:rPr>
                <w:rFonts w:hint="eastAsia" w:eastAsia="宋体"/>
                <w:color w:val="000000" w:themeColor="text1"/>
                <w:kern w:val="0"/>
                <w:szCs w:val="21"/>
                <w:highlight w:val="none"/>
                <w:lang w:eastAsia="zh-CN"/>
                <w14:textFill>
                  <w14:solidFill>
                    <w14:schemeClr w14:val="tx1"/>
                  </w14:solidFill>
                </w14:textFill>
              </w:rPr>
            </w:pPr>
            <w:r>
              <w:rPr>
                <w:rFonts w:hint="eastAsia"/>
                <w:color w:val="000000" w:themeColor="text1"/>
                <w:kern w:val="0"/>
                <w:szCs w:val="21"/>
                <w:highlight w:val="none"/>
                <w:lang w:val="en-US" w:eastAsia="zh-CN"/>
                <w14:textFill>
                  <w14:solidFill>
                    <w14:schemeClr w14:val="tx1"/>
                  </w14:solidFill>
                </w14:textFill>
              </w:rPr>
              <w:t>风机</w:t>
            </w:r>
          </w:p>
        </w:tc>
        <w:tc>
          <w:tcPr>
            <w:tcW w:w="966" w:type="dxa"/>
            <w:noWrap w:val="0"/>
            <w:vAlign w:val="center"/>
          </w:tcPr>
          <w:p>
            <w:pPr>
              <w:keepNext w:val="0"/>
              <w:keepLines w:val="0"/>
              <w:widowControl/>
              <w:suppressLineNumbers w:val="0"/>
              <w:spacing w:before="0" w:beforeAutospacing="0" w:after="0" w:afterAutospacing="0"/>
              <w:ind w:left="0" w:right="0"/>
              <w:jc w:val="center"/>
              <w:rPr>
                <w:rFonts w:hint="eastAsia" w:eastAsia="宋体"/>
                <w:color w:val="000000" w:themeColor="text1"/>
                <w:kern w:val="0"/>
                <w:szCs w:val="21"/>
                <w:highlight w:val="none"/>
                <w:lang w:val="en-US" w:eastAsia="zh-CN"/>
                <w14:textFill>
                  <w14:solidFill>
                    <w14:schemeClr w14:val="tx1"/>
                  </w14:solidFill>
                </w14:textFill>
              </w:rPr>
            </w:pPr>
            <w:r>
              <w:rPr>
                <w:color w:val="000000" w:themeColor="text1"/>
                <w:kern w:val="0"/>
                <w:szCs w:val="21"/>
                <w:highlight w:val="none"/>
                <w14:textFill>
                  <w14:solidFill>
                    <w14:schemeClr w14:val="tx1"/>
                  </w14:solidFill>
                </w14:textFill>
              </w:rPr>
              <w:t>1</w:t>
            </w:r>
            <w:r>
              <w:rPr>
                <w:rFonts w:hint="eastAsia"/>
                <w:color w:val="000000" w:themeColor="text1"/>
                <w:kern w:val="0"/>
                <w:szCs w:val="21"/>
                <w:highlight w:val="none"/>
                <w:lang w:val="en-US" w:eastAsia="zh-CN"/>
                <w14:textFill>
                  <w14:solidFill>
                    <w14:schemeClr w14:val="tx1"/>
                  </w14:solidFill>
                </w14:textFill>
              </w:rPr>
              <w:t>3</w:t>
            </w:r>
          </w:p>
        </w:tc>
        <w:tc>
          <w:tcPr>
            <w:tcW w:w="1590" w:type="dxa"/>
            <w:noWrap w:val="0"/>
            <w:vAlign w:val="center"/>
          </w:tcPr>
          <w:p>
            <w:pPr>
              <w:keepNext w:val="0"/>
              <w:keepLines w:val="0"/>
              <w:widowControl/>
              <w:suppressLineNumbers w:val="0"/>
              <w:spacing w:before="0" w:beforeAutospacing="0" w:after="0" w:afterAutospacing="0"/>
              <w:ind w:left="0" w:right="0"/>
              <w:jc w:val="center"/>
              <w:textAlignment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70-85</w:t>
            </w:r>
          </w:p>
        </w:tc>
        <w:tc>
          <w:tcPr>
            <w:tcW w:w="1230" w:type="dxa"/>
            <w:vMerge w:val="restart"/>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生产</w:t>
            </w:r>
            <w:r>
              <w:rPr>
                <w:color w:val="000000" w:themeColor="text1"/>
                <w:szCs w:val="21"/>
                <w:highlight w:val="none"/>
                <w14:textFill>
                  <w14:solidFill>
                    <w14:schemeClr w14:val="tx1"/>
                  </w14:solidFill>
                </w14:textFill>
              </w:rPr>
              <w:t>车间</w:t>
            </w:r>
          </w:p>
        </w:tc>
        <w:tc>
          <w:tcPr>
            <w:tcW w:w="1253" w:type="dxa"/>
            <w:vMerge w:val="restart"/>
            <w:noWrap w:val="0"/>
            <w:vAlign w:val="center"/>
          </w:tcPr>
          <w:p>
            <w:pPr>
              <w:keepNext w:val="0"/>
              <w:keepLines w:val="0"/>
              <w:widowControl/>
              <w:suppressLineNumbers w:val="0"/>
              <w:spacing w:before="0" w:beforeAutospacing="0" w:after="0" w:afterAutospacing="0"/>
              <w:ind w:left="0" w:right="0"/>
              <w:jc w:val="left"/>
              <w:textAlignment w:val="center"/>
              <w:rPr>
                <w:color w:val="000000" w:themeColor="text1"/>
                <w:szCs w:val="21"/>
                <w:highlight w:val="none"/>
                <w14:textFill>
                  <w14:solidFill>
                    <w14:schemeClr w14:val="tx1"/>
                  </w14:solidFill>
                </w14:textFill>
              </w:rPr>
            </w:pPr>
            <w:r>
              <w:rPr>
                <w:color w:val="000000" w:themeColor="text1"/>
                <w:kern w:val="0"/>
                <w:szCs w:val="21"/>
                <w:highlight w:val="none"/>
                <w:lang w:bidi="ar"/>
                <w14:textFill>
                  <w14:solidFill>
                    <w14:schemeClr w14:val="tx1"/>
                  </w14:solidFill>
                </w14:textFill>
              </w:rPr>
              <w:t>厂房隔声、基础减震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15" w:type="dxa"/>
            <w:left w:w="15" w:type="dxa"/>
            <w:bottom w:w="15" w:type="dxa"/>
            <w:right w:w="15" w:type="dxa"/>
          </w:tblCellMar>
        </w:tblPrEx>
        <w:trPr>
          <w:trHeight w:val="340" w:hRule="atLeast"/>
        </w:trPr>
        <w:tc>
          <w:tcPr>
            <w:tcW w:w="860" w:type="dxa"/>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szCs w:val="21"/>
                <w:highlight w:val="none"/>
                <w14:textFill>
                  <w14:solidFill>
                    <w14:schemeClr w14:val="tx1"/>
                  </w14:solidFill>
                </w14:textFill>
              </w:rPr>
            </w:pPr>
            <w:r>
              <w:rPr>
                <w:color w:val="000000" w:themeColor="text1"/>
                <w:kern w:val="0"/>
                <w:szCs w:val="21"/>
                <w:highlight w:val="none"/>
                <w:lang w:bidi="ar"/>
                <w14:textFill>
                  <w14:solidFill>
                    <w14:schemeClr w14:val="tx1"/>
                  </w14:solidFill>
                </w14:textFill>
              </w:rPr>
              <w:t>2</w:t>
            </w:r>
          </w:p>
        </w:tc>
        <w:tc>
          <w:tcPr>
            <w:tcW w:w="2394" w:type="dxa"/>
            <w:noWrap w:val="0"/>
            <w:vAlign w:val="center"/>
          </w:tcPr>
          <w:p>
            <w:pPr>
              <w:keepNext w:val="0"/>
              <w:keepLines w:val="0"/>
              <w:suppressLineNumbers w:val="0"/>
              <w:spacing w:before="0" w:beforeAutospacing="0" w:after="0" w:afterAutospacing="0"/>
              <w:ind w:left="0" w:right="0"/>
              <w:jc w:val="center"/>
              <w:rPr>
                <w:rFonts w:hint="eastAsia"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空压机</w:t>
            </w:r>
          </w:p>
        </w:tc>
        <w:tc>
          <w:tcPr>
            <w:tcW w:w="966" w:type="dxa"/>
            <w:noWrap w:val="0"/>
            <w:vAlign w:val="center"/>
          </w:tcPr>
          <w:p>
            <w:pPr>
              <w:keepNext w:val="0"/>
              <w:keepLines w:val="0"/>
              <w:widowControl/>
              <w:suppressLineNumbers w:val="0"/>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2</w:t>
            </w:r>
          </w:p>
        </w:tc>
        <w:tc>
          <w:tcPr>
            <w:tcW w:w="1590" w:type="dxa"/>
            <w:noWrap w:val="0"/>
            <w:vAlign w:val="top"/>
          </w:tcPr>
          <w:p>
            <w:pPr>
              <w:keepNext w:val="0"/>
              <w:keepLines w:val="0"/>
              <w:widowControl/>
              <w:suppressLineNumbers w:val="0"/>
              <w:spacing w:before="0" w:beforeAutospacing="0" w:after="0" w:afterAutospacing="0"/>
              <w:ind w:left="0" w:right="0"/>
              <w:jc w:val="center"/>
              <w:textAlignment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90-100</w:t>
            </w:r>
          </w:p>
        </w:tc>
        <w:tc>
          <w:tcPr>
            <w:tcW w:w="1230" w:type="dxa"/>
            <w:vMerge w:val="continue"/>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szCs w:val="21"/>
                <w:highlight w:val="none"/>
                <w14:textFill>
                  <w14:solidFill>
                    <w14:schemeClr w14:val="tx1"/>
                  </w14:solidFill>
                </w14:textFill>
              </w:rPr>
            </w:pPr>
          </w:p>
        </w:tc>
        <w:tc>
          <w:tcPr>
            <w:tcW w:w="1253" w:type="dxa"/>
            <w:vMerge w:val="continue"/>
            <w:noWrap w:val="0"/>
            <w:vAlign w:val="center"/>
          </w:tcPr>
          <w:p>
            <w:pPr>
              <w:keepNext w:val="0"/>
              <w:keepLines w:val="0"/>
              <w:widowControl/>
              <w:suppressLineNumbers w:val="0"/>
              <w:spacing w:before="0" w:beforeAutospacing="0" w:after="0" w:afterAutospacing="0"/>
              <w:ind w:left="0" w:right="0"/>
              <w:jc w:val="center"/>
              <w:textAlignment w:val="center"/>
              <w:rPr>
                <w:color w:val="000000" w:themeColor="text1"/>
                <w:kern w:val="0"/>
                <w:szCs w:val="21"/>
                <w:highlight w:val="none"/>
                <w:lang w:bidi="ar"/>
                <w14:textFill>
                  <w14:solidFill>
                    <w14:schemeClr w14:val="tx1"/>
                  </w14:solidFill>
                </w14:textFill>
              </w:rPr>
            </w:pPr>
          </w:p>
        </w:tc>
      </w:tr>
    </w:tbl>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由上表可知，生产车间所产生的噪声声级值为70~100dB(A)。</w:t>
      </w:r>
    </w:p>
    <w:p>
      <w:pPr>
        <w:keepNext w:val="0"/>
        <w:keepLines w:val="0"/>
        <w:widowControl w:val="0"/>
        <w:suppressLineNumbers w:val="0"/>
        <w:spacing w:before="0" w:beforeAutospacing="0" w:after="0" w:afterAutospacing="0" w:line="360" w:lineRule="auto"/>
        <w:ind w:left="0" w:right="0" w:firstLine="482" w:firstLineChars="200"/>
        <w:jc w:val="both"/>
        <w:rPr>
          <w:b/>
          <w:bCs w:val="0"/>
          <w:color w:val="000000" w:themeColor="text1"/>
          <w:sz w:val="24"/>
          <w:szCs w:val="24"/>
          <w:highlight w:val="none"/>
          <w:lang w:val="en-US"/>
          <w14:textFill>
            <w14:solidFill>
              <w14:schemeClr w14:val="tx1"/>
            </w14:solidFill>
          </w14:textFill>
        </w:rPr>
      </w:pPr>
      <w:r>
        <w:rPr>
          <w:rFonts w:hint="default" w:ascii="Times New Roman" w:hAnsi="Times New Roman" w:eastAsia="宋体" w:cs="Times New Roman"/>
          <w:b/>
          <w:bCs w:val="0"/>
          <w:color w:val="000000" w:themeColor="text1"/>
          <w:kern w:val="2"/>
          <w:sz w:val="24"/>
          <w:szCs w:val="24"/>
          <w:highlight w:val="none"/>
          <w:lang w:val="en-US" w:eastAsia="zh-CN" w:bidi="ar"/>
          <w14:textFill>
            <w14:solidFill>
              <w14:schemeClr w14:val="tx1"/>
            </w14:solidFill>
          </w14:textFill>
        </w:rPr>
        <w:t>3</w:t>
      </w:r>
      <w:r>
        <w:rPr>
          <w:rFonts w:hint="eastAsia" w:ascii="Times New Roman" w:hAnsi="Times New Roman" w:eastAsia="宋体" w:cs="宋体"/>
          <w:b/>
          <w:bCs w:val="0"/>
          <w:color w:val="000000" w:themeColor="text1"/>
          <w:kern w:val="2"/>
          <w:sz w:val="24"/>
          <w:szCs w:val="24"/>
          <w:highlight w:val="none"/>
          <w:lang w:val="en-US" w:eastAsia="zh-CN" w:bidi="ar"/>
          <w14:textFill>
            <w14:solidFill>
              <w14:schemeClr w14:val="tx1"/>
            </w14:solidFill>
          </w14:textFill>
        </w:rPr>
        <w:t>废水</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扩建项目不新增人员，不新增生活污水，不另加污水处理设施。</w:t>
      </w:r>
    </w:p>
    <w:p>
      <w:pPr>
        <w:keepNext w:val="0"/>
        <w:keepLines w:val="0"/>
        <w:widowControl w:val="0"/>
        <w:suppressLineNumbers w:val="0"/>
        <w:spacing w:before="0" w:beforeAutospacing="0" w:after="0" w:afterAutospacing="0" w:line="360" w:lineRule="auto"/>
        <w:ind w:left="0" w:right="0" w:firstLine="482" w:firstLineChars="200"/>
        <w:jc w:val="both"/>
        <w:rPr>
          <w:b/>
          <w:bCs w:val="0"/>
          <w:color w:val="000000" w:themeColor="text1"/>
          <w:sz w:val="24"/>
          <w:szCs w:val="24"/>
          <w:highlight w:val="none"/>
          <w:lang w:val="en-US"/>
          <w14:textFill>
            <w14:solidFill>
              <w14:schemeClr w14:val="tx1"/>
            </w14:solidFill>
          </w14:textFill>
        </w:rPr>
      </w:pPr>
      <w:r>
        <w:rPr>
          <w:rFonts w:hint="default" w:ascii="Times New Roman" w:hAnsi="Times New Roman" w:eastAsia="宋体" w:cs="Times New Roman"/>
          <w:b/>
          <w:bCs w:val="0"/>
          <w:color w:val="000000" w:themeColor="text1"/>
          <w:kern w:val="2"/>
          <w:sz w:val="24"/>
          <w:szCs w:val="24"/>
          <w:highlight w:val="none"/>
          <w:lang w:val="en-US" w:eastAsia="zh-CN" w:bidi="ar"/>
          <w14:textFill>
            <w14:solidFill>
              <w14:schemeClr w14:val="tx1"/>
            </w14:solidFill>
          </w14:textFill>
        </w:rPr>
        <w:t>4</w:t>
      </w:r>
      <w:r>
        <w:rPr>
          <w:rFonts w:hint="eastAsia" w:ascii="Times New Roman" w:hAnsi="Times New Roman" w:eastAsia="宋体" w:cs="宋体"/>
          <w:b/>
          <w:bCs w:val="0"/>
          <w:color w:val="000000" w:themeColor="text1"/>
          <w:kern w:val="2"/>
          <w:sz w:val="24"/>
          <w:szCs w:val="24"/>
          <w:highlight w:val="none"/>
          <w:lang w:val="en-US" w:eastAsia="zh-CN" w:bidi="ar"/>
          <w14:textFill>
            <w14:solidFill>
              <w14:schemeClr w14:val="tx1"/>
            </w14:solidFill>
          </w14:textFill>
        </w:rPr>
        <w:t>、固体废物</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按《固体废物鉴别标准 通则》（GB 34330-2017）和《国家危险废物名录》的有关要求，对项目固废进行分类，本项目固废产生类别有生活垃圾、一般工业固废、危险废物。</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（1）生活垃圾</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项目定员未发生变化，之前环评一分析，故不再赘述。</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（2）一般工业废物</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主要包括废元器件、废线路板、废包装和不合格品。</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①废元器件</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根据建设单位提供资料，废元器件产生量约为0.5t/a，厂家回收。</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②废线路板</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根据建设单位提供资料，项目废线路板产生量为0.5t/a，厂家回收。</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③废包装</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根据建设单位提供资料，废包装产生量为1.0t/a，收集后综合利用。</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③不合格品</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根据建设单位提供资料，不合格品产生量为0.8t/a，收集后综合利用。</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（3）危险废物</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主要包括废活性炭、废原料桶。</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①废活性炭</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根据建设单位提供资料，废活性炭产生量为1.0t/a，属于危险固废，危险废物类别为HW49，危废编码为900-041-49，妥善收集存储暂存于危废暂存间（40m2），委托有资质单位安全处理处置。</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②废原料桶</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本项目在白硅胶、锡膏等使用过程中会产生废原料桶，废原料包装桶产生的量约为1.0t/a。统一收集后交由厂家回收利用。</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项目固体废物产生情况及处理措施见表4-11。</w:t>
      </w:r>
    </w:p>
    <w:p>
      <w:pPr>
        <w:jc w:val="center"/>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表</w:t>
      </w:r>
      <w:r>
        <w:rPr>
          <w:rFonts w:hint="eastAsia"/>
          <w:b/>
          <w:bCs/>
          <w:color w:val="000000" w:themeColor="text1"/>
          <w:szCs w:val="21"/>
          <w:highlight w:val="none"/>
          <w14:textFill>
            <w14:solidFill>
              <w14:schemeClr w14:val="tx1"/>
            </w14:solidFill>
          </w14:textFill>
        </w:rPr>
        <w:t>4</w:t>
      </w:r>
      <w:r>
        <w:rPr>
          <w:b/>
          <w:bCs/>
          <w:color w:val="000000" w:themeColor="text1"/>
          <w:szCs w:val="21"/>
          <w:highlight w:val="none"/>
          <w14:textFill>
            <w14:solidFill>
              <w14:schemeClr w14:val="tx1"/>
            </w14:solidFill>
          </w14:textFill>
        </w:rPr>
        <w:t>-</w:t>
      </w:r>
      <w:r>
        <w:rPr>
          <w:rFonts w:hint="eastAsia"/>
          <w:b/>
          <w:bCs/>
          <w:color w:val="000000" w:themeColor="text1"/>
          <w:szCs w:val="21"/>
          <w:highlight w:val="none"/>
          <w:lang w:val="en-US" w:eastAsia="zh-CN"/>
          <w14:textFill>
            <w14:solidFill>
              <w14:schemeClr w14:val="tx1"/>
            </w14:solidFill>
          </w14:textFill>
        </w:rPr>
        <w:t>1</w:t>
      </w:r>
      <w:r>
        <w:rPr>
          <w:b/>
          <w:bCs/>
          <w:color w:val="000000" w:themeColor="text1"/>
          <w:szCs w:val="21"/>
          <w:highlight w:val="none"/>
          <w14:textFill>
            <w14:solidFill>
              <w14:schemeClr w14:val="tx1"/>
            </w14:solidFill>
          </w14:textFill>
        </w:rPr>
        <w:t>1  项目固体废物产生量及处置措施</w:t>
      </w:r>
    </w:p>
    <w:tbl>
      <w:tblPr>
        <w:tblStyle w:val="48"/>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6" w:space="0"/>
        </w:tblBorders>
        <w:tblLayout w:type="autofit"/>
        <w:tblCellMar>
          <w:top w:w="0" w:type="dxa"/>
          <w:left w:w="108" w:type="dxa"/>
          <w:bottom w:w="0" w:type="dxa"/>
          <w:right w:w="108" w:type="dxa"/>
        </w:tblCellMar>
      </w:tblPr>
      <w:tblGrid>
        <w:gridCol w:w="1981"/>
        <w:gridCol w:w="1238"/>
        <w:gridCol w:w="1265"/>
        <w:gridCol w:w="3828"/>
      </w:tblGrid>
      <w:tr>
        <w:tblPrEx>
          <w:tblBorders>
            <w:top w:val="single" w:color="auto" w:sz="12" w:space="0"/>
            <w:left w:val="none" w:color="auto" w:sz="0" w:space="0"/>
            <w:bottom w:val="single" w:color="auto" w:sz="12" w:space="0"/>
            <w:right w:val="none" w:color="auto" w:sz="0" w:space="0"/>
            <w:insideH w:val="single" w:color="auto" w:sz="4" w:space="0"/>
            <w:insideV w:val="single" w:color="auto" w:sz="6" w:space="0"/>
          </w:tblBorders>
          <w:tblCellMar>
            <w:top w:w="0" w:type="dxa"/>
            <w:left w:w="108" w:type="dxa"/>
            <w:bottom w:w="0" w:type="dxa"/>
            <w:right w:w="108" w:type="dxa"/>
          </w:tblCellMar>
        </w:tblPrEx>
        <w:trPr>
          <w:trHeight w:val="340" w:hRule="atLeast"/>
          <w:tblHeader/>
          <w:jc w:val="center"/>
        </w:trPr>
        <w:tc>
          <w:tcPr>
            <w:tcW w:w="1981" w:type="dxa"/>
            <w:noWrap w:val="0"/>
            <w:vAlign w:val="center"/>
          </w:tcPr>
          <w:p>
            <w:pPr>
              <w:keepNext w:val="0"/>
              <w:keepLines w:val="0"/>
              <w:suppressLineNumbers w:val="0"/>
              <w:snapToGrid w:val="0"/>
              <w:spacing w:before="0" w:beforeAutospacing="0" w:after="0" w:afterAutospacing="0" w:line="240" w:lineRule="exact"/>
              <w:ind w:left="0" w:right="0"/>
              <w:jc w:val="center"/>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名称</w:t>
            </w:r>
          </w:p>
        </w:tc>
        <w:tc>
          <w:tcPr>
            <w:tcW w:w="1238" w:type="dxa"/>
            <w:noWrap w:val="0"/>
            <w:vAlign w:val="center"/>
          </w:tcPr>
          <w:p>
            <w:pPr>
              <w:keepNext w:val="0"/>
              <w:keepLines w:val="0"/>
              <w:suppressLineNumbers w:val="0"/>
              <w:snapToGrid w:val="0"/>
              <w:spacing w:before="0" w:beforeAutospacing="0" w:after="0" w:afterAutospacing="0" w:line="240" w:lineRule="exact"/>
              <w:ind w:left="0" w:right="0"/>
              <w:jc w:val="center"/>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产生量</w:t>
            </w:r>
          </w:p>
        </w:tc>
        <w:tc>
          <w:tcPr>
            <w:tcW w:w="1265" w:type="dxa"/>
            <w:noWrap w:val="0"/>
            <w:vAlign w:val="center"/>
          </w:tcPr>
          <w:p>
            <w:pPr>
              <w:keepNext w:val="0"/>
              <w:keepLines w:val="0"/>
              <w:suppressLineNumbers w:val="0"/>
              <w:snapToGrid w:val="0"/>
              <w:spacing w:before="0" w:beforeAutospacing="0" w:after="0" w:afterAutospacing="0" w:line="240" w:lineRule="exact"/>
              <w:ind w:left="0" w:right="0"/>
              <w:jc w:val="center"/>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固废性质</w:t>
            </w:r>
          </w:p>
        </w:tc>
        <w:tc>
          <w:tcPr>
            <w:tcW w:w="3828" w:type="dxa"/>
            <w:noWrap w:val="0"/>
            <w:vAlign w:val="center"/>
          </w:tcPr>
          <w:p>
            <w:pPr>
              <w:keepNext w:val="0"/>
              <w:keepLines w:val="0"/>
              <w:suppressLineNumbers w:val="0"/>
              <w:snapToGrid w:val="0"/>
              <w:spacing w:before="0" w:beforeAutospacing="0" w:after="0" w:afterAutospacing="0" w:line="240" w:lineRule="exact"/>
              <w:ind w:left="0" w:right="0"/>
              <w:jc w:val="center"/>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处置措施</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6" w:space="0"/>
          </w:tblBorders>
          <w:tblCellMar>
            <w:top w:w="0" w:type="dxa"/>
            <w:left w:w="108" w:type="dxa"/>
            <w:bottom w:w="0" w:type="dxa"/>
            <w:right w:w="108" w:type="dxa"/>
          </w:tblCellMar>
        </w:tblPrEx>
        <w:trPr>
          <w:trHeight w:val="340" w:hRule="atLeast"/>
          <w:jc w:val="center"/>
        </w:trPr>
        <w:tc>
          <w:tcPr>
            <w:tcW w:w="1981" w:type="dxa"/>
            <w:noWrap w:val="0"/>
            <w:vAlign w:val="center"/>
          </w:tcPr>
          <w:p>
            <w:pPr>
              <w:keepNext w:val="0"/>
              <w:keepLines w:val="0"/>
              <w:suppressLineNumbers w:val="0"/>
              <w:snapToGrid w:val="0"/>
              <w:spacing w:before="0" w:beforeAutospacing="0" w:after="0" w:afterAutospacing="0" w:line="240" w:lineRule="exact"/>
              <w:ind w:left="0" w:right="0"/>
              <w:jc w:val="center"/>
              <w:rPr>
                <w:color w:val="000000" w:themeColor="text1"/>
                <w:szCs w:val="21"/>
                <w:highlight w:val="none"/>
                <w14:textFill>
                  <w14:solidFill>
                    <w14:schemeClr w14:val="tx1"/>
                  </w14:solidFill>
                </w14:textFill>
              </w:rPr>
            </w:pPr>
            <w:r>
              <w:rPr>
                <w:rFonts w:hint="eastAsia" w:ascii="Times New Roman" w:hAnsi="Times New Roman" w:eastAsia="宋体" w:cs="Times New Roman"/>
                <w:bCs/>
                <w:color w:val="000000" w:themeColor="text1"/>
                <w:kern w:val="2"/>
                <w:sz w:val="21"/>
                <w:szCs w:val="21"/>
                <w:highlight w:val="none"/>
                <w:lang w:val="en-US" w:eastAsia="zh-CN" w:bidi="ar-SA"/>
                <w14:textFill>
                  <w14:solidFill>
                    <w14:schemeClr w14:val="tx1"/>
                  </w14:solidFill>
                </w14:textFill>
              </w:rPr>
              <w:t>废元器件</w:t>
            </w:r>
          </w:p>
        </w:tc>
        <w:tc>
          <w:tcPr>
            <w:tcW w:w="1238" w:type="dxa"/>
            <w:noWrap w:val="0"/>
            <w:vAlign w:val="center"/>
          </w:tcPr>
          <w:p>
            <w:pPr>
              <w:keepNext w:val="0"/>
              <w:keepLines w:val="0"/>
              <w:suppressLineNumbers w:val="0"/>
              <w:snapToGrid w:val="0"/>
              <w:spacing w:before="0" w:beforeAutospacing="0" w:after="0" w:afterAutospacing="0" w:line="240" w:lineRule="exact"/>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0.5/a</w:t>
            </w:r>
          </w:p>
        </w:tc>
        <w:tc>
          <w:tcPr>
            <w:tcW w:w="1265" w:type="dxa"/>
            <w:vMerge w:val="restart"/>
            <w:noWrap w:val="0"/>
            <w:vAlign w:val="center"/>
          </w:tcPr>
          <w:p>
            <w:pPr>
              <w:keepNext w:val="0"/>
              <w:keepLines w:val="0"/>
              <w:suppressLineNumbers w:val="0"/>
              <w:snapToGrid w:val="0"/>
              <w:spacing w:before="0" w:beforeAutospacing="0" w:after="0" w:afterAutospacing="0" w:line="240" w:lineRule="exact"/>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一般固废</w:t>
            </w:r>
          </w:p>
        </w:tc>
        <w:tc>
          <w:tcPr>
            <w:tcW w:w="3828" w:type="dxa"/>
            <w:noWrap w:val="0"/>
            <w:vAlign w:val="center"/>
          </w:tcPr>
          <w:p>
            <w:pPr>
              <w:keepNext w:val="0"/>
              <w:keepLines w:val="0"/>
              <w:suppressLineNumbers w:val="0"/>
              <w:snapToGrid w:val="0"/>
              <w:spacing w:before="0" w:beforeAutospacing="0" w:after="0" w:afterAutospacing="0" w:line="240" w:lineRule="exact"/>
              <w:ind w:left="0" w:right="0"/>
              <w:jc w:val="center"/>
              <w:rPr>
                <w:bCs/>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收集后</w:t>
            </w:r>
            <w:r>
              <w:rPr>
                <w:rFonts w:hint="eastAsia"/>
                <w:color w:val="000000" w:themeColor="text1"/>
                <w:szCs w:val="21"/>
                <w:highlight w:val="none"/>
                <w:lang w:val="en-US" w:eastAsia="zh-CN"/>
                <w14:textFill>
                  <w14:solidFill>
                    <w14:schemeClr w14:val="tx1"/>
                  </w14:solidFill>
                </w14:textFill>
              </w:rPr>
              <w:t>厂家回收</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6" w:space="0"/>
          </w:tblBorders>
          <w:tblCellMar>
            <w:top w:w="0" w:type="dxa"/>
            <w:left w:w="108" w:type="dxa"/>
            <w:bottom w:w="0" w:type="dxa"/>
            <w:right w:w="108" w:type="dxa"/>
          </w:tblCellMar>
        </w:tblPrEx>
        <w:trPr>
          <w:trHeight w:val="153" w:hRule="atLeast"/>
          <w:jc w:val="center"/>
        </w:trPr>
        <w:tc>
          <w:tcPr>
            <w:tcW w:w="1981" w:type="dxa"/>
            <w:noWrap w:val="0"/>
            <w:vAlign w:val="center"/>
          </w:tcPr>
          <w:p>
            <w:pPr>
              <w:keepNext w:val="0"/>
              <w:keepLines w:val="0"/>
              <w:suppressLineNumbers w:val="0"/>
              <w:snapToGrid w:val="0"/>
              <w:spacing w:before="0" w:beforeAutospacing="0" w:after="0" w:afterAutospacing="0" w:line="240" w:lineRule="exact"/>
              <w:ind w:left="0" w:right="0"/>
              <w:jc w:val="center"/>
              <w:rPr>
                <w:color w:val="000000" w:themeColor="text1"/>
                <w:szCs w:val="21"/>
                <w:highlight w:val="none"/>
                <w14:textFill>
                  <w14:solidFill>
                    <w14:schemeClr w14:val="tx1"/>
                  </w14:solidFill>
                </w14:textFill>
              </w:rPr>
            </w:pPr>
            <w:r>
              <w:rPr>
                <w:rFonts w:hint="eastAsia" w:ascii="Times New Roman" w:hAnsi="Times New Roman" w:eastAsia="宋体" w:cs="Times New Roman"/>
                <w:bCs/>
                <w:color w:val="000000" w:themeColor="text1"/>
                <w:kern w:val="2"/>
                <w:sz w:val="21"/>
                <w:szCs w:val="21"/>
                <w:highlight w:val="none"/>
                <w:lang w:val="en-US" w:eastAsia="zh-CN" w:bidi="ar-SA"/>
                <w14:textFill>
                  <w14:solidFill>
                    <w14:schemeClr w14:val="tx1"/>
                  </w14:solidFill>
                </w14:textFill>
              </w:rPr>
              <w:t>废线路板</w:t>
            </w:r>
          </w:p>
        </w:tc>
        <w:tc>
          <w:tcPr>
            <w:tcW w:w="1238" w:type="dxa"/>
            <w:noWrap w:val="0"/>
            <w:vAlign w:val="center"/>
          </w:tcPr>
          <w:p>
            <w:pPr>
              <w:keepNext w:val="0"/>
              <w:keepLines w:val="0"/>
              <w:suppressLineNumbers w:val="0"/>
              <w:snapToGrid w:val="0"/>
              <w:spacing w:before="0" w:beforeAutospacing="0" w:after="0" w:afterAutospacing="0" w:line="240" w:lineRule="exact"/>
              <w:ind w:left="0" w:right="0"/>
              <w:jc w:val="center"/>
              <w:rPr>
                <w:color w:val="000000" w:themeColor="text1"/>
                <w:szCs w:val="21"/>
                <w:highlight w:val="non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0.5</w:t>
            </w:r>
            <w:r>
              <w:rPr>
                <w:color w:val="000000" w:themeColor="text1"/>
                <w:szCs w:val="21"/>
                <w:highlight w:val="none"/>
                <w14:textFill>
                  <w14:solidFill>
                    <w14:schemeClr w14:val="tx1"/>
                  </w14:solidFill>
                </w14:textFill>
              </w:rPr>
              <w:t>t/a</w:t>
            </w:r>
          </w:p>
        </w:tc>
        <w:tc>
          <w:tcPr>
            <w:tcW w:w="1265" w:type="dxa"/>
            <w:vMerge w:val="continue"/>
            <w:noWrap w:val="0"/>
            <w:vAlign w:val="center"/>
          </w:tcPr>
          <w:p>
            <w:pPr>
              <w:keepNext w:val="0"/>
              <w:keepLines w:val="0"/>
              <w:suppressLineNumbers w:val="0"/>
              <w:snapToGrid w:val="0"/>
              <w:spacing w:before="0" w:beforeAutospacing="0" w:after="0" w:afterAutospacing="0" w:line="240" w:lineRule="exact"/>
              <w:ind w:left="0" w:right="0"/>
              <w:jc w:val="center"/>
              <w:rPr>
                <w:color w:val="000000" w:themeColor="text1"/>
                <w:szCs w:val="21"/>
                <w:highlight w:val="none"/>
                <w14:textFill>
                  <w14:solidFill>
                    <w14:schemeClr w14:val="tx1"/>
                  </w14:solidFill>
                </w14:textFill>
              </w:rPr>
            </w:pPr>
          </w:p>
        </w:tc>
        <w:tc>
          <w:tcPr>
            <w:tcW w:w="3828" w:type="dxa"/>
            <w:noWrap w:val="0"/>
            <w:vAlign w:val="center"/>
          </w:tcPr>
          <w:p>
            <w:pPr>
              <w:keepNext w:val="0"/>
              <w:keepLines w:val="0"/>
              <w:suppressLineNumbers w:val="0"/>
              <w:snapToGrid w:val="0"/>
              <w:spacing w:before="0" w:beforeAutospacing="0" w:after="0" w:afterAutospacing="0" w:line="240" w:lineRule="exact"/>
              <w:ind w:left="0" w:right="0"/>
              <w:jc w:val="center"/>
              <w:rPr>
                <w:rFonts w:hint="eastAsia" w:eastAsia="宋体"/>
                <w:color w:val="000000" w:themeColor="text1"/>
                <w:szCs w:val="21"/>
                <w:highlight w:val="none"/>
                <w:lang w:eastAsia="zh-CN"/>
                <w14:textFill>
                  <w14:solidFill>
                    <w14:schemeClr w14:val="tx1"/>
                  </w14:solidFill>
                </w14:textFill>
              </w:rPr>
            </w:pPr>
            <w:r>
              <w:rPr>
                <w:color w:val="000000" w:themeColor="text1"/>
                <w:szCs w:val="21"/>
                <w:highlight w:val="none"/>
                <w14:textFill>
                  <w14:solidFill>
                    <w14:schemeClr w14:val="tx1"/>
                  </w14:solidFill>
                </w14:textFill>
              </w:rPr>
              <w:t>收集后</w:t>
            </w:r>
            <w:r>
              <w:rPr>
                <w:rFonts w:hint="eastAsia"/>
                <w:color w:val="000000" w:themeColor="text1"/>
                <w:szCs w:val="21"/>
                <w:highlight w:val="none"/>
                <w:lang w:val="en-US" w:eastAsia="zh-CN"/>
                <w14:textFill>
                  <w14:solidFill>
                    <w14:schemeClr w14:val="tx1"/>
                  </w14:solidFill>
                </w14:textFill>
              </w:rPr>
              <w:t>厂家回收</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6" w:space="0"/>
          </w:tblBorders>
          <w:tblCellMar>
            <w:top w:w="0" w:type="dxa"/>
            <w:left w:w="108" w:type="dxa"/>
            <w:bottom w:w="0" w:type="dxa"/>
            <w:right w:w="108" w:type="dxa"/>
          </w:tblCellMar>
        </w:tblPrEx>
        <w:trPr>
          <w:trHeight w:val="340" w:hRule="atLeast"/>
          <w:jc w:val="center"/>
        </w:trPr>
        <w:tc>
          <w:tcPr>
            <w:tcW w:w="1981" w:type="dxa"/>
            <w:noWrap w:val="0"/>
            <w:vAlign w:val="center"/>
          </w:tcPr>
          <w:p>
            <w:pPr>
              <w:keepNext w:val="0"/>
              <w:keepLines w:val="0"/>
              <w:suppressLineNumbers w:val="0"/>
              <w:snapToGrid w:val="0"/>
              <w:spacing w:before="0" w:beforeAutospacing="0" w:after="0" w:afterAutospacing="0" w:line="240" w:lineRule="exact"/>
              <w:ind w:left="0" w:right="0"/>
              <w:jc w:val="center"/>
              <w:rPr>
                <w:color w:val="000000" w:themeColor="text1"/>
                <w:szCs w:val="21"/>
                <w:highlight w:val="none"/>
                <w14:textFill>
                  <w14:solidFill>
                    <w14:schemeClr w14:val="tx1"/>
                  </w14:solidFill>
                </w14:textFill>
              </w:rPr>
            </w:pPr>
            <w:r>
              <w:rPr>
                <w:rFonts w:hint="eastAsia" w:ascii="Times New Roman" w:hAnsi="Times New Roman" w:eastAsia="宋体" w:cs="Times New Roman"/>
                <w:bCs/>
                <w:color w:val="000000" w:themeColor="text1"/>
                <w:kern w:val="2"/>
                <w:sz w:val="21"/>
                <w:szCs w:val="21"/>
                <w:highlight w:val="none"/>
                <w:lang w:val="en-US" w:eastAsia="zh-CN" w:bidi="ar-SA"/>
                <w14:textFill>
                  <w14:solidFill>
                    <w14:schemeClr w14:val="tx1"/>
                  </w14:solidFill>
                </w14:textFill>
              </w:rPr>
              <w:t>废包装</w:t>
            </w:r>
          </w:p>
        </w:tc>
        <w:tc>
          <w:tcPr>
            <w:tcW w:w="1238" w:type="dxa"/>
            <w:noWrap w:val="0"/>
            <w:vAlign w:val="center"/>
          </w:tcPr>
          <w:p>
            <w:pPr>
              <w:keepNext w:val="0"/>
              <w:keepLines w:val="0"/>
              <w:suppressLineNumbers w:val="0"/>
              <w:snapToGrid w:val="0"/>
              <w:spacing w:before="0" w:beforeAutospacing="0" w:after="0" w:afterAutospacing="0" w:line="240" w:lineRule="exact"/>
              <w:ind w:left="0" w:right="0"/>
              <w:jc w:val="center"/>
              <w:rPr>
                <w:color w:val="000000" w:themeColor="text1"/>
                <w:szCs w:val="21"/>
                <w:highlight w:val="none"/>
                <w14:textFill>
                  <w14:solidFill>
                    <w14:schemeClr w14:val="tx1"/>
                  </w14:solidFill>
                </w14:textFill>
              </w:rPr>
            </w:pPr>
            <w:r>
              <w:rPr>
                <w:rFonts w:hint="eastAsia"/>
                <w:bCs/>
                <w:color w:val="000000" w:themeColor="text1"/>
                <w:szCs w:val="21"/>
                <w:highlight w:val="none"/>
                <w:lang w:val="en-US" w:eastAsia="zh-CN"/>
                <w14:textFill>
                  <w14:solidFill>
                    <w14:schemeClr w14:val="tx1"/>
                  </w14:solidFill>
                </w14:textFill>
              </w:rPr>
              <w:t>1.0</w:t>
            </w:r>
            <w:r>
              <w:rPr>
                <w:bCs/>
                <w:color w:val="000000" w:themeColor="text1"/>
                <w:szCs w:val="21"/>
                <w:highlight w:val="none"/>
                <w14:textFill>
                  <w14:solidFill>
                    <w14:schemeClr w14:val="tx1"/>
                  </w14:solidFill>
                </w14:textFill>
              </w:rPr>
              <w:t>t/a</w:t>
            </w:r>
          </w:p>
        </w:tc>
        <w:tc>
          <w:tcPr>
            <w:tcW w:w="1265" w:type="dxa"/>
            <w:vMerge w:val="continue"/>
            <w:noWrap w:val="0"/>
            <w:vAlign w:val="center"/>
          </w:tcPr>
          <w:p>
            <w:pPr>
              <w:keepNext w:val="0"/>
              <w:keepLines w:val="0"/>
              <w:suppressLineNumbers w:val="0"/>
              <w:snapToGrid w:val="0"/>
              <w:spacing w:before="0" w:beforeAutospacing="0" w:after="0" w:afterAutospacing="0" w:line="240" w:lineRule="exact"/>
              <w:ind w:left="0" w:right="0"/>
              <w:jc w:val="center"/>
              <w:rPr>
                <w:bCs/>
                <w:color w:val="000000" w:themeColor="text1"/>
                <w:szCs w:val="21"/>
                <w:highlight w:val="none"/>
                <w14:textFill>
                  <w14:solidFill>
                    <w14:schemeClr w14:val="tx1"/>
                  </w14:solidFill>
                </w14:textFill>
              </w:rPr>
            </w:pPr>
          </w:p>
        </w:tc>
        <w:tc>
          <w:tcPr>
            <w:tcW w:w="3828" w:type="dxa"/>
            <w:vMerge w:val="restart"/>
            <w:noWrap w:val="0"/>
            <w:vAlign w:val="center"/>
          </w:tcPr>
          <w:p>
            <w:pPr>
              <w:keepNext w:val="0"/>
              <w:keepLines w:val="0"/>
              <w:suppressLineNumbers w:val="0"/>
              <w:snapToGrid w:val="0"/>
              <w:spacing w:before="0" w:beforeAutospacing="0" w:after="0" w:afterAutospacing="0" w:line="240" w:lineRule="exact"/>
              <w:ind w:left="0" w:right="0"/>
              <w:jc w:val="center"/>
              <w:rPr>
                <w:bCs/>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收集后外售综合利用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6" w:space="0"/>
          </w:tblBorders>
          <w:tblCellMar>
            <w:top w:w="0" w:type="dxa"/>
            <w:left w:w="108" w:type="dxa"/>
            <w:bottom w:w="0" w:type="dxa"/>
            <w:right w:w="108" w:type="dxa"/>
          </w:tblCellMar>
        </w:tblPrEx>
        <w:trPr>
          <w:trHeight w:val="340" w:hRule="atLeast"/>
          <w:jc w:val="center"/>
        </w:trPr>
        <w:tc>
          <w:tcPr>
            <w:tcW w:w="1981" w:type="dxa"/>
            <w:noWrap w:val="0"/>
            <w:vAlign w:val="center"/>
          </w:tcPr>
          <w:p>
            <w:pPr>
              <w:keepNext w:val="0"/>
              <w:keepLines w:val="0"/>
              <w:suppressLineNumbers w:val="0"/>
              <w:snapToGrid w:val="0"/>
              <w:spacing w:before="0" w:beforeAutospacing="0" w:after="0" w:afterAutospacing="0" w:line="240" w:lineRule="exact"/>
              <w:ind w:left="0" w:right="0"/>
              <w:jc w:val="center"/>
              <w:rPr>
                <w:rFonts w:hint="default" w:ascii="Times New Roman" w:hAnsi="Times New Roman" w:eastAsia="宋体" w:cs="Times New Roman"/>
                <w:bCs/>
                <w:color w:val="000000" w:themeColor="text1"/>
                <w:kern w:val="2"/>
                <w:sz w:val="21"/>
                <w:szCs w:val="21"/>
                <w:highlight w:val="none"/>
                <w:lang w:val="en-US" w:eastAsia="zh-CN" w:bidi="ar-SA"/>
                <w14:textFill>
                  <w14:solidFill>
                    <w14:schemeClr w14:val="tx1"/>
                  </w14:solidFill>
                </w14:textFill>
              </w:rPr>
            </w:pPr>
            <w:r>
              <w:rPr>
                <w:rFonts w:hint="eastAsia" w:ascii="Times New Roman" w:hAnsi="Times New Roman" w:eastAsia="宋体" w:cs="Times New Roman"/>
                <w:bCs/>
                <w:color w:val="000000" w:themeColor="text1"/>
                <w:kern w:val="2"/>
                <w:sz w:val="21"/>
                <w:szCs w:val="21"/>
                <w:highlight w:val="none"/>
                <w:lang w:val="en-US" w:eastAsia="zh-CN" w:bidi="ar-SA"/>
                <w14:textFill>
                  <w14:solidFill>
                    <w14:schemeClr w14:val="tx1"/>
                  </w14:solidFill>
                </w14:textFill>
              </w:rPr>
              <w:t>不合格品</w:t>
            </w:r>
          </w:p>
        </w:tc>
        <w:tc>
          <w:tcPr>
            <w:tcW w:w="1238" w:type="dxa"/>
            <w:noWrap w:val="0"/>
            <w:vAlign w:val="center"/>
          </w:tcPr>
          <w:p>
            <w:pPr>
              <w:keepNext w:val="0"/>
              <w:keepLines w:val="0"/>
              <w:suppressLineNumbers w:val="0"/>
              <w:snapToGrid w:val="0"/>
              <w:spacing w:before="0" w:beforeAutospacing="0" w:after="0" w:afterAutospacing="0" w:line="240" w:lineRule="exact"/>
              <w:ind w:left="0" w:right="0"/>
              <w:jc w:val="center"/>
              <w:rPr>
                <w:rFonts w:hint="eastAsia"/>
                <w:bCs/>
                <w:color w:val="000000" w:themeColor="text1"/>
                <w:szCs w:val="21"/>
                <w:highlight w:val="none"/>
                <w:lang w:val="en-US" w:eastAsia="zh-CN"/>
                <w14:textFill>
                  <w14:solidFill>
                    <w14:schemeClr w14:val="tx1"/>
                  </w14:solidFill>
                </w14:textFill>
              </w:rPr>
            </w:pPr>
            <w:r>
              <w:rPr>
                <w:rFonts w:hint="eastAsia"/>
                <w:bCs/>
                <w:color w:val="000000" w:themeColor="text1"/>
                <w:szCs w:val="21"/>
                <w:highlight w:val="none"/>
                <w:lang w:val="en-US" w:eastAsia="zh-CN"/>
                <w14:textFill>
                  <w14:solidFill>
                    <w14:schemeClr w14:val="tx1"/>
                  </w14:solidFill>
                </w14:textFill>
              </w:rPr>
              <w:t>0.8</w:t>
            </w:r>
            <w:r>
              <w:rPr>
                <w:bCs/>
                <w:color w:val="000000" w:themeColor="text1"/>
                <w:szCs w:val="21"/>
                <w:highlight w:val="none"/>
                <w14:textFill>
                  <w14:solidFill>
                    <w14:schemeClr w14:val="tx1"/>
                  </w14:solidFill>
                </w14:textFill>
              </w:rPr>
              <w:t>t/a</w:t>
            </w:r>
          </w:p>
        </w:tc>
        <w:tc>
          <w:tcPr>
            <w:tcW w:w="1265" w:type="dxa"/>
            <w:vMerge w:val="continue"/>
            <w:noWrap w:val="0"/>
            <w:vAlign w:val="center"/>
          </w:tcPr>
          <w:p>
            <w:pPr>
              <w:keepNext w:val="0"/>
              <w:keepLines w:val="0"/>
              <w:suppressLineNumbers w:val="0"/>
              <w:snapToGrid w:val="0"/>
              <w:spacing w:before="0" w:beforeAutospacing="0" w:after="0" w:afterAutospacing="0" w:line="240" w:lineRule="exact"/>
              <w:ind w:left="0" w:right="0"/>
              <w:jc w:val="center"/>
              <w:rPr>
                <w:bCs/>
                <w:color w:val="000000" w:themeColor="text1"/>
                <w:szCs w:val="21"/>
                <w:highlight w:val="none"/>
                <w14:textFill>
                  <w14:solidFill>
                    <w14:schemeClr w14:val="tx1"/>
                  </w14:solidFill>
                </w14:textFill>
              </w:rPr>
            </w:pPr>
          </w:p>
        </w:tc>
        <w:tc>
          <w:tcPr>
            <w:tcW w:w="3828" w:type="dxa"/>
            <w:vMerge w:val="continue"/>
            <w:noWrap w:val="0"/>
            <w:vAlign w:val="center"/>
          </w:tcPr>
          <w:p>
            <w:pPr>
              <w:keepNext w:val="0"/>
              <w:keepLines w:val="0"/>
              <w:suppressLineNumbers w:val="0"/>
              <w:snapToGrid w:val="0"/>
              <w:spacing w:before="0" w:beforeAutospacing="0" w:after="0" w:afterAutospacing="0" w:line="240" w:lineRule="exact"/>
              <w:ind w:left="0" w:right="0"/>
              <w:jc w:val="center"/>
              <w:rPr>
                <w:color w:val="000000" w:themeColor="text1"/>
                <w:szCs w:val="21"/>
                <w:highlight w:val="none"/>
                <w14:textFill>
                  <w14:solidFill>
                    <w14:schemeClr w14:val="tx1"/>
                  </w14:solidFill>
                </w14:textFill>
              </w:rPr>
            </w:pPr>
          </w:p>
        </w:tc>
      </w:tr>
    </w:tbl>
    <w:p>
      <w:pPr>
        <w:pStyle w:val="22"/>
        <w:ind w:firstLine="422" w:firstLineChars="200"/>
        <w:jc w:val="center"/>
        <w:rPr>
          <w:b/>
          <w:bCs/>
          <w:color w:val="000000" w:themeColor="text1"/>
          <w:sz w:val="21"/>
          <w:szCs w:val="21"/>
          <w:highlight w:val="none"/>
          <w14:textFill>
            <w14:solidFill>
              <w14:schemeClr w14:val="tx1"/>
            </w14:solidFill>
          </w14:textFill>
        </w:rPr>
      </w:pPr>
      <w:r>
        <w:rPr>
          <w:b/>
          <w:bCs/>
          <w:color w:val="000000" w:themeColor="text1"/>
          <w:sz w:val="21"/>
          <w:szCs w:val="21"/>
          <w:highlight w:val="none"/>
          <w14:textFill>
            <w14:solidFill>
              <w14:schemeClr w14:val="tx1"/>
            </w14:solidFill>
          </w14:textFill>
        </w:rPr>
        <w:t>表4-</w:t>
      </w:r>
      <w:r>
        <w:rPr>
          <w:rFonts w:hint="eastAsia"/>
          <w:b/>
          <w:bCs/>
          <w:color w:val="000000" w:themeColor="text1"/>
          <w:sz w:val="21"/>
          <w:szCs w:val="21"/>
          <w:highlight w:val="none"/>
          <w:lang w:val="en-US" w:eastAsia="zh-CN"/>
          <w14:textFill>
            <w14:solidFill>
              <w14:schemeClr w14:val="tx1"/>
            </w14:solidFill>
          </w14:textFill>
        </w:rPr>
        <w:t>1</w:t>
      </w:r>
      <w:r>
        <w:rPr>
          <w:b/>
          <w:bCs/>
          <w:color w:val="000000" w:themeColor="text1"/>
          <w:sz w:val="21"/>
          <w:szCs w:val="21"/>
          <w:highlight w:val="none"/>
          <w14:textFill>
            <w14:solidFill>
              <w14:schemeClr w14:val="tx1"/>
            </w14:solidFill>
          </w14:textFill>
        </w:rPr>
        <w:t>2 危险废物一览表</w:t>
      </w:r>
    </w:p>
    <w:tbl>
      <w:tblPr>
        <w:tblStyle w:val="48"/>
        <w:tblW w:w="0" w:type="auto"/>
        <w:jc w:val="center"/>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Layout w:type="autofit"/>
        <w:tblCellMar>
          <w:top w:w="0" w:type="dxa"/>
          <w:left w:w="108" w:type="dxa"/>
          <w:bottom w:w="0" w:type="dxa"/>
          <w:right w:w="108" w:type="dxa"/>
        </w:tblCellMar>
      </w:tblPr>
      <w:tblGrid>
        <w:gridCol w:w="575"/>
        <w:gridCol w:w="774"/>
        <w:gridCol w:w="1146"/>
        <w:gridCol w:w="734"/>
        <w:gridCol w:w="592"/>
        <w:gridCol w:w="524"/>
        <w:gridCol w:w="808"/>
        <w:gridCol w:w="808"/>
        <w:gridCol w:w="581"/>
        <w:gridCol w:w="594"/>
        <w:gridCol w:w="810"/>
      </w:tblGrid>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108" w:type="dxa"/>
            <w:bottom w:w="0" w:type="dxa"/>
            <w:right w:w="108" w:type="dxa"/>
          </w:tblCellMar>
        </w:tblPrEx>
        <w:trPr>
          <w:trHeight w:val="700" w:hRule="atLeast"/>
          <w:jc w:val="center"/>
        </w:trPr>
        <w:tc>
          <w:tcPr>
            <w:tcW w:w="575"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危废名称</w:t>
            </w:r>
          </w:p>
        </w:tc>
        <w:tc>
          <w:tcPr>
            <w:tcW w:w="774"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危废</w:t>
            </w:r>
          </w:p>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类别</w:t>
            </w:r>
          </w:p>
        </w:tc>
        <w:tc>
          <w:tcPr>
            <w:tcW w:w="1146"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危险废物</w:t>
            </w:r>
          </w:p>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代码</w:t>
            </w:r>
          </w:p>
        </w:tc>
        <w:tc>
          <w:tcPr>
            <w:tcW w:w="734"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产生量</w:t>
            </w:r>
          </w:p>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（t/a）</w:t>
            </w:r>
          </w:p>
        </w:tc>
        <w:tc>
          <w:tcPr>
            <w:tcW w:w="592"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产生</w:t>
            </w:r>
          </w:p>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工</w:t>
            </w:r>
          </w:p>
        </w:tc>
        <w:tc>
          <w:tcPr>
            <w:tcW w:w="524"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形态</w:t>
            </w:r>
          </w:p>
        </w:tc>
        <w:tc>
          <w:tcPr>
            <w:tcW w:w="808"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主要</w:t>
            </w:r>
          </w:p>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成分</w:t>
            </w:r>
          </w:p>
        </w:tc>
        <w:tc>
          <w:tcPr>
            <w:tcW w:w="808"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有害</w:t>
            </w:r>
          </w:p>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成分</w:t>
            </w:r>
          </w:p>
        </w:tc>
        <w:tc>
          <w:tcPr>
            <w:tcW w:w="581"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产废周期</w:t>
            </w:r>
          </w:p>
        </w:tc>
        <w:tc>
          <w:tcPr>
            <w:tcW w:w="594"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危险</w:t>
            </w:r>
          </w:p>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特性</w:t>
            </w:r>
          </w:p>
        </w:tc>
        <w:tc>
          <w:tcPr>
            <w:tcW w:w="810"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污染防治措施</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108" w:type="dxa"/>
            <w:bottom w:w="0" w:type="dxa"/>
            <w:right w:w="108" w:type="dxa"/>
          </w:tblCellMar>
        </w:tblPrEx>
        <w:trPr>
          <w:trHeight w:val="454" w:hRule="atLeast"/>
          <w:jc w:val="center"/>
        </w:trPr>
        <w:tc>
          <w:tcPr>
            <w:tcW w:w="575"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废活性炭</w:t>
            </w:r>
          </w:p>
        </w:tc>
        <w:tc>
          <w:tcPr>
            <w:tcW w:w="774"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HW49</w:t>
            </w:r>
          </w:p>
        </w:tc>
        <w:tc>
          <w:tcPr>
            <w:tcW w:w="1146"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szCs w:val="21"/>
                <w:highlight w:val="none"/>
                <w14:textFill>
                  <w14:solidFill>
                    <w14:schemeClr w14:val="tx1"/>
                  </w14:solidFill>
                </w14:textFill>
              </w:rPr>
              <w:t>900-041-49</w:t>
            </w:r>
          </w:p>
        </w:tc>
        <w:tc>
          <w:tcPr>
            <w:tcW w:w="734"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rFonts w:hint="default"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1.0</w:t>
            </w:r>
          </w:p>
        </w:tc>
        <w:tc>
          <w:tcPr>
            <w:tcW w:w="592" w:type="dxa"/>
            <w:noWrap w:val="0"/>
            <w:tcMar>
              <w:top w:w="0" w:type="dxa"/>
              <w:left w:w="28" w:type="dxa"/>
              <w:bottom w:w="0" w:type="dxa"/>
              <w:right w:w="28" w:type="dxa"/>
            </w:tcMar>
            <w:vAlign w:val="center"/>
          </w:tcPr>
          <w:p>
            <w:pPr>
              <w:keepNext w:val="0"/>
              <w:keepLines w:val="0"/>
              <w:suppressLineNumbers w:val="0"/>
              <w:spacing w:before="0" w:beforeAutospacing="0" w:after="0" w:afterAutospacing="0"/>
              <w:ind w:left="0" w:right="0"/>
              <w:jc w:val="center"/>
              <w:rPr>
                <w:color w:val="000000" w:themeColor="text1"/>
                <w:szCs w:val="21"/>
                <w:highlight w:val="none"/>
                <w14:textFill>
                  <w14:solidFill>
                    <w14:schemeClr w14:val="tx1"/>
                  </w14:solidFill>
                </w14:textFill>
              </w:rPr>
            </w:pPr>
            <w:r>
              <w:rPr>
                <w:rFonts w:hint="eastAsia"/>
                <w:color w:val="000000" w:themeColor="text1"/>
                <w:kern w:val="0"/>
                <w:szCs w:val="21"/>
                <w:highlight w:val="none"/>
                <w:lang w:eastAsia="zh-CN"/>
                <w14:textFill>
                  <w14:solidFill>
                    <w14:schemeClr w14:val="tx1"/>
                  </w14:solidFill>
                </w14:textFill>
              </w:rPr>
              <w:t>废气处理</w:t>
            </w:r>
          </w:p>
        </w:tc>
        <w:tc>
          <w:tcPr>
            <w:tcW w:w="524"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固</w:t>
            </w:r>
          </w:p>
        </w:tc>
        <w:tc>
          <w:tcPr>
            <w:tcW w:w="808"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vertAlign w:val="subscript"/>
                <w14:textFill>
                  <w14:solidFill>
                    <w14:schemeClr w14:val="tx1"/>
                  </w14:solidFill>
                </w14:textFill>
              </w:rPr>
            </w:pPr>
            <w:r>
              <w:rPr>
                <w:color w:val="000000" w:themeColor="text1"/>
                <w:szCs w:val="21"/>
                <w:highlight w:val="none"/>
                <w14:textFill>
                  <w14:solidFill>
                    <w14:schemeClr w14:val="tx1"/>
                  </w14:solidFill>
                </w14:textFill>
              </w:rPr>
              <w:t>活性炭、VOC</w:t>
            </w:r>
            <w:r>
              <w:rPr>
                <w:color w:val="000000" w:themeColor="text1"/>
                <w:szCs w:val="21"/>
                <w:highlight w:val="none"/>
                <w:vertAlign w:val="subscript"/>
                <w14:textFill>
                  <w14:solidFill>
                    <w14:schemeClr w14:val="tx1"/>
                  </w14:solidFill>
                </w14:textFill>
              </w:rPr>
              <w:t>S</w:t>
            </w:r>
          </w:p>
        </w:tc>
        <w:tc>
          <w:tcPr>
            <w:tcW w:w="808"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VOC</w:t>
            </w:r>
            <w:r>
              <w:rPr>
                <w:color w:val="000000" w:themeColor="text1"/>
                <w:szCs w:val="21"/>
                <w:highlight w:val="none"/>
                <w:vertAlign w:val="subscript"/>
                <w14:textFill>
                  <w14:solidFill>
                    <w14:schemeClr w14:val="tx1"/>
                  </w14:solidFill>
                </w14:textFill>
              </w:rPr>
              <w:t>S</w:t>
            </w:r>
          </w:p>
        </w:tc>
        <w:tc>
          <w:tcPr>
            <w:tcW w:w="581"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12个月</w:t>
            </w:r>
          </w:p>
        </w:tc>
        <w:tc>
          <w:tcPr>
            <w:tcW w:w="594"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T</w:t>
            </w:r>
          </w:p>
        </w:tc>
        <w:tc>
          <w:tcPr>
            <w:tcW w:w="810" w:type="dxa"/>
            <w:vMerge w:val="restart"/>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集中收集，定期委托有资质单位处置</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4" w:space="0"/>
          </w:tblBorders>
          <w:tblCellMar>
            <w:top w:w="0" w:type="dxa"/>
            <w:left w:w="108" w:type="dxa"/>
            <w:bottom w:w="0" w:type="dxa"/>
            <w:right w:w="108" w:type="dxa"/>
          </w:tblCellMar>
        </w:tblPrEx>
        <w:trPr>
          <w:trHeight w:val="454" w:hRule="atLeast"/>
          <w:jc w:val="center"/>
        </w:trPr>
        <w:tc>
          <w:tcPr>
            <w:tcW w:w="575"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废原料桶</w:t>
            </w:r>
          </w:p>
        </w:tc>
        <w:tc>
          <w:tcPr>
            <w:tcW w:w="774"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HW49</w:t>
            </w:r>
          </w:p>
        </w:tc>
        <w:tc>
          <w:tcPr>
            <w:tcW w:w="1146"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900-041-49</w:t>
            </w:r>
          </w:p>
        </w:tc>
        <w:tc>
          <w:tcPr>
            <w:tcW w:w="734"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1</w:t>
            </w:r>
            <w:r>
              <w:rPr>
                <w:color w:val="000000" w:themeColor="text1"/>
                <w:szCs w:val="21"/>
                <w:highlight w:val="none"/>
                <w14:textFill>
                  <w14:solidFill>
                    <w14:schemeClr w14:val="tx1"/>
                  </w14:solidFill>
                </w14:textFill>
              </w:rPr>
              <w:t>.0</w:t>
            </w:r>
          </w:p>
        </w:tc>
        <w:tc>
          <w:tcPr>
            <w:tcW w:w="592"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rFonts w:hint="eastAsia" w:eastAsia="宋体"/>
                <w:color w:val="000000" w:themeColor="text1"/>
                <w:kern w:val="0"/>
                <w:szCs w:val="21"/>
                <w:highlight w:val="none"/>
                <w:lang w:eastAsia="zh-CN"/>
                <w14:textFill>
                  <w14:solidFill>
                    <w14:schemeClr w14:val="tx1"/>
                  </w14:solidFill>
                </w14:textFill>
              </w:rPr>
            </w:pPr>
            <w:r>
              <w:rPr>
                <w:rFonts w:hint="eastAsia"/>
                <w:color w:val="000000" w:themeColor="text1"/>
                <w:kern w:val="0"/>
                <w:szCs w:val="21"/>
                <w:highlight w:val="none"/>
                <w:lang w:val="en-US" w:eastAsia="zh-CN"/>
                <w14:textFill>
                  <w14:solidFill>
                    <w14:schemeClr w14:val="tx1"/>
                  </w14:solidFill>
                </w14:textFill>
              </w:rPr>
              <w:t>点胶</w:t>
            </w:r>
          </w:p>
        </w:tc>
        <w:tc>
          <w:tcPr>
            <w:tcW w:w="524"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固</w:t>
            </w:r>
          </w:p>
        </w:tc>
        <w:tc>
          <w:tcPr>
            <w:tcW w:w="808"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铁桶</w:t>
            </w:r>
            <w:r>
              <w:rPr>
                <w:color w:val="000000" w:themeColor="text1"/>
                <w:szCs w:val="21"/>
                <w:highlight w:val="none"/>
                <w14:textFill>
                  <w14:solidFill>
                    <w14:schemeClr w14:val="tx1"/>
                  </w14:solidFill>
                </w14:textFill>
              </w:rPr>
              <w:t>VOC</w:t>
            </w:r>
            <w:r>
              <w:rPr>
                <w:color w:val="000000" w:themeColor="text1"/>
                <w:szCs w:val="21"/>
                <w:highlight w:val="none"/>
                <w:vertAlign w:val="subscript"/>
                <w14:textFill>
                  <w14:solidFill>
                    <w14:schemeClr w14:val="tx1"/>
                  </w14:solidFill>
                </w14:textFill>
              </w:rPr>
              <w:t>S</w:t>
            </w:r>
          </w:p>
        </w:tc>
        <w:tc>
          <w:tcPr>
            <w:tcW w:w="808"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VOC</w:t>
            </w:r>
            <w:r>
              <w:rPr>
                <w:color w:val="000000" w:themeColor="text1"/>
                <w:szCs w:val="21"/>
                <w:highlight w:val="none"/>
                <w:vertAlign w:val="subscript"/>
                <w14:textFill>
                  <w14:solidFill>
                    <w14:schemeClr w14:val="tx1"/>
                  </w14:solidFill>
                </w14:textFill>
              </w:rPr>
              <w:t>S</w:t>
            </w:r>
          </w:p>
        </w:tc>
        <w:tc>
          <w:tcPr>
            <w:tcW w:w="581"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6个月</w:t>
            </w:r>
          </w:p>
        </w:tc>
        <w:tc>
          <w:tcPr>
            <w:tcW w:w="594" w:type="dxa"/>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T</w:t>
            </w:r>
          </w:p>
        </w:tc>
        <w:tc>
          <w:tcPr>
            <w:tcW w:w="810" w:type="dxa"/>
            <w:vMerge w:val="continue"/>
            <w:noWrap w:val="0"/>
            <w:tcMar>
              <w:top w:w="0" w:type="dxa"/>
              <w:left w:w="28" w:type="dxa"/>
              <w:bottom w:w="0" w:type="dxa"/>
              <w:right w:w="28" w:type="dxa"/>
            </w:tcMar>
            <w:vAlign w:val="center"/>
          </w:tcPr>
          <w:p>
            <w:pPr>
              <w:keepNext w:val="0"/>
              <w:keepLines w:val="0"/>
              <w:suppressLineNumbers w:val="0"/>
              <w:tabs>
                <w:tab w:val="right" w:pos="7832"/>
              </w:tabs>
              <w:spacing w:before="0" w:beforeAutospacing="0" w:after="0" w:afterAutospacing="0"/>
              <w:ind w:left="0" w:right="0"/>
              <w:jc w:val="center"/>
              <w:rPr>
                <w:color w:val="000000" w:themeColor="text1"/>
                <w:szCs w:val="21"/>
                <w:highlight w:val="none"/>
                <w14:textFill>
                  <w14:solidFill>
                    <w14:schemeClr w14:val="tx1"/>
                  </w14:solidFill>
                </w14:textFill>
              </w:rPr>
            </w:pPr>
          </w:p>
        </w:tc>
      </w:tr>
    </w:tbl>
    <w:p>
      <w:pPr>
        <w:pStyle w:val="32"/>
        <w:rPr>
          <w:color w:val="000000" w:themeColor="text1"/>
          <w:highlight w:val="none"/>
          <w14:textFill>
            <w14:solidFill>
              <w14:schemeClr w14:val="tx1"/>
            </w14:solidFill>
          </w14:textFill>
        </w:rPr>
      </w:pPr>
    </w:p>
    <w:p>
      <w:pPr>
        <w:pStyle w:val="3"/>
        <w:bidi w:val="0"/>
        <w:rPr>
          <w:rFonts w:hint="default"/>
          <w:color w:val="000000" w:themeColor="text1"/>
          <w:highlight w:val="none"/>
          <w:lang w:val="en-US" w:eastAsia="zh-CN"/>
          <w14:textFill>
            <w14:solidFill>
              <w14:schemeClr w14:val="tx1"/>
            </w14:solidFill>
          </w14:textFill>
        </w:rPr>
      </w:pPr>
      <w:bookmarkStart w:id="212" w:name="_Toc21839"/>
      <w:r>
        <w:rPr>
          <w:rFonts w:hint="eastAsia"/>
          <w:color w:val="000000" w:themeColor="text1"/>
          <w:highlight w:val="none"/>
          <w:lang w:val="en-US" w:eastAsia="zh-CN"/>
          <w14:textFill>
            <w14:solidFill>
              <w14:schemeClr w14:val="tx1"/>
            </w14:solidFill>
          </w14:textFill>
        </w:rPr>
        <w:t>2.7</w:t>
      </w:r>
      <w:r>
        <w:rPr>
          <w:rFonts w:hint="default"/>
          <w:color w:val="000000" w:themeColor="text1"/>
          <w:highlight w:val="none"/>
          <w:lang w:val="en-US" w:eastAsia="zh-CN"/>
          <w14:textFill>
            <w14:solidFill>
              <w14:schemeClr w14:val="tx1"/>
            </w14:solidFill>
          </w14:textFill>
        </w:rPr>
        <w:t>环境风险识别</w:t>
      </w:r>
      <w:bookmarkEnd w:id="212"/>
    </w:p>
    <w:p>
      <w:pPr>
        <w:pStyle w:val="20"/>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right="0"/>
        <w:jc w:val="both"/>
        <w:textAlignment w:val="auto"/>
        <w:rPr>
          <w:rFonts w:hint="default" w:ascii="Times New Roman" w:hAnsi="Times New Roman" w:eastAsia="宋体" w:cs="Times New Roman"/>
          <w:b/>
          <w:bCs/>
          <w:color w:val="000000" w:themeColor="text1"/>
          <w:sz w:val="24"/>
          <w:szCs w:val="24"/>
          <w:highlight w:val="none"/>
          <w14:textFill>
            <w14:solidFill>
              <w14:schemeClr w14:val="tx1"/>
            </w14:solidFill>
          </w14:textFill>
        </w:rPr>
      </w:pPr>
      <w:r>
        <w:rPr>
          <w:rFonts w:hint="eastAsia" w:cs="Times New Roman"/>
          <w:b/>
          <w:bCs/>
          <w:color w:val="000000" w:themeColor="text1"/>
          <w:sz w:val="24"/>
          <w:szCs w:val="24"/>
          <w:highlight w:val="none"/>
          <w:lang w:val="en-US" w:eastAsia="zh-CN"/>
          <w14:textFill>
            <w14:solidFill>
              <w14:schemeClr w14:val="tx1"/>
            </w14:solidFill>
          </w14:textFill>
        </w:rPr>
        <w:t>2.7</w:t>
      </w:r>
      <w:r>
        <w:rPr>
          <w:rFonts w:hint="default" w:ascii="Times New Roman" w:hAnsi="Times New Roman" w:eastAsia="宋体" w:cs="Times New Roman"/>
          <w:b/>
          <w:bCs/>
          <w:color w:val="000000" w:themeColor="text1"/>
          <w:sz w:val="24"/>
          <w:szCs w:val="24"/>
          <w:highlight w:val="none"/>
          <w14:textFill>
            <w14:solidFill>
              <w14:schemeClr w14:val="tx1"/>
            </w14:solidFill>
          </w14:textFill>
        </w:rPr>
        <w:t>. 1.重大危险源辨识</w:t>
      </w:r>
    </w:p>
    <w:p>
      <w:pPr>
        <w:pStyle w:val="20"/>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left="0" w:leftChars="0" w:right="0" w:firstLine="480" w:firstLineChars="200"/>
        <w:jc w:val="center"/>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p>
    <w:p>
      <w:pPr>
        <w:pStyle w:val="20"/>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ind w:right="0" w:firstLine="480" w:firstLineChars="200"/>
        <w:jc w:val="both"/>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《建设项目环境风险评价技术导则》（HJ/T169-2004)中附录A.1中关于物质危险性标准见表</w:t>
      </w:r>
      <w:r>
        <w:rPr>
          <w:rFonts w:hint="eastAsia" w:cs="Times New Roman"/>
          <w:b w:val="0"/>
          <w:bCs w:val="0"/>
          <w:color w:val="000000" w:themeColor="text1"/>
          <w:kern w:val="2"/>
          <w:sz w:val="24"/>
          <w:szCs w:val="24"/>
          <w:highlight w:val="none"/>
          <w:lang w:val="en-US" w:eastAsia="zh-CN" w:bidi="ar-SA"/>
          <w14:textFill>
            <w14:solidFill>
              <w14:schemeClr w14:val="tx1"/>
            </w14:solidFill>
          </w14:textFill>
        </w:rPr>
        <w:t>2.7</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-1.</w:t>
      </w:r>
    </w:p>
    <w:p>
      <w:pPr>
        <w:pStyle w:val="20"/>
        <w:keepNext w:val="0"/>
        <w:keepLines w:val="0"/>
        <w:pageBreakBefore w:val="0"/>
        <w:kinsoku/>
        <w:wordWrap/>
        <w:overflowPunct/>
        <w:topLinePunct w:val="0"/>
        <w:bidi w:val="0"/>
        <w:spacing w:before="0" w:beforeAutospacing="0" w:after="0" w:afterAutospacing="0" w:line="360" w:lineRule="auto"/>
        <w:ind w:left="0" w:leftChars="0" w:right="0" w:firstLine="240" w:firstLineChars="200"/>
        <w:rPr>
          <w:rFonts w:hint="default" w:ascii="Times New Roman" w:hAnsi="Times New Roman" w:eastAsia="宋体" w:cs="Times New Roman"/>
          <w:color w:val="000000" w:themeColor="text1"/>
          <w:sz w:val="12"/>
          <w:highlight w:val="none"/>
          <w14:textFill>
            <w14:solidFill>
              <w14:schemeClr w14:val="tx1"/>
            </w14:solidFill>
          </w14:textFill>
        </w:rPr>
      </w:pPr>
    </w:p>
    <w:p>
      <w:pPr>
        <w:pStyle w:val="20"/>
        <w:keepNext w:val="0"/>
        <w:keepLines w:val="0"/>
        <w:pageBreakBefore w:val="0"/>
        <w:kinsoku/>
        <w:wordWrap/>
        <w:overflowPunct/>
        <w:topLinePunct w:val="0"/>
        <w:bidi w:val="0"/>
        <w:spacing w:before="0" w:beforeAutospacing="0" w:after="0" w:afterAutospacing="0" w:line="360" w:lineRule="auto"/>
        <w:ind w:left="0" w:leftChars="0" w:right="0" w:firstLine="422" w:firstLineChars="200"/>
        <w:jc w:val="center"/>
        <w:rPr>
          <w:rFonts w:hint="default" w:ascii="Times New Roman" w:hAnsi="Times New Roman" w:eastAsia="宋体" w:cs="Times New Roman"/>
          <w:b/>
          <w:bCs/>
          <w:color w:val="000000" w:themeColor="text1"/>
          <w:highlight w:val="none"/>
          <w14:textFill>
            <w14:solidFill>
              <w14:schemeClr w14:val="tx1"/>
            </w14:solidFill>
          </w14:textFill>
        </w:rPr>
      </w:pPr>
      <w:r>
        <w:rPr>
          <w:rFonts w:hint="default" w:ascii="Times New Roman" w:hAnsi="Times New Roman" w:eastAsia="宋体" w:cs="Times New Roman"/>
          <w:b/>
          <w:bCs/>
          <w:color w:val="000000" w:themeColor="text1"/>
          <w:highlight w:val="none"/>
          <w14:textFill>
            <w14:solidFill>
              <w14:schemeClr w14:val="tx1"/>
            </w14:solidFill>
          </w14:textFill>
        </w:rPr>
        <w:t xml:space="preserve">表 </w:t>
      </w:r>
      <w:r>
        <w:rPr>
          <w:rFonts w:hint="eastAsia" w:cs="Times New Roman"/>
          <w:b/>
          <w:bCs/>
          <w:color w:val="000000" w:themeColor="text1"/>
          <w:highlight w:val="none"/>
          <w:lang w:val="en-US" w:eastAsia="zh-CN"/>
          <w14:textFill>
            <w14:solidFill>
              <w14:schemeClr w14:val="tx1"/>
            </w14:solidFill>
          </w14:textFill>
        </w:rPr>
        <w:t>2.7</w:t>
      </w:r>
      <w:r>
        <w:rPr>
          <w:rFonts w:hint="default" w:ascii="Times New Roman" w:hAnsi="Times New Roman" w:eastAsia="宋体" w:cs="Times New Roman"/>
          <w:b/>
          <w:bCs/>
          <w:color w:val="000000" w:themeColor="text1"/>
          <w:highlight w:val="none"/>
          <w14:textFill>
            <w14:solidFill>
              <w14:schemeClr w14:val="tx1"/>
            </w14:solidFill>
          </w14:textFill>
        </w:rPr>
        <w:t>-</w:t>
      </w:r>
      <w:r>
        <w:rPr>
          <w:rFonts w:hint="eastAsia" w:ascii="Times New Roman" w:hAnsi="Times New Roman" w:cs="Times New Roman"/>
          <w:b/>
          <w:bCs/>
          <w:color w:val="000000" w:themeColor="text1"/>
          <w:highlight w:val="none"/>
          <w:lang w:val="en-US" w:eastAsia="zh-CN"/>
          <w14:textFill>
            <w14:solidFill>
              <w14:schemeClr w14:val="tx1"/>
            </w14:solidFill>
          </w14:textFill>
        </w:rPr>
        <w:t>1</w:t>
      </w:r>
      <w:r>
        <w:rPr>
          <w:rFonts w:hint="default" w:ascii="Times New Roman" w:hAnsi="Times New Roman" w:eastAsia="宋体" w:cs="Times New Roman"/>
          <w:b/>
          <w:bCs/>
          <w:color w:val="000000" w:themeColor="text1"/>
          <w:highlight w:val="none"/>
          <w14:textFill>
            <w14:solidFill>
              <w14:schemeClr w14:val="tx1"/>
            </w14:solidFill>
          </w14:textFill>
        </w:rPr>
        <w:t xml:space="preserve">  物质危险性标准</w:t>
      </w:r>
    </w:p>
    <w:tbl>
      <w:tblPr>
        <w:tblStyle w:val="48"/>
        <w:tblW w:w="0" w:type="auto"/>
        <w:tblInd w:w="28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674"/>
        <w:gridCol w:w="864"/>
        <w:gridCol w:w="2326"/>
        <w:gridCol w:w="2208"/>
        <w:gridCol w:w="2527"/>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3" w:hRule="atLeast"/>
        </w:trPr>
        <w:tc>
          <w:tcPr>
            <w:tcW w:w="674" w:type="dxa"/>
            <w:tcBorders>
              <w:left w:val="nil"/>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物质</w:t>
            </w:r>
          </w:p>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类别</w:t>
            </w:r>
          </w:p>
        </w:tc>
        <w:tc>
          <w:tcPr>
            <w:tcW w:w="864" w:type="dxa"/>
            <w:tcBorders>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等级</w:t>
            </w:r>
          </w:p>
        </w:tc>
        <w:tc>
          <w:tcPr>
            <w:tcW w:w="2326" w:type="dxa"/>
            <w:tcBorders>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LD50 (大鼠经口)</w:t>
            </w:r>
          </w:p>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（mg/kg）</w:t>
            </w:r>
          </w:p>
        </w:tc>
        <w:tc>
          <w:tcPr>
            <w:tcW w:w="2208" w:type="dxa"/>
            <w:tcBorders>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LD50 (大鼠经皮)</w:t>
            </w:r>
          </w:p>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（mg/kg）</w:t>
            </w:r>
          </w:p>
        </w:tc>
        <w:tc>
          <w:tcPr>
            <w:tcW w:w="2527" w:type="dxa"/>
            <w:tcBorders>
              <w:left w:val="single" w:color="000000" w:sz="6" w:space="0"/>
              <w:bottom w:val="single" w:color="000000" w:sz="6" w:space="0"/>
              <w:right w:val="nil"/>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LC50（小鼠吸入，4 小时）</w:t>
            </w:r>
          </w:p>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（mg/L）</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01" w:hRule="atLeast"/>
        </w:trPr>
        <w:tc>
          <w:tcPr>
            <w:tcW w:w="674" w:type="dxa"/>
            <w:vMerge w:val="restart"/>
            <w:tcBorders>
              <w:top w:val="single" w:color="000000" w:sz="6" w:space="0"/>
              <w:left w:val="nil"/>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p>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有毒物质</w:t>
            </w:r>
          </w:p>
        </w:tc>
        <w:tc>
          <w:tcPr>
            <w:tcW w:w="864"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1</w:t>
            </w:r>
          </w:p>
        </w:tc>
        <w:tc>
          <w:tcPr>
            <w:tcW w:w="2326"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&lt;5</w:t>
            </w:r>
          </w:p>
        </w:tc>
        <w:tc>
          <w:tcPr>
            <w:tcW w:w="2208"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&lt;10</w:t>
            </w:r>
          </w:p>
        </w:tc>
        <w:tc>
          <w:tcPr>
            <w:tcW w:w="2527" w:type="dxa"/>
            <w:tcBorders>
              <w:top w:val="single" w:color="000000" w:sz="6" w:space="0"/>
              <w:left w:val="single" w:color="000000" w:sz="6" w:space="0"/>
              <w:bottom w:val="single" w:color="000000" w:sz="6" w:space="0"/>
              <w:right w:val="nil"/>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&lt;0.1</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313" w:hRule="atLeast"/>
        </w:trPr>
        <w:tc>
          <w:tcPr>
            <w:tcW w:w="674" w:type="dxa"/>
            <w:vMerge w:val="continue"/>
            <w:tcBorders>
              <w:top w:val="nil"/>
              <w:left w:val="nil"/>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p>
        </w:tc>
        <w:tc>
          <w:tcPr>
            <w:tcW w:w="864"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2</w:t>
            </w:r>
          </w:p>
        </w:tc>
        <w:tc>
          <w:tcPr>
            <w:tcW w:w="2326"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5&lt;LD50&lt;25</w:t>
            </w:r>
          </w:p>
        </w:tc>
        <w:tc>
          <w:tcPr>
            <w:tcW w:w="2208"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10&lt;LD50&lt;50</w:t>
            </w:r>
          </w:p>
        </w:tc>
        <w:tc>
          <w:tcPr>
            <w:tcW w:w="2527" w:type="dxa"/>
            <w:tcBorders>
              <w:top w:val="single" w:color="000000" w:sz="6" w:space="0"/>
              <w:left w:val="single" w:color="000000" w:sz="6" w:space="0"/>
              <w:bottom w:val="single" w:color="000000" w:sz="6" w:space="0"/>
              <w:right w:val="nil"/>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0.1&lt;LC50&lt;0.5</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299" w:hRule="atLeast"/>
        </w:trPr>
        <w:tc>
          <w:tcPr>
            <w:tcW w:w="674" w:type="dxa"/>
            <w:vMerge w:val="continue"/>
            <w:tcBorders>
              <w:top w:val="nil"/>
              <w:left w:val="nil"/>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p>
        </w:tc>
        <w:tc>
          <w:tcPr>
            <w:tcW w:w="864"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3</w:t>
            </w:r>
          </w:p>
        </w:tc>
        <w:tc>
          <w:tcPr>
            <w:tcW w:w="2326"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25&lt;LD50&lt;200</w:t>
            </w:r>
          </w:p>
        </w:tc>
        <w:tc>
          <w:tcPr>
            <w:tcW w:w="2208"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50&lt;LD50&lt;400</w:t>
            </w:r>
          </w:p>
        </w:tc>
        <w:tc>
          <w:tcPr>
            <w:tcW w:w="2527" w:type="dxa"/>
            <w:tcBorders>
              <w:top w:val="single" w:color="000000" w:sz="6" w:space="0"/>
              <w:left w:val="single" w:color="000000" w:sz="6" w:space="0"/>
              <w:bottom w:val="single" w:color="000000" w:sz="6" w:space="0"/>
              <w:right w:val="nil"/>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0.5&lt;LC50&lt;2</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4" w:hRule="atLeast"/>
        </w:trPr>
        <w:tc>
          <w:tcPr>
            <w:tcW w:w="674" w:type="dxa"/>
            <w:vMerge w:val="restart"/>
            <w:tcBorders>
              <w:top w:val="single" w:color="000000" w:sz="6" w:space="0"/>
              <w:left w:val="nil"/>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p>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p>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易燃</w:t>
            </w:r>
          </w:p>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物质</w:t>
            </w:r>
          </w:p>
        </w:tc>
        <w:tc>
          <w:tcPr>
            <w:tcW w:w="864"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1</w:t>
            </w:r>
          </w:p>
        </w:tc>
        <w:tc>
          <w:tcPr>
            <w:tcW w:w="7061" w:type="dxa"/>
            <w:gridSpan w:val="3"/>
            <w:tcBorders>
              <w:top w:val="single" w:color="000000" w:sz="6" w:space="0"/>
              <w:left w:val="single" w:color="000000" w:sz="6" w:space="0"/>
              <w:bottom w:val="single" w:color="000000" w:sz="6" w:space="0"/>
              <w:right w:val="nil"/>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可燃气体－在常压下以气态存在并与空气混合形成可燃混合物；其沸点（常压下）是 20℃或 20℃以下的物质</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2" w:hRule="atLeast"/>
        </w:trPr>
        <w:tc>
          <w:tcPr>
            <w:tcW w:w="674" w:type="dxa"/>
            <w:vMerge w:val="continue"/>
            <w:tcBorders>
              <w:top w:val="nil"/>
              <w:left w:val="nil"/>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p>
        </w:tc>
        <w:tc>
          <w:tcPr>
            <w:tcW w:w="864"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2</w:t>
            </w:r>
          </w:p>
        </w:tc>
        <w:tc>
          <w:tcPr>
            <w:tcW w:w="7061" w:type="dxa"/>
            <w:gridSpan w:val="3"/>
            <w:tcBorders>
              <w:top w:val="single" w:color="000000" w:sz="6" w:space="0"/>
              <w:left w:val="single" w:color="000000" w:sz="6" w:space="0"/>
              <w:bottom w:val="single" w:color="000000" w:sz="6" w:space="0"/>
              <w:right w:val="nil"/>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易燃液体－闪点低于 21℃，沸点高于 20℃的物质</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4" w:hRule="atLeast"/>
        </w:trPr>
        <w:tc>
          <w:tcPr>
            <w:tcW w:w="674" w:type="dxa"/>
            <w:vMerge w:val="continue"/>
            <w:tcBorders>
              <w:top w:val="nil"/>
              <w:left w:val="nil"/>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p>
        </w:tc>
        <w:tc>
          <w:tcPr>
            <w:tcW w:w="864"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3</w:t>
            </w:r>
          </w:p>
        </w:tc>
        <w:tc>
          <w:tcPr>
            <w:tcW w:w="7061" w:type="dxa"/>
            <w:gridSpan w:val="3"/>
            <w:tcBorders>
              <w:top w:val="single" w:color="000000" w:sz="6" w:space="0"/>
              <w:left w:val="single" w:color="000000" w:sz="6" w:space="0"/>
              <w:bottom w:val="single" w:color="000000" w:sz="6" w:space="0"/>
              <w:right w:val="nil"/>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可燃液体－闪点低于 55℃，压力下保持液态，在实际操作条件下（如高温高压）可以引起重大事故的物质</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83" w:hRule="atLeast"/>
        </w:trPr>
        <w:tc>
          <w:tcPr>
            <w:tcW w:w="1538" w:type="dxa"/>
            <w:gridSpan w:val="2"/>
            <w:tcBorders>
              <w:top w:val="single" w:color="000000" w:sz="6" w:space="0"/>
              <w:left w:val="nil"/>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爆炸性物质</w:t>
            </w:r>
          </w:p>
        </w:tc>
        <w:tc>
          <w:tcPr>
            <w:tcW w:w="7061" w:type="dxa"/>
            <w:gridSpan w:val="3"/>
            <w:tcBorders>
              <w:top w:val="single" w:color="000000" w:sz="6" w:space="0"/>
              <w:left w:val="single" w:color="000000" w:sz="6" w:space="0"/>
              <w:right w:val="nil"/>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在火焰影响下可以爆炸，或者对冲击、摩擦比硝基苯更为敏感的物质</w:t>
            </w:r>
          </w:p>
        </w:tc>
      </w:tr>
    </w:tbl>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注：（1）符合有毒物质判定标准序号为 1、2 的物质，属于剧毒物质；符合有毒物质判定标准序号 3 的属于一般毒物。</w:t>
      </w:r>
    </w:p>
    <w:p>
      <w:pPr>
        <w:keepNext w:val="0"/>
        <w:keepLines w:val="0"/>
        <w:pageBreakBefore w:val="0"/>
        <w:widowControl w:val="0"/>
        <w:numPr>
          <w:ilvl w:val="0"/>
          <w:numId w:val="3"/>
        </w:numPr>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凡符合易燃物质和爆炸性物质标准的物质， 均视为火灾、爆炸危险物质。</w:t>
      </w:r>
    </w:p>
    <w:p>
      <w:pPr>
        <w:keepNext w:val="0"/>
        <w:keepLines w:val="0"/>
        <w:widowControl w:val="0"/>
        <w:suppressLineNumbers w:val="0"/>
        <w:snapToGrid w:val="0"/>
        <w:spacing w:before="0" w:beforeAutospacing="0" w:after="0" w:afterAutospacing="0" w:line="360" w:lineRule="auto"/>
        <w:ind w:left="0" w:right="0" w:firstLine="480" w:firstLineChars="200"/>
        <w:jc w:val="both"/>
        <w:rPr>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根据《建设项目环境风险评价技术导则》</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(HJ 169-2018)</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中附录</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C</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，计算所涉及的每种危险物质在厂界内的最大存在总量与其在附录</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B</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中对应临界量的比值</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 xml:space="preserve"> Q</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。在不同厂区的同一种物质，按其在厂界内的最大存在总量计算。对于长输管线项目，按照两个截断阀室之间管段危险物质最大存在总量计算。</w:t>
      </w:r>
    </w:p>
    <w:p>
      <w:pPr>
        <w:keepNext w:val="0"/>
        <w:keepLines w:val="0"/>
        <w:widowControl w:val="0"/>
        <w:suppressLineNumbers w:val="0"/>
        <w:snapToGrid w:val="0"/>
        <w:spacing w:before="0" w:beforeAutospacing="0" w:after="0" w:afterAutospacing="0" w:line="360" w:lineRule="auto"/>
        <w:ind w:left="0" w:right="0" w:firstLine="480" w:firstLineChars="200"/>
        <w:jc w:val="both"/>
        <w:rPr>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当只涉及一种危险物质时，计算该物质的总量与其临界量比值，即为</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Q</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 xml:space="preserve"> </w:t>
      </w:r>
    </w:p>
    <w:p>
      <w:pPr>
        <w:keepNext w:val="0"/>
        <w:keepLines w:val="0"/>
        <w:widowControl w:val="0"/>
        <w:suppressLineNumbers w:val="0"/>
        <w:snapToGrid w:val="0"/>
        <w:spacing w:before="0" w:beforeAutospacing="0" w:after="0" w:afterAutospacing="0" w:line="360" w:lineRule="auto"/>
        <w:ind w:left="0" w:right="0" w:firstLine="480" w:firstLineChars="200"/>
        <w:jc w:val="both"/>
        <w:rPr>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当存在多种危险物质时，则按下式计算物质总量与其临界量比值（</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Q</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w:t>
      </w:r>
    </w:p>
    <w:p>
      <w:pPr>
        <w:keepNext w:val="0"/>
        <w:keepLines w:val="0"/>
        <w:widowControl w:val="0"/>
        <w:suppressLineNumbers w:val="0"/>
        <w:snapToGrid w:val="0"/>
        <w:spacing w:before="0" w:beforeAutospacing="0" w:after="0" w:afterAutospacing="0" w:line="360" w:lineRule="auto"/>
        <w:ind w:left="0" w:right="0" w:firstLine="480" w:firstLineChars="200"/>
        <w:jc w:val="both"/>
        <w:rPr>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drawing>
          <wp:inline distT="0" distB="0" distL="114300" distR="114300">
            <wp:extent cx="1390650" cy="447675"/>
            <wp:effectExtent l="0" t="0" r="0" b="9525"/>
            <wp:docPr id="37"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8"/>
                    <pic:cNvPicPr>
                      <a:picLocks noChangeAspect="1"/>
                    </pic:cNvPicPr>
                  </pic:nvPicPr>
                  <pic:blipFill>
                    <a:blip r:embed="rId23"/>
                    <a:stretch>
                      <a:fillRect/>
                    </a:stretch>
                  </pic:blipFill>
                  <pic:spPr>
                    <a:xfrm>
                      <a:off x="0" y="0"/>
                      <a:ext cx="1390650" cy="447675"/>
                    </a:xfrm>
                    <a:prstGeom prst="rect">
                      <a:avLst/>
                    </a:prstGeom>
                    <a:noFill/>
                    <a:ln>
                      <a:noFill/>
                    </a:ln>
                  </pic:spPr>
                </pic:pic>
              </a:graphicData>
            </a:graphic>
          </wp:inline>
        </w:drawing>
      </w:r>
    </w:p>
    <w:p>
      <w:pPr>
        <w:keepNext w:val="0"/>
        <w:keepLines w:val="0"/>
        <w:widowControl w:val="0"/>
        <w:suppressLineNumbers w:val="0"/>
        <w:snapToGrid w:val="0"/>
        <w:spacing w:before="0" w:beforeAutospacing="0" w:after="0" w:afterAutospacing="0" w:line="360" w:lineRule="auto"/>
        <w:ind w:left="0" w:right="0" w:firstLine="480" w:firstLineChars="200"/>
        <w:jc w:val="both"/>
        <w:rPr>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危险物质数量与临界量的比值（</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Q</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）计算方法见如下公式：</w:t>
      </w:r>
    </w:p>
    <w:p>
      <w:pPr>
        <w:keepNext w:val="0"/>
        <w:keepLines w:val="0"/>
        <w:widowControl w:val="0"/>
        <w:suppressLineNumbers w:val="0"/>
        <w:snapToGrid w:val="0"/>
        <w:spacing w:before="0" w:beforeAutospacing="0" w:after="0" w:afterAutospacing="0" w:line="360" w:lineRule="auto"/>
        <w:ind w:left="0" w:right="0" w:firstLine="480" w:firstLineChars="200"/>
        <w:jc w:val="both"/>
        <w:rPr>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式中：</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q1</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q2</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…qn——</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每种危险物质的最大存在总量，</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t</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w:t>
      </w:r>
    </w:p>
    <w:p>
      <w:pPr>
        <w:keepNext w:val="0"/>
        <w:keepLines w:val="0"/>
        <w:widowControl w:val="0"/>
        <w:suppressLineNumbers w:val="0"/>
        <w:snapToGrid w:val="0"/>
        <w:spacing w:before="0" w:beforeAutospacing="0" w:after="0" w:afterAutospacing="0" w:line="360" w:lineRule="auto"/>
        <w:ind w:left="0" w:right="0" w:firstLine="480" w:firstLineChars="200"/>
        <w:jc w:val="both"/>
        <w:rPr>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Q1</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Q2</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…Qn——</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每种危险物质的临界量，</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t</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w:t>
      </w:r>
    </w:p>
    <w:p>
      <w:pPr>
        <w:keepNext w:val="0"/>
        <w:keepLines w:val="0"/>
        <w:widowControl w:val="0"/>
        <w:suppressLineNumbers w:val="0"/>
        <w:snapToGrid w:val="0"/>
        <w:spacing w:before="0" w:beforeAutospacing="0" w:after="0" w:afterAutospacing="0" w:line="360" w:lineRule="auto"/>
        <w:ind w:left="0" w:right="0" w:firstLine="480" w:firstLineChars="200"/>
        <w:jc w:val="both"/>
        <w:rPr>
          <w:color w:val="000000" w:themeColor="text1"/>
          <w:sz w:val="24"/>
          <w:szCs w:val="24"/>
          <w:highlight w:val="none"/>
          <w14:textFill>
            <w14:solidFill>
              <w14:schemeClr w14:val="tx1"/>
            </w14:solidFill>
          </w14:textFill>
        </w:rPr>
      </w:pP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当</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Q&lt;1</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时，该项目环境风险潜势为</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Ⅰ</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。当</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Q≥1</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时，将</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Q</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值划分为：（</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1</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1≤Q</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10</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2</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10≤Q</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100</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3</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w:t>
      </w:r>
      <w:r>
        <w:rPr>
          <w:rFonts w:hint="default" w:ascii="Times New Roman" w:hAnsi="Times New Roman" w:eastAsia="宋体" w:cs="Times New Roman"/>
          <w:color w:val="000000" w:themeColor="text1"/>
          <w:kern w:val="2"/>
          <w:sz w:val="24"/>
          <w:szCs w:val="24"/>
          <w:highlight w:val="none"/>
          <w:lang w:val="en-US" w:eastAsia="zh-CN" w:bidi="ar"/>
          <w14:textFill>
            <w14:solidFill>
              <w14:schemeClr w14:val="tx1"/>
            </w14:solidFill>
          </w14:textFill>
        </w:rPr>
        <w:t>Q≥100</w:t>
      </w:r>
      <w:r>
        <w:rPr>
          <w:rFonts w:hint="eastAsia" w:ascii="Times New Roman" w:hAnsi="Times New Roman" w:eastAsia="宋体" w:cs="宋体"/>
          <w:color w:val="000000" w:themeColor="text1"/>
          <w:kern w:val="2"/>
          <w:sz w:val="24"/>
          <w:szCs w:val="24"/>
          <w:highlight w:val="none"/>
          <w:lang w:val="en-US" w:eastAsia="zh-CN" w:bidi="ar"/>
          <w14:textFill>
            <w14:solidFill>
              <w14:schemeClr w14:val="tx1"/>
            </w14:solidFill>
          </w14:textFill>
        </w:rPr>
        <w:t>。</w:t>
      </w:r>
    </w:p>
    <w:p>
      <w:pPr>
        <w:keepNext w:val="0"/>
        <w:keepLines w:val="0"/>
        <w:widowControl w:val="0"/>
        <w:suppressLineNumbers w:val="0"/>
        <w:snapToGrid w:val="0"/>
        <w:spacing w:before="0" w:beforeAutospacing="0" w:after="0" w:afterAutospacing="0" w:line="360" w:lineRule="auto"/>
        <w:ind w:left="0" w:right="0"/>
        <w:jc w:val="center"/>
        <w:rPr>
          <w:color w:val="000000" w:themeColor="text1"/>
          <w:sz w:val="21"/>
          <w:szCs w:val="21"/>
          <w:highlight w:val="none"/>
          <w14:textFill>
            <w14:solidFill>
              <w14:schemeClr w14:val="tx1"/>
            </w14:solidFill>
          </w14:textFill>
        </w:rPr>
      </w:pPr>
      <w:r>
        <w:rPr>
          <w:rFonts w:hint="default" w:ascii="Times New Roman" w:hAnsi="Times New Roman" w:eastAsia="宋体" w:cs="Times New Roman"/>
          <w:b/>
          <w:bCs/>
          <w:color w:val="000000" w:themeColor="text1"/>
          <w:sz w:val="21"/>
          <w:szCs w:val="21"/>
          <w:highlight w:val="none"/>
          <w14:textFill>
            <w14:solidFill>
              <w14:schemeClr w14:val="tx1"/>
            </w14:solidFill>
          </w14:textFill>
        </w:rPr>
        <w:t xml:space="preserve">表 </w:t>
      </w:r>
      <w:r>
        <w:rPr>
          <w:rFonts w:hint="eastAsia" w:cs="Times New Roman"/>
          <w:b/>
          <w:bCs/>
          <w:color w:val="000000" w:themeColor="text1"/>
          <w:sz w:val="21"/>
          <w:szCs w:val="21"/>
          <w:highlight w:val="none"/>
          <w:lang w:val="en-US" w:eastAsia="zh-CN"/>
          <w14:textFill>
            <w14:solidFill>
              <w14:schemeClr w14:val="tx1"/>
            </w14:solidFill>
          </w14:textFill>
        </w:rPr>
        <w:t>2.7</w:t>
      </w:r>
      <w:r>
        <w:rPr>
          <w:rFonts w:hint="default" w:ascii="Times New Roman" w:hAnsi="Times New Roman" w:eastAsia="宋体" w:cs="Times New Roman"/>
          <w:b/>
          <w:bCs/>
          <w:color w:val="000000" w:themeColor="text1"/>
          <w:sz w:val="21"/>
          <w:szCs w:val="21"/>
          <w:highlight w:val="none"/>
          <w14:textFill>
            <w14:solidFill>
              <w14:schemeClr w14:val="tx1"/>
            </w14:solidFill>
          </w14:textFill>
        </w:rPr>
        <w:t>-</w:t>
      </w:r>
      <w:r>
        <w:rPr>
          <w:rFonts w:hint="eastAsia" w:ascii="Times New Roman" w:hAnsi="Times New Roman" w:eastAsia="宋体" w:cs="Times New Roman"/>
          <w:b/>
          <w:bCs/>
          <w:color w:val="000000" w:themeColor="text1"/>
          <w:sz w:val="21"/>
          <w:szCs w:val="21"/>
          <w:highlight w:val="none"/>
          <w:lang w:val="en-US" w:eastAsia="zh-CN"/>
          <w14:textFill>
            <w14:solidFill>
              <w14:schemeClr w14:val="tx1"/>
            </w14:solidFill>
          </w14:textFill>
        </w:rPr>
        <w:t xml:space="preserve">2 </w:t>
      </w:r>
      <w:r>
        <w:rPr>
          <w:rFonts w:hint="default" w:ascii="Times New Roman" w:hAnsi="Times New Roman" w:eastAsia="宋体" w:cs="Times New Roman"/>
          <w:b/>
          <w:bCs w:val="0"/>
          <w:color w:val="000000" w:themeColor="text1"/>
          <w:kern w:val="2"/>
          <w:sz w:val="21"/>
          <w:szCs w:val="21"/>
          <w:highlight w:val="none"/>
          <w:lang w:val="en-US" w:eastAsia="zh-CN" w:bidi="ar"/>
          <w14:textFill>
            <w14:solidFill>
              <w14:schemeClr w14:val="tx1"/>
            </w14:solidFill>
          </w14:textFill>
        </w:rPr>
        <w:t>Q</w:t>
      </w:r>
      <w:r>
        <w:rPr>
          <w:rFonts w:hint="eastAsia" w:ascii="Times New Roman" w:hAnsi="Times New Roman" w:eastAsia="宋体" w:cs="宋体"/>
          <w:b/>
          <w:bCs w:val="0"/>
          <w:color w:val="000000" w:themeColor="text1"/>
          <w:kern w:val="2"/>
          <w:sz w:val="21"/>
          <w:szCs w:val="21"/>
          <w:highlight w:val="none"/>
          <w:lang w:val="en-US" w:eastAsia="zh-CN" w:bidi="ar"/>
          <w14:textFill>
            <w14:solidFill>
              <w14:schemeClr w14:val="tx1"/>
            </w14:solidFill>
          </w14:textFill>
        </w:rPr>
        <w:t>值计算结果</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221"/>
        <w:gridCol w:w="2693"/>
        <w:gridCol w:w="1559"/>
        <w:gridCol w:w="2126"/>
        <w:gridCol w:w="14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21" w:type="dxa"/>
            <w:tcBorders>
              <w:top w:val="single" w:color="auto" w:sz="12" w:space="0"/>
              <w:left w:val="nil"/>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right="0"/>
              <w:jc w:val="center"/>
              <w:textAlignment w:val="auto"/>
              <w:rPr>
                <w:rFonts w:hint="default"/>
                <w:color w:val="000000" w:themeColor="text1"/>
                <w:kern w:val="2"/>
                <w:sz w:val="21"/>
                <w:szCs w:val="21"/>
                <w:highlight w:val="none"/>
                <w14:textFill>
                  <w14:solidFill>
                    <w14:schemeClr w14:val="tx1"/>
                  </w14:solidFill>
                </w14:textFill>
              </w:rPr>
            </w:pPr>
            <w:r>
              <w:rPr>
                <w:rFonts w:hint="eastAsia" w:ascii="Times New Roman" w:hAnsi="Times New Roman" w:eastAsia="宋体" w:cs="宋体"/>
                <w:color w:val="000000" w:themeColor="text1"/>
                <w:kern w:val="2"/>
                <w:sz w:val="21"/>
                <w:szCs w:val="21"/>
                <w:highlight w:val="none"/>
                <w:lang w:val="en-US" w:eastAsia="zh-CN" w:bidi="ar"/>
                <w14:textFill>
                  <w14:solidFill>
                    <w14:schemeClr w14:val="tx1"/>
                  </w14:solidFill>
                </w14:textFill>
              </w:rPr>
              <w:t>类别</w:t>
            </w:r>
          </w:p>
        </w:tc>
        <w:tc>
          <w:tcPr>
            <w:tcW w:w="2693" w:type="dxa"/>
            <w:tcBorders>
              <w:top w:val="single" w:color="auto" w:sz="12"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right="0"/>
              <w:jc w:val="center"/>
              <w:textAlignment w:val="auto"/>
              <w:rPr>
                <w:rFonts w:hint="default"/>
                <w:color w:val="FF0000"/>
                <w:kern w:val="2"/>
                <w:sz w:val="21"/>
                <w:szCs w:val="21"/>
                <w:highlight w:val="none"/>
              </w:rPr>
            </w:pPr>
            <w:r>
              <w:rPr>
                <w:rFonts w:hint="eastAsia" w:ascii="Times New Roman" w:hAnsi="Times New Roman" w:eastAsia="宋体" w:cs="宋体"/>
                <w:color w:val="FF0000"/>
                <w:kern w:val="2"/>
                <w:sz w:val="21"/>
                <w:szCs w:val="21"/>
                <w:highlight w:val="none"/>
                <w:lang w:val="en-US" w:eastAsia="zh-CN" w:bidi="ar"/>
              </w:rPr>
              <w:t>危险化学品名称和说明</w:t>
            </w:r>
          </w:p>
        </w:tc>
        <w:tc>
          <w:tcPr>
            <w:tcW w:w="1559" w:type="dxa"/>
            <w:tcBorders>
              <w:top w:val="single" w:color="auto" w:sz="12"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right="0"/>
              <w:jc w:val="center"/>
              <w:textAlignment w:val="auto"/>
              <w:rPr>
                <w:rFonts w:hint="default"/>
                <w:color w:val="FF0000"/>
                <w:kern w:val="2"/>
                <w:sz w:val="21"/>
                <w:szCs w:val="21"/>
                <w:highlight w:val="none"/>
              </w:rPr>
            </w:pPr>
            <w:r>
              <w:rPr>
                <w:rFonts w:hint="eastAsia" w:ascii="Times New Roman" w:hAnsi="Times New Roman" w:eastAsia="宋体" w:cs="宋体"/>
                <w:color w:val="FF0000"/>
                <w:kern w:val="2"/>
                <w:sz w:val="21"/>
                <w:szCs w:val="21"/>
                <w:highlight w:val="none"/>
                <w:lang w:val="en-US" w:eastAsia="zh-CN" w:bidi="ar"/>
              </w:rPr>
              <w:t>本项目储存量</w:t>
            </w:r>
          </w:p>
        </w:tc>
        <w:tc>
          <w:tcPr>
            <w:tcW w:w="2126" w:type="dxa"/>
            <w:tcBorders>
              <w:top w:val="single" w:color="auto" w:sz="12"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right="0"/>
              <w:jc w:val="center"/>
              <w:textAlignment w:val="auto"/>
              <w:rPr>
                <w:rFonts w:hint="default"/>
                <w:color w:val="FF0000"/>
                <w:kern w:val="2"/>
                <w:sz w:val="21"/>
                <w:szCs w:val="21"/>
                <w:highlight w:val="none"/>
              </w:rPr>
            </w:pPr>
            <w:r>
              <w:rPr>
                <w:rFonts w:hint="eastAsia" w:ascii="Times New Roman" w:hAnsi="Times New Roman" w:eastAsia="宋体" w:cs="宋体"/>
                <w:color w:val="FF0000"/>
                <w:kern w:val="2"/>
                <w:sz w:val="21"/>
                <w:szCs w:val="21"/>
                <w:highlight w:val="none"/>
                <w:lang w:val="en-US" w:eastAsia="zh-CN" w:bidi="ar"/>
              </w:rPr>
              <w:t>临界量（</w:t>
            </w:r>
            <w:r>
              <w:rPr>
                <w:rFonts w:hint="default" w:ascii="Times New Roman" w:hAnsi="Times New Roman" w:eastAsia="宋体" w:cs="Times New Roman"/>
                <w:color w:val="FF0000"/>
                <w:kern w:val="2"/>
                <w:sz w:val="21"/>
                <w:szCs w:val="21"/>
                <w:highlight w:val="none"/>
                <w:lang w:val="en-US" w:eastAsia="zh-CN" w:bidi="ar"/>
              </w:rPr>
              <w:t>T</w:t>
            </w:r>
            <w:r>
              <w:rPr>
                <w:rFonts w:hint="eastAsia" w:ascii="Times New Roman" w:hAnsi="Times New Roman" w:eastAsia="宋体" w:cs="宋体"/>
                <w:color w:val="FF0000"/>
                <w:kern w:val="2"/>
                <w:sz w:val="21"/>
                <w:szCs w:val="21"/>
                <w:highlight w:val="none"/>
                <w:lang w:val="en-US" w:eastAsia="zh-CN" w:bidi="ar"/>
              </w:rPr>
              <w:t>）</w:t>
            </w:r>
          </w:p>
        </w:tc>
        <w:tc>
          <w:tcPr>
            <w:tcW w:w="1430" w:type="dxa"/>
            <w:tcBorders>
              <w:top w:val="single" w:color="auto" w:sz="12" w:space="0"/>
              <w:left w:val="single" w:color="auto" w:sz="4" w:space="0"/>
              <w:bottom w:val="single" w:color="auto" w:sz="4" w:space="0"/>
              <w:right w:val="nil"/>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right="0"/>
              <w:jc w:val="center"/>
              <w:textAlignment w:val="auto"/>
              <w:rPr>
                <w:rFonts w:hint="default"/>
                <w:color w:val="FF0000"/>
                <w:kern w:val="2"/>
                <w:sz w:val="21"/>
                <w:szCs w:val="21"/>
                <w:highlight w:val="none"/>
              </w:rPr>
            </w:pPr>
            <w:r>
              <w:rPr>
                <w:rFonts w:hint="default" w:ascii="Times New Roman" w:hAnsi="Times New Roman" w:eastAsia="宋体" w:cs="Times New Roman"/>
                <w:color w:val="FF0000"/>
                <w:kern w:val="2"/>
                <w:sz w:val="21"/>
                <w:szCs w:val="21"/>
                <w:highlight w:val="none"/>
                <w:lang w:val="en-US" w:eastAsia="zh-CN" w:bidi="ar"/>
              </w:rPr>
              <w:t>q/Q</w:t>
            </w:r>
            <w:r>
              <w:rPr>
                <w:rFonts w:hint="eastAsia" w:ascii="Times New Roman" w:hAnsi="Times New Roman" w:eastAsia="宋体" w:cs="宋体"/>
                <w:color w:val="FF0000"/>
                <w:kern w:val="2"/>
                <w:sz w:val="21"/>
                <w:szCs w:val="21"/>
                <w:highlight w:val="none"/>
                <w:lang w:val="en-US" w:eastAsia="zh-CN" w:bidi="ar"/>
              </w:rPr>
              <w:t>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21" w:type="dxa"/>
            <w:vMerge w:val="restart"/>
            <w:tcBorders>
              <w:top w:val="single" w:color="auto" w:sz="4" w:space="0"/>
              <w:left w:val="nil"/>
              <w:right w:val="single" w:color="auto" w:sz="4" w:space="0"/>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right="0"/>
              <w:jc w:val="center"/>
              <w:textAlignment w:val="auto"/>
              <w:rPr>
                <w:rFonts w:hint="default"/>
                <w:color w:val="000000" w:themeColor="text1"/>
                <w:kern w:val="2"/>
                <w:sz w:val="21"/>
                <w:szCs w:val="21"/>
                <w:highlight w:val="none"/>
                <w14:textFill>
                  <w14:solidFill>
                    <w14:schemeClr w14:val="tx1"/>
                  </w14:solidFill>
                </w14:textFill>
              </w:rPr>
            </w:pPr>
            <w:r>
              <w:rPr>
                <w:rFonts w:hint="eastAsia" w:ascii="Times New Roman" w:hAnsi="Times New Roman" w:eastAsia="宋体" w:cs="宋体"/>
                <w:color w:val="000000" w:themeColor="text1"/>
                <w:kern w:val="2"/>
                <w:sz w:val="21"/>
                <w:szCs w:val="21"/>
                <w:highlight w:val="none"/>
                <w:lang w:val="en-US" w:eastAsia="zh-CN" w:bidi="ar"/>
                <w14:textFill>
                  <w14:solidFill>
                    <w14:schemeClr w14:val="tx1"/>
                  </w14:solidFill>
                </w14:textFill>
              </w:rPr>
              <w:t>易燃液体</w:t>
            </w:r>
          </w:p>
        </w:tc>
        <w:tc>
          <w:tcPr>
            <w:tcW w:w="269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宋体"/>
                <w:color w:val="FF0000"/>
                <w:kern w:val="2"/>
                <w:sz w:val="21"/>
                <w:szCs w:val="21"/>
                <w:highlight w:val="none"/>
                <w:lang w:val="en-US" w:eastAsia="zh-CN" w:bidi="ar"/>
              </w:rPr>
            </w:pPr>
            <w:r>
              <w:rPr>
                <w:rFonts w:hint="eastAsia"/>
                <w:color w:val="FF0000"/>
                <w:kern w:val="2"/>
                <w:szCs w:val="21"/>
                <w:highlight w:val="none"/>
                <w:lang w:val="en-US" w:eastAsia="zh-CN"/>
              </w:rPr>
              <w:t>绝缘漆（甲苯，108-88-3）</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FF0000"/>
                <w:kern w:val="2"/>
                <w:sz w:val="21"/>
                <w:szCs w:val="21"/>
                <w:highlight w:val="none"/>
                <w:lang w:val="en-US" w:eastAsia="zh-CN" w:bidi="ar"/>
              </w:rPr>
            </w:pPr>
            <w:r>
              <w:rPr>
                <w:rFonts w:hint="eastAsia" w:cs="Times New Roman"/>
                <w:color w:val="FF0000"/>
                <w:kern w:val="2"/>
                <w:sz w:val="21"/>
                <w:szCs w:val="21"/>
                <w:highlight w:val="none"/>
                <w:lang w:val="en-US" w:eastAsia="zh-CN" w:bidi="ar"/>
              </w:rPr>
              <w:t>0.5</w:t>
            </w:r>
          </w:p>
        </w:tc>
        <w:tc>
          <w:tcPr>
            <w:tcW w:w="21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FF0000"/>
                <w:kern w:val="2"/>
                <w:sz w:val="21"/>
                <w:szCs w:val="21"/>
                <w:highlight w:val="none"/>
                <w:lang w:val="en-US" w:eastAsia="zh-CN" w:bidi="ar"/>
              </w:rPr>
            </w:pPr>
            <w:r>
              <w:rPr>
                <w:rFonts w:hint="eastAsia" w:eastAsia="宋体" w:cs="Times New Roman"/>
                <w:color w:val="FF0000"/>
                <w:kern w:val="2"/>
                <w:sz w:val="21"/>
                <w:szCs w:val="21"/>
                <w:highlight w:val="none"/>
                <w:lang w:val="en-US" w:eastAsia="zh-CN" w:bidi="ar"/>
              </w:rPr>
              <w:t>1</w:t>
            </w:r>
            <w:r>
              <w:rPr>
                <w:rFonts w:hint="eastAsia" w:ascii="Times New Roman" w:hAnsi="Times New Roman" w:eastAsia="宋体" w:cs="Times New Roman"/>
                <w:color w:val="FF0000"/>
                <w:kern w:val="2"/>
                <w:sz w:val="21"/>
                <w:szCs w:val="21"/>
                <w:highlight w:val="none"/>
                <w:lang w:val="en-US" w:eastAsia="zh-CN" w:bidi="ar"/>
              </w:rPr>
              <w:t>0</w:t>
            </w:r>
            <w:r>
              <w:rPr>
                <w:rFonts w:hint="eastAsia" w:ascii="Times New Roman" w:hAnsi="Times New Roman" w:eastAsia="宋体" w:cs="宋体"/>
                <w:color w:val="FF0000"/>
                <w:kern w:val="2"/>
                <w:sz w:val="21"/>
                <w:szCs w:val="21"/>
                <w:highlight w:val="none"/>
                <w:lang w:val="en-US" w:eastAsia="zh-CN" w:bidi="ar"/>
              </w:rPr>
              <w:t>（易燃液体）</w:t>
            </w:r>
          </w:p>
        </w:tc>
        <w:tc>
          <w:tcPr>
            <w:tcW w:w="1430" w:type="dxa"/>
            <w:tcBorders>
              <w:top w:val="single" w:color="auto" w:sz="4" w:space="0"/>
              <w:left w:val="single" w:color="auto" w:sz="4" w:space="0"/>
              <w:bottom w:val="single" w:color="auto" w:sz="4" w:space="0"/>
              <w:right w:val="nil"/>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FF0000"/>
                <w:kern w:val="2"/>
                <w:sz w:val="21"/>
                <w:szCs w:val="21"/>
                <w:highlight w:val="none"/>
                <w:lang w:val="en-US" w:eastAsia="zh-CN" w:bidi="ar"/>
              </w:rPr>
            </w:pPr>
            <w:r>
              <w:rPr>
                <w:rFonts w:hint="eastAsia" w:cs="Times New Roman"/>
                <w:color w:val="FF0000"/>
                <w:kern w:val="2"/>
                <w:sz w:val="21"/>
                <w:szCs w:val="21"/>
                <w:highlight w:val="none"/>
                <w:lang w:val="en-US" w:eastAsia="zh-CN" w:bidi="ar"/>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21" w:type="dxa"/>
            <w:vMerge w:val="continue"/>
            <w:tcBorders>
              <w:left w:val="nil"/>
              <w:right w:val="single" w:color="auto" w:sz="4" w:space="0"/>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right="0"/>
              <w:jc w:val="center"/>
              <w:textAlignment w:val="auto"/>
              <w:rPr>
                <w:rFonts w:hint="eastAsia" w:ascii="Times New Roman" w:hAnsi="Times New Roman" w:eastAsia="宋体" w:cs="宋体"/>
                <w:color w:val="000000" w:themeColor="text1"/>
                <w:kern w:val="2"/>
                <w:sz w:val="21"/>
                <w:szCs w:val="21"/>
                <w:highlight w:val="none"/>
                <w:lang w:val="en-US" w:eastAsia="zh-CN" w:bidi="ar"/>
                <w14:textFill>
                  <w14:solidFill>
                    <w14:schemeClr w14:val="tx1"/>
                  </w14:solidFill>
                </w14:textFill>
              </w:rPr>
            </w:pPr>
          </w:p>
        </w:tc>
        <w:tc>
          <w:tcPr>
            <w:tcW w:w="269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0" w:afterAutospacing="0" w:line="240" w:lineRule="auto"/>
              <w:ind w:left="0" w:leftChars="0" w:right="0" w:rightChars="0"/>
              <w:jc w:val="center"/>
              <w:textAlignment w:val="auto"/>
              <w:rPr>
                <w:rFonts w:hint="eastAsia" w:ascii="Times New Roman" w:hAnsi="Times New Roman" w:eastAsia="宋体" w:cs="宋体"/>
                <w:color w:val="FF0000"/>
                <w:kern w:val="2"/>
                <w:sz w:val="21"/>
                <w:szCs w:val="21"/>
                <w:highlight w:val="none"/>
                <w:lang w:val="en-US" w:eastAsia="zh-CN" w:bidi="ar"/>
              </w:rPr>
            </w:pPr>
            <w:r>
              <w:rPr>
                <w:rFonts w:hint="eastAsia"/>
                <w:color w:val="FF0000"/>
                <w:kern w:val="2"/>
                <w:szCs w:val="21"/>
                <w:highlight w:val="none"/>
                <w:lang w:val="en-US" w:eastAsia="zh-CN"/>
              </w:rPr>
              <w:t>稀释剂（二甲苯，108-38-3）</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FF0000"/>
                <w:kern w:val="2"/>
                <w:sz w:val="21"/>
                <w:szCs w:val="21"/>
                <w:highlight w:val="none"/>
                <w:lang w:val="en-US" w:eastAsia="zh-CN" w:bidi="ar"/>
              </w:rPr>
            </w:pPr>
            <w:r>
              <w:rPr>
                <w:rFonts w:hint="eastAsia" w:cs="Times New Roman"/>
                <w:color w:val="FF0000"/>
                <w:kern w:val="2"/>
                <w:sz w:val="21"/>
                <w:szCs w:val="21"/>
                <w:highlight w:val="none"/>
                <w:lang w:val="en-US" w:eastAsia="zh-CN" w:bidi="ar"/>
              </w:rPr>
              <w:t>0.5</w:t>
            </w:r>
          </w:p>
        </w:tc>
        <w:tc>
          <w:tcPr>
            <w:tcW w:w="21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leftChars="0" w:right="0" w:rightChars="0"/>
              <w:jc w:val="center"/>
              <w:textAlignment w:val="auto"/>
              <w:rPr>
                <w:rFonts w:hint="eastAsia" w:ascii="宋体" w:hAnsi="宋体" w:eastAsia="宋体" w:cs="Times New Roman"/>
                <w:color w:val="FF0000"/>
                <w:kern w:val="2"/>
                <w:sz w:val="21"/>
                <w:szCs w:val="21"/>
                <w:highlight w:val="none"/>
                <w:lang w:val="en-US" w:eastAsia="zh-CN" w:bidi="ar"/>
              </w:rPr>
            </w:pPr>
            <w:r>
              <w:rPr>
                <w:rFonts w:hint="eastAsia" w:eastAsia="宋体" w:cs="Times New Roman"/>
                <w:color w:val="FF0000"/>
                <w:kern w:val="2"/>
                <w:sz w:val="21"/>
                <w:szCs w:val="21"/>
                <w:highlight w:val="none"/>
                <w:lang w:val="en-US" w:eastAsia="zh-CN" w:bidi="ar"/>
              </w:rPr>
              <w:t>1</w:t>
            </w:r>
            <w:r>
              <w:rPr>
                <w:rFonts w:hint="eastAsia" w:ascii="Times New Roman" w:hAnsi="Times New Roman" w:eastAsia="宋体" w:cs="Times New Roman"/>
                <w:color w:val="FF0000"/>
                <w:kern w:val="2"/>
                <w:sz w:val="21"/>
                <w:szCs w:val="21"/>
                <w:highlight w:val="none"/>
                <w:lang w:val="en-US" w:eastAsia="zh-CN" w:bidi="ar"/>
              </w:rPr>
              <w:t>0</w:t>
            </w:r>
            <w:r>
              <w:rPr>
                <w:rFonts w:hint="eastAsia" w:ascii="Times New Roman" w:hAnsi="Times New Roman" w:eastAsia="宋体" w:cs="宋体"/>
                <w:color w:val="FF0000"/>
                <w:kern w:val="2"/>
                <w:sz w:val="21"/>
                <w:szCs w:val="21"/>
                <w:highlight w:val="none"/>
                <w:lang w:val="en-US" w:eastAsia="zh-CN" w:bidi="ar"/>
              </w:rPr>
              <w:t>（易燃液体）</w:t>
            </w:r>
          </w:p>
        </w:tc>
        <w:tc>
          <w:tcPr>
            <w:tcW w:w="1430" w:type="dxa"/>
            <w:tcBorders>
              <w:top w:val="single" w:color="auto" w:sz="4" w:space="0"/>
              <w:left w:val="single" w:color="auto" w:sz="4" w:space="0"/>
              <w:bottom w:val="single" w:color="auto" w:sz="4" w:space="0"/>
              <w:right w:val="nil"/>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leftChars="0" w:right="0" w:rightChars="0"/>
              <w:jc w:val="center"/>
              <w:textAlignment w:val="auto"/>
              <w:rPr>
                <w:rFonts w:hint="default" w:ascii="宋体" w:hAnsi="宋体" w:eastAsia="宋体" w:cs="Times New Roman"/>
                <w:color w:val="FF0000"/>
                <w:kern w:val="2"/>
                <w:sz w:val="21"/>
                <w:szCs w:val="21"/>
                <w:highlight w:val="none"/>
                <w:lang w:val="en-US" w:eastAsia="zh-CN" w:bidi="ar"/>
              </w:rPr>
            </w:pPr>
            <w:r>
              <w:rPr>
                <w:rFonts w:hint="eastAsia" w:cs="Times New Roman"/>
                <w:color w:val="FF0000"/>
                <w:kern w:val="2"/>
                <w:sz w:val="21"/>
                <w:szCs w:val="21"/>
                <w:highlight w:val="none"/>
                <w:lang w:val="en-US" w:eastAsia="zh-CN" w:bidi="ar"/>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21" w:type="dxa"/>
            <w:vMerge w:val="continue"/>
            <w:tcBorders>
              <w:left w:val="nil"/>
              <w:right w:val="single" w:color="auto" w:sz="4" w:space="0"/>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right="0"/>
              <w:jc w:val="center"/>
              <w:textAlignment w:val="auto"/>
              <w:rPr>
                <w:rFonts w:hint="eastAsia" w:ascii="Times New Roman" w:hAnsi="Times New Roman" w:eastAsia="宋体" w:cs="宋体"/>
                <w:color w:val="000000" w:themeColor="text1"/>
                <w:kern w:val="2"/>
                <w:sz w:val="21"/>
                <w:szCs w:val="21"/>
                <w:highlight w:val="none"/>
                <w:lang w:val="en-US" w:eastAsia="zh-CN" w:bidi="ar"/>
                <w14:textFill>
                  <w14:solidFill>
                    <w14:schemeClr w14:val="tx1"/>
                  </w14:solidFill>
                </w14:textFill>
              </w:rPr>
            </w:pPr>
          </w:p>
        </w:tc>
        <w:tc>
          <w:tcPr>
            <w:tcW w:w="269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0" w:afterAutospacing="0" w:line="240" w:lineRule="auto"/>
              <w:ind w:left="0" w:leftChars="0" w:right="0" w:rightChars="0"/>
              <w:jc w:val="center"/>
              <w:textAlignment w:val="auto"/>
              <w:rPr>
                <w:rFonts w:hint="default"/>
                <w:color w:val="FF0000"/>
                <w:kern w:val="2"/>
                <w:szCs w:val="21"/>
                <w:highlight w:val="none"/>
                <w:lang w:val="en-US" w:eastAsia="zh-CN"/>
              </w:rPr>
            </w:pPr>
            <w:r>
              <w:rPr>
                <w:rFonts w:hint="eastAsia"/>
                <w:color w:val="FF0000"/>
                <w:kern w:val="2"/>
                <w:szCs w:val="21"/>
                <w:highlight w:val="none"/>
                <w:lang w:val="en-US" w:eastAsia="zh-CN"/>
              </w:rPr>
              <w:t>红胶（苯，71-43-2）</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0" w:afterAutospacing="0" w:line="240" w:lineRule="auto"/>
              <w:ind w:left="0" w:leftChars="0" w:right="0" w:rightChars="0"/>
              <w:jc w:val="center"/>
              <w:textAlignment w:val="auto"/>
              <w:rPr>
                <w:rFonts w:hint="default" w:cs="Times New Roman"/>
                <w:color w:val="FF0000"/>
                <w:kern w:val="2"/>
                <w:sz w:val="21"/>
                <w:szCs w:val="21"/>
                <w:highlight w:val="none"/>
                <w:lang w:val="en-US" w:eastAsia="zh-CN" w:bidi="ar"/>
              </w:rPr>
            </w:pPr>
            <w:r>
              <w:rPr>
                <w:rFonts w:hint="eastAsia" w:cs="Times New Roman"/>
                <w:color w:val="FF0000"/>
                <w:kern w:val="2"/>
                <w:sz w:val="21"/>
                <w:szCs w:val="21"/>
                <w:highlight w:val="none"/>
                <w:lang w:val="en-US" w:eastAsia="zh-CN" w:bidi="ar"/>
              </w:rPr>
              <w:t>0.093</w:t>
            </w:r>
          </w:p>
        </w:tc>
        <w:tc>
          <w:tcPr>
            <w:tcW w:w="21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right="0"/>
              <w:jc w:val="center"/>
              <w:textAlignment w:val="auto"/>
              <w:rPr>
                <w:rFonts w:hint="eastAsia" w:eastAsia="宋体" w:cs="Times New Roman"/>
                <w:color w:val="FF0000"/>
                <w:kern w:val="2"/>
                <w:sz w:val="21"/>
                <w:szCs w:val="21"/>
                <w:highlight w:val="none"/>
                <w:lang w:val="en-US" w:eastAsia="zh-CN" w:bidi="ar"/>
              </w:rPr>
            </w:pPr>
            <w:r>
              <w:rPr>
                <w:rFonts w:hint="eastAsia" w:eastAsia="宋体" w:cs="Times New Roman"/>
                <w:color w:val="FF0000"/>
                <w:kern w:val="2"/>
                <w:sz w:val="21"/>
                <w:szCs w:val="21"/>
                <w:highlight w:val="none"/>
                <w:lang w:val="en-US" w:eastAsia="zh-CN" w:bidi="ar"/>
              </w:rPr>
              <w:t>1</w:t>
            </w:r>
            <w:r>
              <w:rPr>
                <w:rFonts w:hint="eastAsia" w:ascii="Times New Roman" w:hAnsi="Times New Roman" w:eastAsia="宋体" w:cs="Times New Roman"/>
                <w:color w:val="FF0000"/>
                <w:kern w:val="2"/>
                <w:sz w:val="21"/>
                <w:szCs w:val="21"/>
                <w:highlight w:val="none"/>
                <w:lang w:val="en-US" w:eastAsia="zh-CN" w:bidi="ar"/>
              </w:rPr>
              <w:t>0</w:t>
            </w:r>
            <w:r>
              <w:rPr>
                <w:rFonts w:hint="eastAsia" w:ascii="Times New Roman" w:hAnsi="Times New Roman" w:eastAsia="宋体" w:cs="宋体"/>
                <w:color w:val="FF0000"/>
                <w:kern w:val="2"/>
                <w:sz w:val="21"/>
                <w:szCs w:val="21"/>
                <w:highlight w:val="none"/>
                <w:lang w:val="en-US" w:eastAsia="zh-CN" w:bidi="ar"/>
              </w:rPr>
              <w:t>（易燃液体）</w:t>
            </w:r>
          </w:p>
        </w:tc>
        <w:tc>
          <w:tcPr>
            <w:tcW w:w="1430" w:type="dxa"/>
            <w:tcBorders>
              <w:top w:val="single" w:color="auto" w:sz="4" w:space="0"/>
              <w:left w:val="single" w:color="auto" w:sz="4" w:space="0"/>
              <w:bottom w:val="single" w:color="auto" w:sz="4" w:space="0"/>
              <w:right w:val="nil"/>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right="0"/>
              <w:jc w:val="center"/>
              <w:textAlignment w:val="auto"/>
              <w:rPr>
                <w:rFonts w:hint="default" w:cs="Times New Roman"/>
                <w:color w:val="FF0000"/>
                <w:kern w:val="2"/>
                <w:sz w:val="21"/>
                <w:szCs w:val="21"/>
                <w:highlight w:val="none"/>
                <w:lang w:val="en-US" w:eastAsia="zh-CN" w:bidi="ar"/>
              </w:rPr>
            </w:pPr>
            <w:r>
              <w:rPr>
                <w:rFonts w:hint="eastAsia" w:cs="Times New Roman"/>
                <w:color w:val="FF0000"/>
                <w:kern w:val="2"/>
                <w:sz w:val="21"/>
                <w:szCs w:val="21"/>
                <w:highlight w:val="none"/>
                <w:lang w:val="en-US" w:eastAsia="zh-CN" w:bidi="ar"/>
              </w:rPr>
              <w:t>0.0093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21" w:type="dxa"/>
            <w:vMerge w:val="continue"/>
            <w:tcBorders>
              <w:left w:val="nil"/>
              <w:right w:val="single" w:color="auto" w:sz="4" w:space="0"/>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right="0"/>
              <w:jc w:val="center"/>
              <w:textAlignment w:val="auto"/>
              <w:rPr>
                <w:rFonts w:hint="eastAsia" w:ascii="Times New Roman" w:hAnsi="Times New Roman" w:eastAsia="宋体" w:cs="宋体"/>
                <w:color w:val="000000" w:themeColor="text1"/>
                <w:kern w:val="2"/>
                <w:sz w:val="21"/>
                <w:szCs w:val="21"/>
                <w:highlight w:val="none"/>
                <w:lang w:val="en-US" w:eastAsia="zh-CN" w:bidi="ar"/>
                <w14:textFill>
                  <w14:solidFill>
                    <w14:schemeClr w14:val="tx1"/>
                  </w14:solidFill>
                </w14:textFill>
              </w:rPr>
            </w:pPr>
          </w:p>
        </w:tc>
        <w:tc>
          <w:tcPr>
            <w:tcW w:w="269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0" w:afterAutospacing="0" w:line="240" w:lineRule="auto"/>
              <w:ind w:left="0" w:leftChars="0" w:right="0" w:rightChars="0"/>
              <w:jc w:val="center"/>
              <w:textAlignment w:val="auto"/>
              <w:rPr>
                <w:rFonts w:hint="default"/>
                <w:color w:val="FF0000"/>
                <w:kern w:val="2"/>
                <w:szCs w:val="21"/>
                <w:highlight w:val="none"/>
                <w:lang w:val="en-US" w:eastAsia="zh-CN"/>
              </w:rPr>
            </w:pPr>
            <w:r>
              <w:rPr>
                <w:rFonts w:hint="eastAsia"/>
                <w:color w:val="FF0000"/>
                <w:kern w:val="2"/>
                <w:szCs w:val="21"/>
                <w:highlight w:val="none"/>
                <w:lang w:val="en-US" w:eastAsia="zh-CN"/>
              </w:rPr>
              <w:t>三防漆（丁醇，71-36-3）</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0" w:afterAutospacing="0" w:line="240" w:lineRule="auto"/>
              <w:ind w:left="0" w:leftChars="0" w:right="0" w:rightChars="0"/>
              <w:jc w:val="center"/>
              <w:textAlignment w:val="auto"/>
              <w:rPr>
                <w:rFonts w:hint="default" w:cs="Times New Roman"/>
                <w:color w:val="FF0000"/>
                <w:kern w:val="2"/>
                <w:sz w:val="21"/>
                <w:szCs w:val="21"/>
                <w:highlight w:val="none"/>
                <w:lang w:val="en-US" w:eastAsia="zh-CN" w:bidi="ar"/>
              </w:rPr>
            </w:pPr>
            <w:r>
              <w:rPr>
                <w:rFonts w:hint="eastAsia" w:cs="Times New Roman"/>
                <w:color w:val="FF0000"/>
                <w:kern w:val="2"/>
                <w:sz w:val="21"/>
                <w:szCs w:val="21"/>
                <w:highlight w:val="none"/>
                <w:lang w:val="en-US" w:eastAsia="zh-CN" w:bidi="ar"/>
              </w:rPr>
              <w:t>0.2</w:t>
            </w:r>
          </w:p>
        </w:tc>
        <w:tc>
          <w:tcPr>
            <w:tcW w:w="21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right="0"/>
              <w:jc w:val="center"/>
              <w:textAlignment w:val="auto"/>
              <w:rPr>
                <w:rFonts w:hint="eastAsia" w:eastAsia="宋体" w:cs="Times New Roman"/>
                <w:color w:val="FF0000"/>
                <w:kern w:val="2"/>
                <w:sz w:val="21"/>
                <w:szCs w:val="21"/>
                <w:highlight w:val="none"/>
                <w:lang w:val="en-US" w:eastAsia="zh-CN" w:bidi="ar"/>
              </w:rPr>
            </w:pPr>
            <w:r>
              <w:rPr>
                <w:rFonts w:hint="eastAsia" w:eastAsia="宋体" w:cs="Times New Roman"/>
                <w:color w:val="FF0000"/>
                <w:kern w:val="2"/>
                <w:sz w:val="21"/>
                <w:szCs w:val="21"/>
                <w:highlight w:val="none"/>
                <w:lang w:val="en-US" w:eastAsia="zh-CN" w:bidi="ar"/>
              </w:rPr>
              <w:t>1</w:t>
            </w:r>
            <w:r>
              <w:rPr>
                <w:rFonts w:hint="eastAsia" w:ascii="Times New Roman" w:hAnsi="Times New Roman" w:eastAsia="宋体" w:cs="Times New Roman"/>
                <w:color w:val="FF0000"/>
                <w:kern w:val="2"/>
                <w:sz w:val="21"/>
                <w:szCs w:val="21"/>
                <w:highlight w:val="none"/>
                <w:lang w:val="en-US" w:eastAsia="zh-CN" w:bidi="ar"/>
              </w:rPr>
              <w:t>0</w:t>
            </w:r>
            <w:r>
              <w:rPr>
                <w:rFonts w:hint="eastAsia" w:ascii="Times New Roman" w:hAnsi="Times New Roman" w:eastAsia="宋体" w:cs="宋体"/>
                <w:color w:val="FF0000"/>
                <w:kern w:val="2"/>
                <w:sz w:val="21"/>
                <w:szCs w:val="21"/>
                <w:highlight w:val="none"/>
                <w:lang w:val="en-US" w:eastAsia="zh-CN" w:bidi="ar"/>
              </w:rPr>
              <w:t>（易燃液体）</w:t>
            </w:r>
          </w:p>
        </w:tc>
        <w:tc>
          <w:tcPr>
            <w:tcW w:w="1430" w:type="dxa"/>
            <w:tcBorders>
              <w:top w:val="single" w:color="auto" w:sz="4" w:space="0"/>
              <w:left w:val="single" w:color="auto" w:sz="4" w:space="0"/>
              <w:bottom w:val="single" w:color="auto" w:sz="4" w:space="0"/>
              <w:right w:val="nil"/>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right="0"/>
              <w:jc w:val="center"/>
              <w:textAlignment w:val="auto"/>
              <w:rPr>
                <w:rFonts w:hint="default" w:cs="Times New Roman"/>
                <w:color w:val="FF0000"/>
                <w:kern w:val="2"/>
                <w:sz w:val="21"/>
                <w:szCs w:val="21"/>
                <w:highlight w:val="none"/>
                <w:lang w:val="en-US" w:eastAsia="zh-CN" w:bidi="ar"/>
              </w:rPr>
            </w:pPr>
            <w:r>
              <w:rPr>
                <w:rFonts w:hint="eastAsia" w:cs="Times New Roman"/>
                <w:color w:val="FF0000"/>
                <w:kern w:val="2"/>
                <w:sz w:val="21"/>
                <w:szCs w:val="21"/>
                <w:highlight w:val="none"/>
                <w:lang w:val="en-US" w:eastAsia="zh-CN" w:bidi="ar"/>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21" w:type="dxa"/>
            <w:vMerge w:val="continue"/>
            <w:tcBorders>
              <w:left w:val="nil"/>
              <w:right w:val="single" w:color="auto" w:sz="4" w:space="0"/>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right="0"/>
              <w:jc w:val="center"/>
              <w:textAlignment w:val="auto"/>
              <w:rPr>
                <w:rFonts w:hint="eastAsia" w:ascii="Times New Roman" w:hAnsi="Times New Roman" w:eastAsia="宋体" w:cs="宋体"/>
                <w:color w:val="000000" w:themeColor="text1"/>
                <w:kern w:val="2"/>
                <w:sz w:val="21"/>
                <w:szCs w:val="21"/>
                <w:highlight w:val="none"/>
                <w:lang w:val="en-US" w:eastAsia="zh-CN" w:bidi="ar"/>
                <w14:textFill>
                  <w14:solidFill>
                    <w14:schemeClr w14:val="tx1"/>
                  </w14:solidFill>
                </w14:textFill>
              </w:rPr>
            </w:pPr>
          </w:p>
        </w:tc>
        <w:tc>
          <w:tcPr>
            <w:tcW w:w="269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0" w:afterAutospacing="0" w:line="240" w:lineRule="auto"/>
              <w:ind w:left="0" w:leftChars="0" w:right="0" w:rightChars="0"/>
              <w:jc w:val="center"/>
              <w:textAlignment w:val="auto"/>
              <w:rPr>
                <w:rFonts w:hint="default"/>
                <w:color w:val="FF0000"/>
                <w:kern w:val="2"/>
                <w:szCs w:val="21"/>
                <w:highlight w:val="none"/>
                <w:lang w:val="en-US" w:eastAsia="zh-CN"/>
              </w:rPr>
            </w:pPr>
            <w:r>
              <w:rPr>
                <w:rFonts w:hint="eastAsia"/>
                <w:color w:val="FF0000"/>
                <w:kern w:val="2"/>
                <w:szCs w:val="21"/>
                <w:highlight w:val="none"/>
                <w:lang w:val="en-US" w:eastAsia="zh-CN"/>
              </w:rPr>
              <w:t>清洗剂（二甲醚，115-10-6）</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0" w:afterAutospacing="0" w:line="240" w:lineRule="auto"/>
              <w:ind w:left="0" w:leftChars="0" w:right="0" w:rightChars="0"/>
              <w:jc w:val="center"/>
              <w:textAlignment w:val="auto"/>
              <w:rPr>
                <w:rFonts w:hint="default" w:cs="Times New Roman"/>
                <w:color w:val="FF0000"/>
                <w:kern w:val="2"/>
                <w:sz w:val="21"/>
                <w:szCs w:val="21"/>
                <w:highlight w:val="none"/>
                <w:lang w:val="en-US" w:eastAsia="zh-CN" w:bidi="ar"/>
              </w:rPr>
            </w:pPr>
            <w:r>
              <w:rPr>
                <w:rFonts w:hint="eastAsia" w:cs="Times New Roman"/>
                <w:color w:val="FF0000"/>
                <w:kern w:val="2"/>
                <w:sz w:val="21"/>
                <w:szCs w:val="21"/>
                <w:highlight w:val="none"/>
                <w:lang w:val="en-US" w:eastAsia="zh-CN" w:bidi="ar"/>
              </w:rPr>
              <w:t>0.087</w:t>
            </w:r>
          </w:p>
        </w:tc>
        <w:tc>
          <w:tcPr>
            <w:tcW w:w="21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right="0"/>
              <w:jc w:val="center"/>
              <w:textAlignment w:val="auto"/>
              <w:rPr>
                <w:rFonts w:hint="eastAsia" w:eastAsia="宋体" w:cs="Times New Roman"/>
                <w:color w:val="FF0000"/>
                <w:kern w:val="2"/>
                <w:sz w:val="21"/>
                <w:szCs w:val="21"/>
                <w:highlight w:val="none"/>
                <w:lang w:val="en-US" w:eastAsia="zh-CN" w:bidi="ar"/>
              </w:rPr>
            </w:pPr>
            <w:r>
              <w:rPr>
                <w:rFonts w:hint="eastAsia" w:eastAsia="宋体" w:cs="Times New Roman"/>
                <w:color w:val="FF0000"/>
                <w:kern w:val="2"/>
                <w:sz w:val="21"/>
                <w:szCs w:val="21"/>
                <w:highlight w:val="none"/>
                <w:lang w:val="en-US" w:eastAsia="zh-CN" w:bidi="ar"/>
              </w:rPr>
              <w:t>1</w:t>
            </w:r>
            <w:r>
              <w:rPr>
                <w:rFonts w:hint="eastAsia" w:ascii="Times New Roman" w:hAnsi="Times New Roman" w:eastAsia="宋体" w:cs="Times New Roman"/>
                <w:color w:val="FF0000"/>
                <w:kern w:val="2"/>
                <w:sz w:val="21"/>
                <w:szCs w:val="21"/>
                <w:highlight w:val="none"/>
                <w:lang w:val="en-US" w:eastAsia="zh-CN" w:bidi="ar"/>
              </w:rPr>
              <w:t>0</w:t>
            </w:r>
            <w:r>
              <w:rPr>
                <w:rFonts w:hint="eastAsia" w:ascii="Times New Roman" w:hAnsi="Times New Roman" w:eastAsia="宋体" w:cs="宋体"/>
                <w:color w:val="FF0000"/>
                <w:kern w:val="2"/>
                <w:sz w:val="21"/>
                <w:szCs w:val="21"/>
                <w:highlight w:val="none"/>
                <w:lang w:val="en-US" w:eastAsia="zh-CN" w:bidi="ar"/>
              </w:rPr>
              <w:t>（易燃液体）</w:t>
            </w:r>
          </w:p>
        </w:tc>
        <w:tc>
          <w:tcPr>
            <w:tcW w:w="1430" w:type="dxa"/>
            <w:tcBorders>
              <w:top w:val="single" w:color="auto" w:sz="4" w:space="0"/>
              <w:left w:val="single" w:color="auto" w:sz="4" w:space="0"/>
              <w:bottom w:val="single" w:color="auto" w:sz="4" w:space="0"/>
              <w:right w:val="nil"/>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right="0"/>
              <w:jc w:val="center"/>
              <w:textAlignment w:val="auto"/>
              <w:rPr>
                <w:rFonts w:hint="default" w:cs="Times New Roman"/>
                <w:color w:val="FF0000"/>
                <w:kern w:val="2"/>
                <w:sz w:val="21"/>
                <w:szCs w:val="21"/>
                <w:highlight w:val="none"/>
                <w:lang w:val="en-US" w:eastAsia="zh-CN" w:bidi="ar"/>
              </w:rPr>
            </w:pPr>
            <w:r>
              <w:rPr>
                <w:rFonts w:hint="eastAsia" w:cs="Times New Roman"/>
                <w:color w:val="FF0000"/>
                <w:kern w:val="2"/>
                <w:sz w:val="21"/>
                <w:szCs w:val="21"/>
                <w:highlight w:val="none"/>
                <w:lang w:val="en-US" w:eastAsia="zh-CN" w:bidi="ar"/>
              </w:rPr>
              <w:t>0.0087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1" w:type="dxa"/>
            <w:vMerge w:val="continue"/>
            <w:tcBorders>
              <w:left w:val="nil"/>
              <w:right w:val="single" w:color="auto" w:sz="4" w:space="0"/>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right="0"/>
              <w:jc w:val="center"/>
              <w:textAlignment w:val="auto"/>
              <w:rPr>
                <w:rFonts w:hint="eastAsia" w:ascii="Times New Roman" w:hAnsi="Times New Roman" w:eastAsia="宋体" w:cs="宋体"/>
                <w:color w:val="000000" w:themeColor="text1"/>
                <w:kern w:val="2"/>
                <w:sz w:val="21"/>
                <w:szCs w:val="21"/>
                <w:highlight w:val="none"/>
                <w:lang w:val="en-US" w:eastAsia="zh-CN" w:bidi="ar"/>
                <w14:textFill>
                  <w14:solidFill>
                    <w14:schemeClr w14:val="tx1"/>
                  </w14:solidFill>
                </w14:textFill>
              </w:rPr>
            </w:pPr>
          </w:p>
        </w:tc>
        <w:tc>
          <w:tcPr>
            <w:tcW w:w="269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0" w:afterAutospacing="0" w:line="240" w:lineRule="auto"/>
              <w:ind w:left="0" w:leftChars="0" w:right="0" w:rightChars="0"/>
              <w:jc w:val="center"/>
              <w:textAlignment w:val="auto"/>
              <w:rPr>
                <w:rFonts w:hint="default"/>
                <w:color w:val="FF0000"/>
                <w:kern w:val="2"/>
                <w:szCs w:val="21"/>
                <w:highlight w:val="none"/>
                <w:lang w:val="en-US" w:eastAsia="zh-CN"/>
              </w:rPr>
            </w:pPr>
            <w:r>
              <w:rPr>
                <w:rFonts w:hint="eastAsia"/>
                <w:color w:val="FF0000"/>
                <w:kern w:val="2"/>
                <w:szCs w:val="21"/>
                <w:highlight w:val="none"/>
                <w:lang w:val="en-US" w:eastAsia="zh-CN"/>
              </w:rPr>
              <w:t>白硅胶（二甲苯，108-38-3）</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0" w:afterAutospacing="0" w:line="240" w:lineRule="auto"/>
              <w:ind w:left="0" w:leftChars="0" w:right="0" w:rightChars="0"/>
              <w:jc w:val="center"/>
              <w:textAlignment w:val="auto"/>
              <w:rPr>
                <w:rFonts w:hint="default" w:cs="Times New Roman"/>
                <w:color w:val="FF0000"/>
                <w:kern w:val="2"/>
                <w:sz w:val="21"/>
                <w:szCs w:val="21"/>
                <w:highlight w:val="none"/>
                <w:lang w:val="en-US" w:eastAsia="zh-CN" w:bidi="ar"/>
              </w:rPr>
            </w:pPr>
            <w:r>
              <w:rPr>
                <w:rFonts w:hint="eastAsia" w:cs="Times New Roman"/>
                <w:color w:val="FF0000"/>
                <w:kern w:val="2"/>
                <w:sz w:val="21"/>
                <w:szCs w:val="21"/>
                <w:highlight w:val="none"/>
                <w:lang w:val="en-US" w:eastAsia="zh-CN" w:bidi="ar"/>
              </w:rPr>
              <w:t>1</w:t>
            </w:r>
          </w:p>
        </w:tc>
        <w:tc>
          <w:tcPr>
            <w:tcW w:w="21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right="0"/>
              <w:jc w:val="center"/>
              <w:textAlignment w:val="auto"/>
              <w:rPr>
                <w:rFonts w:hint="eastAsia" w:eastAsia="宋体" w:cs="Times New Roman"/>
                <w:color w:val="FF0000"/>
                <w:kern w:val="2"/>
                <w:sz w:val="21"/>
                <w:szCs w:val="21"/>
                <w:highlight w:val="none"/>
                <w:lang w:val="en-US" w:eastAsia="zh-CN" w:bidi="ar"/>
              </w:rPr>
            </w:pPr>
            <w:r>
              <w:rPr>
                <w:rFonts w:hint="eastAsia" w:eastAsia="宋体" w:cs="Times New Roman"/>
                <w:color w:val="FF0000"/>
                <w:kern w:val="2"/>
                <w:sz w:val="21"/>
                <w:szCs w:val="21"/>
                <w:highlight w:val="none"/>
                <w:lang w:val="en-US" w:eastAsia="zh-CN" w:bidi="ar"/>
              </w:rPr>
              <w:t>1</w:t>
            </w:r>
            <w:r>
              <w:rPr>
                <w:rFonts w:hint="eastAsia" w:ascii="Times New Roman" w:hAnsi="Times New Roman" w:eastAsia="宋体" w:cs="Times New Roman"/>
                <w:color w:val="FF0000"/>
                <w:kern w:val="2"/>
                <w:sz w:val="21"/>
                <w:szCs w:val="21"/>
                <w:highlight w:val="none"/>
                <w:lang w:val="en-US" w:eastAsia="zh-CN" w:bidi="ar"/>
              </w:rPr>
              <w:t>0</w:t>
            </w:r>
            <w:r>
              <w:rPr>
                <w:rFonts w:hint="eastAsia" w:ascii="Times New Roman" w:hAnsi="Times New Roman" w:eastAsia="宋体" w:cs="宋体"/>
                <w:color w:val="FF0000"/>
                <w:kern w:val="2"/>
                <w:sz w:val="21"/>
                <w:szCs w:val="21"/>
                <w:highlight w:val="none"/>
                <w:lang w:val="en-US" w:eastAsia="zh-CN" w:bidi="ar"/>
              </w:rPr>
              <w:t>（易燃液体）</w:t>
            </w:r>
          </w:p>
        </w:tc>
        <w:tc>
          <w:tcPr>
            <w:tcW w:w="1430" w:type="dxa"/>
            <w:tcBorders>
              <w:top w:val="single" w:color="auto" w:sz="4" w:space="0"/>
              <w:left w:val="single" w:color="auto" w:sz="4" w:space="0"/>
              <w:bottom w:val="single" w:color="auto" w:sz="4" w:space="0"/>
              <w:right w:val="nil"/>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right="0"/>
              <w:jc w:val="center"/>
              <w:textAlignment w:val="auto"/>
              <w:rPr>
                <w:rFonts w:hint="default" w:cs="Times New Roman"/>
                <w:color w:val="FF0000"/>
                <w:kern w:val="2"/>
                <w:sz w:val="21"/>
                <w:szCs w:val="21"/>
                <w:highlight w:val="none"/>
                <w:lang w:val="en-US" w:eastAsia="zh-CN" w:bidi="ar"/>
              </w:rPr>
            </w:pPr>
            <w:r>
              <w:rPr>
                <w:rFonts w:hint="eastAsia" w:cs="Times New Roman"/>
                <w:color w:val="FF0000"/>
                <w:kern w:val="2"/>
                <w:sz w:val="21"/>
                <w:szCs w:val="21"/>
                <w:highlight w:val="none"/>
                <w:lang w:val="en-US" w:eastAsia="zh-CN" w:bidi="ar"/>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1" w:type="dxa"/>
            <w:vMerge w:val="continue"/>
            <w:tcBorders>
              <w:left w:val="nil"/>
              <w:right w:val="single" w:color="auto" w:sz="4" w:space="0"/>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right="0"/>
              <w:jc w:val="center"/>
              <w:textAlignment w:val="auto"/>
              <w:rPr>
                <w:rFonts w:hint="eastAsia" w:ascii="Times New Roman" w:hAnsi="Times New Roman" w:eastAsia="宋体" w:cs="宋体"/>
                <w:color w:val="000000" w:themeColor="text1"/>
                <w:kern w:val="2"/>
                <w:sz w:val="21"/>
                <w:szCs w:val="21"/>
                <w:highlight w:val="none"/>
                <w:lang w:val="en-US" w:eastAsia="zh-CN" w:bidi="ar"/>
                <w14:textFill>
                  <w14:solidFill>
                    <w14:schemeClr w14:val="tx1"/>
                  </w14:solidFill>
                </w14:textFill>
              </w:rPr>
            </w:pPr>
          </w:p>
        </w:tc>
        <w:tc>
          <w:tcPr>
            <w:tcW w:w="269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0" w:afterAutospacing="0" w:line="240" w:lineRule="auto"/>
              <w:ind w:left="0" w:leftChars="0" w:right="0" w:rightChars="0"/>
              <w:jc w:val="center"/>
              <w:textAlignment w:val="auto"/>
              <w:rPr>
                <w:rFonts w:hint="default"/>
                <w:color w:val="FF0000"/>
                <w:kern w:val="2"/>
                <w:szCs w:val="21"/>
                <w:highlight w:val="none"/>
                <w:lang w:val="en-US" w:eastAsia="zh-CN"/>
              </w:rPr>
            </w:pPr>
            <w:r>
              <w:rPr>
                <w:rFonts w:hint="eastAsia"/>
                <w:color w:val="FF0000"/>
                <w:kern w:val="2"/>
                <w:szCs w:val="21"/>
                <w:highlight w:val="none"/>
                <w:lang w:val="en-US" w:eastAsia="zh-CN"/>
              </w:rPr>
              <w:t>工业接着剂（二甲苯，108-38-3）</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0" w:afterAutospacing="0" w:line="240" w:lineRule="auto"/>
              <w:ind w:left="0" w:leftChars="0" w:right="0" w:rightChars="0"/>
              <w:jc w:val="center"/>
              <w:textAlignment w:val="auto"/>
              <w:rPr>
                <w:rFonts w:hint="default" w:cs="Times New Roman"/>
                <w:color w:val="FF0000"/>
                <w:kern w:val="2"/>
                <w:sz w:val="21"/>
                <w:szCs w:val="21"/>
                <w:highlight w:val="none"/>
                <w:lang w:val="en-US" w:eastAsia="zh-CN" w:bidi="ar"/>
              </w:rPr>
            </w:pPr>
            <w:r>
              <w:rPr>
                <w:rFonts w:hint="eastAsia" w:cs="Times New Roman"/>
                <w:color w:val="FF0000"/>
                <w:kern w:val="2"/>
                <w:sz w:val="21"/>
                <w:szCs w:val="21"/>
                <w:highlight w:val="none"/>
                <w:lang w:val="en-US" w:eastAsia="zh-CN" w:bidi="ar"/>
              </w:rPr>
              <w:t>0.057</w:t>
            </w:r>
          </w:p>
        </w:tc>
        <w:tc>
          <w:tcPr>
            <w:tcW w:w="212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right="0"/>
              <w:jc w:val="center"/>
              <w:textAlignment w:val="auto"/>
              <w:rPr>
                <w:rFonts w:hint="eastAsia" w:eastAsia="宋体" w:cs="Times New Roman"/>
                <w:color w:val="FF0000"/>
                <w:kern w:val="2"/>
                <w:sz w:val="21"/>
                <w:szCs w:val="21"/>
                <w:highlight w:val="none"/>
                <w:lang w:val="en-US" w:eastAsia="zh-CN" w:bidi="ar"/>
              </w:rPr>
            </w:pPr>
            <w:r>
              <w:rPr>
                <w:rFonts w:hint="eastAsia" w:eastAsia="宋体" w:cs="Times New Roman"/>
                <w:color w:val="FF0000"/>
                <w:kern w:val="2"/>
                <w:sz w:val="21"/>
                <w:szCs w:val="21"/>
                <w:highlight w:val="none"/>
                <w:lang w:val="en-US" w:eastAsia="zh-CN" w:bidi="ar"/>
              </w:rPr>
              <w:t>1</w:t>
            </w:r>
            <w:r>
              <w:rPr>
                <w:rFonts w:hint="eastAsia" w:ascii="Times New Roman" w:hAnsi="Times New Roman" w:eastAsia="宋体" w:cs="Times New Roman"/>
                <w:color w:val="FF0000"/>
                <w:kern w:val="2"/>
                <w:sz w:val="21"/>
                <w:szCs w:val="21"/>
                <w:highlight w:val="none"/>
                <w:lang w:val="en-US" w:eastAsia="zh-CN" w:bidi="ar"/>
              </w:rPr>
              <w:t>0</w:t>
            </w:r>
            <w:r>
              <w:rPr>
                <w:rFonts w:hint="eastAsia" w:ascii="Times New Roman" w:hAnsi="Times New Roman" w:eastAsia="宋体" w:cs="宋体"/>
                <w:color w:val="FF0000"/>
                <w:kern w:val="2"/>
                <w:sz w:val="21"/>
                <w:szCs w:val="21"/>
                <w:highlight w:val="none"/>
                <w:lang w:val="en-US" w:eastAsia="zh-CN" w:bidi="ar"/>
              </w:rPr>
              <w:t>（易燃液体）</w:t>
            </w:r>
          </w:p>
        </w:tc>
        <w:tc>
          <w:tcPr>
            <w:tcW w:w="1430" w:type="dxa"/>
            <w:tcBorders>
              <w:top w:val="single" w:color="auto" w:sz="4" w:space="0"/>
              <w:left w:val="single" w:color="auto" w:sz="4" w:space="0"/>
              <w:bottom w:val="single" w:color="auto" w:sz="4" w:space="0"/>
              <w:right w:val="nil"/>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right="0"/>
              <w:jc w:val="center"/>
              <w:textAlignment w:val="auto"/>
              <w:rPr>
                <w:rFonts w:hint="default" w:cs="Times New Roman"/>
                <w:color w:val="FF0000"/>
                <w:kern w:val="2"/>
                <w:sz w:val="21"/>
                <w:szCs w:val="21"/>
                <w:highlight w:val="none"/>
                <w:lang w:val="en-US" w:eastAsia="zh-CN" w:bidi="ar"/>
              </w:rPr>
            </w:pPr>
            <w:r>
              <w:rPr>
                <w:rFonts w:hint="eastAsia" w:cs="Times New Roman"/>
                <w:color w:val="FF0000"/>
                <w:kern w:val="2"/>
                <w:sz w:val="21"/>
                <w:szCs w:val="21"/>
                <w:highlight w:val="none"/>
                <w:lang w:val="en-US" w:eastAsia="zh-CN" w:bidi="ar"/>
              </w:rPr>
              <w:t>0.0057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99" w:type="dxa"/>
            <w:gridSpan w:val="4"/>
            <w:tcBorders>
              <w:top w:val="single" w:color="auto" w:sz="4" w:space="0"/>
              <w:left w:val="nil"/>
              <w:bottom w:val="single" w:color="auto" w:sz="12" w:space="0"/>
              <w:right w:val="single" w:color="auto" w:sz="4" w:space="0"/>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right="0"/>
              <w:jc w:val="center"/>
              <w:textAlignment w:val="auto"/>
              <w:rPr>
                <w:rFonts w:hint="default"/>
                <w:color w:val="FF0000"/>
                <w:kern w:val="2"/>
                <w:sz w:val="21"/>
                <w:szCs w:val="21"/>
                <w:highlight w:val="none"/>
              </w:rPr>
            </w:pPr>
            <w:r>
              <w:rPr>
                <w:rFonts w:hint="eastAsia" w:ascii="Times New Roman" w:hAnsi="Times New Roman" w:eastAsia="宋体" w:cs="宋体"/>
                <w:color w:val="FF0000"/>
                <w:kern w:val="2"/>
                <w:sz w:val="21"/>
                <w:szCs w:val="21"/>
                <w:highlight w:val="none"/>
                <w:lang w:val="en-US" w:eastAsia="zh-CN" w:bidi="ar"/>
              </w:rPr>
              <w:t>合计</w:t>
            </w:r>
          </w:p>
        </w:tc>
        <w:tc>
          <w:tcPr>
            <w:tcW w:w="1430" w:type="dxa"/>
            <w:tcBorders>
              <w:top w:val="single" w:color="auto" w:sz="4" w:space="0"/>
              <w:left w:val="single" w:color="auto" w:sz="4" w:space="0"/>
              <w:bottom w:val="single" w:color="auto" w:sz="12" w:space="0"/>
              <w:right w:val="nil"/>
            </w:tcBorders>
            <w:shd w:val="clear" w:color="auto" w:fill="auto"/>
            <w:vAlign w:val="center"/>
          </w:tcPr>
          <w:p>
            <w:pPr>
              <w:keepNext w:val="0"/>
              <w:keepLines w:val="0"/>
              <w:pageBreakBefore w:val="0"/>
              <w:widowControl w:val="0"/>
              <w:suppressLineNumbers w:val="0"/>
              <w:kinsoku/>
              <w:wordWrap/>
              <w:overflowPunct/>
              <w:autoSpaceDE w:val="0"/>
              <w:autoSpaceDN w:val="0"/>
              <w:bidi w:val="0"/>
              <w:spacing w:before="0" w:beforeAutospacing="0" w:after="0" w:afterAutospacing="0" w:line="240" w:lineRule="auto"/>
              <w:ind w:left="0" w:right="0"/>
              <w:jc w:val="center"/>
              <w:textAlignment w:val="auto"/>
              <w:rPr>
                <w:rFonts w:hint="default"/>
                <w:color w:val="FF0000"/>
                <w:kern w:val="2"/>
                <w:sz w:val="21"/>
                <w:szCs w:val="21"/>
                <w:highlight w:val="none"/>
                <w:lang w:val="en-US"/>
              </w:rPr>
            </w:pPr>
            <w:r>
              <w:rPr>
                <w:rFonts w:hint="eastAsia" w:cs="Times New Roman"/>
                <w:color w:val="FF0000"/>
                <w:kern w:val="2"/>
                <w:sz w:val="21"/>
                <w:szCs w:val="21"/>
                <w:highlight w:val="none"/>
                <w:lang w:val="en-US" w:eastAsia="zh-CN" w:bidi="ar"/>
              </w:rPr>
              <w:t>0.2487</w:t>
            </w:r>
          </w:p>
        </w:tc>
      </w:tr>
    </w:tbl>
    <w:p>
      <w:pPr>
        <w:keepNext w:val="0"/>
        <w:keepLines w:val="0"/>
        <w:widowControl w:val="0"/>
        <w:suppressLineNumbers w:val="0"/>
        <w:snapToGrid w:val="0"/>
        <w:spacing w:before="0" w:beforeAutospacing="0" w:after="0" w:afterAutospacing="0" w:line="360" w:lineRule="auto"/>
        <w:ind w:left="0" w:right="0" w:firstLine="480" w:firstLineChars="200"/>
        <w:jc w:val="both"/>
        <w:rPr>
          <w:color w:val="FF0000"/>
          <w:sz w:val="24"/>
          <w:szCs w:val="24"/>
          <w:highlight w:val="none"/>
        </w:rPr>
      </w:pPr>
      <w:r>
        <w:rPr>
          <w:rFonts w:hint="eastAsia" w:ascii="Times New Roman" w:hAnsi="Times New Roman" w:eastAsia="宋体" w:cs="宋体"/>
          <w:color w:val="FF0000"/>
          <w:kern w:val="2"/>
          <w:sz w:val="24"/>
          <w:szCs w:val="24"/>
          <w:highlight w:val="none"/>
          <w:lang w:val="en-US" w:eastAsia="zh-CN" w:bidi="ar"/>
        </w:rPr>
        <w:t>根据以上分析，项</w:t>
      </w:r>
      <w:r>
        <w:rPr>
          <w:rFonts w:hint="eastAsia" w:ascii="Times New Roman" w:hAnsi="Times New Roman" w:eastAsia="宋体" w:cs="宋体"/>
          <w:color w:val="FF0000"/>
          <w:sz w:val="24"/>
          <w:szCs w:val="24"/>
          <w:highlight w:val="none"/>
          <w:lang w:eastAsia="zh-CN"/>
        </w:rPr>
        <w:t>目</w:t>
      </w:r>
      <w:r>
        <w:rPr>
          <w:color w:val="FF0000"/>
          <w:sz w:val="24"/>
          <w:szCs w:val="24"/>
          <w:highlight w:val="none"/>
          <w:lang w:val="en-US"/>
        </w:rPr>
        <w:t>q/Q=</w:t>
      </w:r>
      <w:r>
        <w:rPr>
          <w:rFonts w:hint="eastAsia"/>
          <w:color w:val="FF0000"/>
          <w:sz w:val="24"/>
          <w:szCs w:val="24"/>
          <w:highlight w:val="none"/>
          <w:lang w:val="en-US" w:eastAsia="zh-CN"/>
        </w:rPr>
        <w:t>0.2487</w:t>
      </w:r>
      <w:r>
        <w:rPr>
          <w:color w:val="FF0000"/>
          <w:sz w:val="24"/>
          <w:szCs w:val="24"/>
          <w:highlight w:val="none"/>
          <w:lang w:val="en-US"/>
        </w:rPr>
        <w:t>&lt;1</w:t>
      </w:r>
      <w:r>
        <w:rPr>
          <w:rFonts w:hint="eastAsia" w:ascii="Times New Roman" w:hAnsi="Times New Roman" w:eastAsia="宋体" w:cs="宋体"/>
          <w:color w:val="FF0000"/>
          <w:sz w:val="24"/>
          <w:szCs w:val="24"/>
          <w:highlight w:val="none"/>
          <w:lang w:eastAsia="zh-CN"/>
        </w:rPr>
        <w:t>，本项目环境风险潜势为</w:t>
      </w:r>
      <w:r>
        <w:rPr>
          <w:color w:val="FF0000"/>
          <w:sz w:val="24"/>
          <w:szCs w:val="24"/>
          <w:highlight w:val="none"/>
          <w:lang w:val="en-US"/>
        </w:rPr>
        <w:t>Ⅰ</w:t>
      </w:r>
      <w:r>
        <w:rPr>
          <w:rFonts w:hint="eastAsia" w:ascii="Times New Roman" w:hAnsi="Times New Roman" w:eastAsia="宋体" w:cs="宋体"/>
          <w:color w:val="FF0000"/>
          <w:sz w:val="24"/>
          <w:szCs w:val="24"/>
          <w:highlight w:val="none"/>
          <w:lang w:eastAsia="zh-CN"/>
        </w:rPr>
        <w:t>。</w:t>
      </w:r>
    </w:p>
    <w:p>
      <w:pPr>
        <w:pStyle w:val="20"/>
        <w:keepNext w:val="0"/>
        <w:keepLines w:val="0"/>
        <w:pageBreakBefore w:val="0"/>
        <w:kinsoku/>
        <w:wordWrap/>
        <w:overflowPunct/>
        <w:topLinePunct w:val="0"/>
        <w:bidi w:val="0"/>
        <w:spacing w:before="0" w:beforeAutospacing="0" w:after="0" w:afterAutospacing="0" w:line="360" w:lineRule="auto"/>
        <w:ind w:left="0" w:leftChars="0" w:right="0" w:firstLine="480" w:firstLineChars="200"/>
        <w:rPr>
          <w:rFonts w:hint="default" w:ascii="Times New Roman" w:hAnsi="Times New Roman" w:cs="Times New Roman"/>
          <w:color w:val="FF0000"/>
          <w:sz w:val="24"/>
          <w:szCs w:val="24"/>
          <w:highlight w:val="none"/>
        </w:rPr>
      </w:pPr>
      <w:r>
        <w:rPr>
          <w:rFonts w:hint="eastAsia" w:ascii="Times New Roman" w:hAnsi="Times New Roman" w:cs="Times New Roman"/>
          <w:color w:val="FF0000"/>
          <w:sz w:val="24"/>
          <w:szCs w:val="24"/>
          <w:highlight w:val="none"/>
          <w:lang w:eastAsia="zh-CN"/>
        </w:rPr>
        <w:t>因此，本项目</w:t>
      </w:r>
      <w:r>
        <w:rPr>
          <w:rFonts w:hint="default" w:ascii="Times New Roman" w:hAnsi="Times New Roman" w:cs="Times New Roman"/>
          <w:color w:val="FF0000"/>
          <w:sz w:val="24"/>
          <w:szCs w:val="24"/>
          <w:highlight w:val="none"/>
        </w:rPr>
        <w:t>Q=</w:t>
      </w:r>
      <w:r>
        <w:rPr>
          <w:rFonts w:hint="eastAsia" w:cs="Times New Roman"/>
          <w:color w:val="FF0000"/>
          <w:sz w:val="24"/>
          <w:szCs w:val="24"/>
          <w:highlight w:val="none"/>
          <w:lang w:val="en-US" w:eastAsia="zh-CN"/>
        </w:rPr>
        <w:t>0.2487</w:t>
      </w:r>
      <w:r>
        <w:rPr>
          <w:rFonts w:hint="default" w:ascii="Times New Roman" w:hAnsi="Times New Roman" w:cs="Times New Roman"/>
          <w:color w:val="FF0000"/>
          <w:sz w:val="24"/>
          <w:szCs w:val="24"/>
          <w:highlight w:val="none"/>
        </w:rPr>
        <w:t>，属于Q＜1。因此，本项目环境风险潜势为I；</w:t>
      </w:r>
    </w:p>
    <w:p>
      <w:pPr>
        <w:pStyle w:val="20"/>
        <w:keepNext w:val="0"/>
        <w:keepLines w:val="0"/>
        <w:pageBreakBefore w:val="0"/>
        <w:kinsoku/>
        <w:wordWrap/>
        <w:overflowPunct/>
        <w:topLinePunct w:val="0"/>
        <w:bidi w:val="0"/>
        <w:spacing w:before="0" w:beforeAutospacing="0" w:after="0" w:afterAutospacing="0" w:line="360" w:lineRule="auto"/>
        <w:ind w:left="0" w:leftChars="0" w:right="0" w:firstLine="480" w:firstLineChars="200"/>
        <w:rPr>
          <w:rFonts w:hint="default" w:ascii="Times New Roman" w:hAnsi="Times New Roman" w:cs="Times New Roman"/>
          <w:color w:val="FF0000"/>
          <w:sz w:val="24"/>
          <w:szCs w:val="24"/>
          <w:highlight w:val="none"/>
        </w:rPr>
      </w:pPr>
      <w:r>
        <w:rPr>
          <w:rFonts w:hint="default" w:ascii="Times New Roman" w:hAnsi="Times New Roman" w:cs="Times New Roman"/>
          <w:color w:val="FF0000"/>
          <w:sz w:val="24"/>
          <w:szCs w:val="24"/>
          <w:highlight w:val="none"/>
        </w:rPr>
        <w:t>根据《建设项目环境风险评价技术导则》（HJ169-2018）中环境风险评价等级划分方法，具体见下表。由表</w:t>
      </w:r>
      <w:r>
        <w:rPr>
          <w:rFonts w:hint="eastAsia" w:cs="Times New Roman"/>
          <w:color w:val="FF0000"/>
          <w:spacing w:val="7"/>
          <w:sz w:val="24"/>
          <w:szCs w:val="24"/>
          <w:highlight w:val="none"/>
          <w:lang w:val="en-US" w:eastAsia="zh-CN"/>
        </w:rPr>
        <w:t>2.7</w:t>
      </w:r>
      <w:r>
        <w:rPr>
          <w:rFonts w:hint="default" w:ascii="Times New Roman" w:hAnsi="Times New Roman" w:eastAsia="宋体" w:cs="Times New Roman"/>
          <w:color w:val="FF0000"/>
          <w:spacing w:val="7"/>
          <w:sz w:val="24"/>
          <w:szCs w:val="24"/>
          <w:highlight w:val="none"/>
        </w:rPr>
        <w:t>-</w:t>
      </w:r>
      <w:r>
        <w:rPr>
          <w:rFonts w:hint="eastAsia" w:ascii="Times New Roman" w:hAnsi="Times New Roman" w:cs="Times New Roman"/>
          <w:color w:val="FF0000"/>
          <w:spacing w:val="7"/>
          <w:sz w:val="24"/>
          <w:szCs w:val="24"/>
          <w:highlight w:val="none"/>
          <w:lang w:val="en-US" w:eastAsia="zh-CN"/>
        </w:rPr>
        <w:t>3</w:t>
      </w:r>
      <w:r>
        <w:rPr>
          <w:rFonts w:hint="default" w:ascii="Times New Roman" w:hAnsi="Times New Roman" w:eastAsia="宋体" w:cs="Times New Roman"/>
          <w:color w:val="FF0000"/>
          <w:spacing w:val="7"/>
          <w:sz w:val="24"/>
          <w:szCs w:val="24"/>
          <w:highlight w:val="none"/>
          <w:lang w:val="en-US" w:eastAsia="zh-CN"/>
        </w:rPr>
        <w:t xml:space="preserve"> </w:t>
      </w:r>
      <w:r>
        <w:rPr>
          <w:rFonts w:hint="default" w:ascii="Times New Roman" w:hAnsi="Times New Roman" w:cs="Times New Roman"/>
          <w:color w:val="FF0000"/>
          <w:sz w:val="24"/>
          <w:szCs w:val="24"/>
          <w:highlight w:val="none"/>
        </w:rPr>
        <w:t>可知，本项目环境风险评价仅进行简单分析。</w:t>
      </w:r>
    </w:p>
    <w:p>
      <w:pPr>
        <w:pStyle w:val="315"/>
        <w:keepNext w:val="0"/>
        <w:keepLines w:val="0"/>
        <w:pageBreakBefore w:val="0"/>
        <w:kinsoku/>
        <w:wordWrap/>
        <w:overflowPunct/>
        <w:topLinePunct w:val="0"/>
        <w:bidi w:val="0"/>
        <w:spacing w:before="0" w:beforeLines="0" w:beforeAutospacing="0" w:after="0" w:afterAutospacing="0" w:line="360" w:lineRule="auto"/>
        <w:ind w:left="0" w:leftChars="0" w:right="0" w:firstLine="422" w:firstLineChars="200"/>
        <w:rPr>
          <w:rFonts w:hint="default" w:ascii="Times New Roman" w:hAnsi="Times New Roman" w:cs="Times New Roman"/>
          <w:color w:val="FF0000"/>
          <w:sz w:val="24"/>
          <w:szCs w:val="24"/>
          <w:highlight w:val="none"/>
        </w:rPr>
      </w:pPr>
      <w:r>
        <w:rPr>
          <w:rFonts w:hint="default" w:ascii="Times New Roman" w:hAnsi="Times New Roman" w:eastAsia="宋体" w:cs="Times New Roman"/>
          <w:color w:val="FF0000"/>
          <w:sz w:val="21"/>
          <w:highlight w:val="none"/>
        </w:rPr>
        <w:t>表</w:t>
      </w:r>
      <w:r>
        <w:rPr>
          <w:rFonts w:hint="default" w:ascii="Times New Roman" w:hAnsi="Times New Roman" w:eastAsia="宋体" w:cs="Times New Roman"/>
          <w:color w:val="FF0000"/>
          <w:spacing w:val="1"/>
          <w:sz w:val="21"/>
          <w:highlight w:val="none"/>
        </w:rPr>
        <w:t xml:space="preserve"> </w:t>
      </w:r>
      <w:r>
        <w:rPr>
          <w:rFonts w:hint="eastAsia" w:cs="Times New Roman"/>
          <w:color w:val="FF0000"/>
          <w:spacing w:val="7"/>
          <w:sz w:val="21"/>
          <w:highlight w:val="none"/>
          <w:lang w:val="en-US" w:eastAsia="zh-CN"/>
        </w:rPr>
        <w:t>2.7</w:t>
      </w:r>
      <w:r>
        <w:rPr>
          <w:rFonts w:hint="default" w:ascii="Times New Roman" w:hAnsi="Times New Roman" w:eastAsia="宋体" w:cs="Times New Roman"/>
          <w:color w:val="FF0000"/>
          <w:spacing w:val="7"/>
          <w:sz w:val="21"/>
          <w:highlight w:val="none"/>
        </w:rPr>
        <w:t>-</w:t>
      </w:r>
      <w:r>
        <w:rPr>
          <w:rFonts w:hint="eastAsia" w:hAnsi="Times New Roman" w:cs="Times New Roman"/>
          <w:color w:val="FF0000"/>
          <w:spacing w:val="7"/>
          <w:sz w:val="21"/>
          <w:highlight w:val="none"/>
          <w:lang w:val="en-US" w:eastAsia="zh-CN"/>
        </w:rPr>
        <w:t>3</w:t>
      </w:r>
      <w:r>
        <w:rPr>
          <w:rFonts w:hint="default" w:ascii="Times New Roman" w:hAnsi="Times New Roman" w:eastAsia="宋体" w:cs="Times New Roman"/>
          <w:color w:val="FF0000"/>
          <w:spacing w:val="7"/>
          <w:sz w:val="21"/>
          <w:highlight w:val="none"/>
          <w:lang w:val="en-US" w:eastAsia="zh-CN"/>
        </w:rPr>
        <w:t xml:space="preserve"> </w:t>
      </w:r>
      <w:r>
        <w:rPr>
          <w:rFonts w:hint="default" w:ascii="Times New Roman" w:hAnsi="Times New Roman" w:cs="Times New Roman"/>
          <w:color w:val="FF0000"/>
          <w:sz w:val="24"/>
          <w:szCs w:val="24"/>
          <w:highlight w:val="none"/>
        </w:rPr>
        <w:t xml:space="preserve"> 评级工作等级划分</w:t>
      </w:r>
    </w:p>
    <w:tbl>
      <w:tblPr>
        <w:tblStyle w:val="49"/>
        <w:tblW w:w="973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15"/>
        <w:gridCol w:w="1915"/>
        <w:gridCol w:w="1915"/>
        <w:gridCol w:w="1915"/>
        <w:gridCol w:w="207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5" w:hRule="atLeast"/>
          <w:jc w:val="center"/>
        </w:trPr>
        <w:tc>
          <w:tcPr>
            <w:tcW w:w="1915" w:type="dxa"/>
            <w:noWrap w:val="0"/>
            <w:vAlign w:val="top"/>
          </w:tcPr>
          <w:p>
            <w:pPr>
              <w:pStyle w:val="316"/>
              <w:keepNext w:val="0"/>
              <w:keepLines w:val="0"/>
              <w:pageBreakBefore w:val="0"/>
              <w:suppressLineNumbers w:val="0"/>
              <w:kinsoku/>
              <w:wordWrap/>
              <w:overflowPunct/>
              <w:topLinePunct w:val="0"/>
              <w:bidi w:val="0"/>
              <w:spacing w:before="0" w:beforeAutospacing="0" w:after="0" w:afterAutospacing="0" w:line="360" w:lineRule="auto"/>
              <w:ind w:left="0" w:leftChars="0" w:right="0" w:firstLine="422" w:firstLineChars="200"/>
              <w:rPr>
                <w:rFonts w:hint="default" w:ascii="Times New Roman" w:hAnsi="Times New Roman" w:cs="Times New Roman"/>
                <w:color w:val="FF0000"/>
                <w:sz w:val="21"/>
                <w:szCs w:val="21"/>
                <w:highlight w:val="none"/>
              </w:rPr>
            </w:pPr>
            <w:r>
              <w:rPr>
                <w:rFonts w:hint="default" w:ascii="Times New Roman" w:hAnsi="Times New Roman" w:cs="Times New Roman"/>
                <w:color w:val="FF0000"/>
                <w:sz w:val="21"/>
                <w:szCs w:val="21"/>
                <w:highlight w:val="none"/>
              </w:rPr>
              <w:t>环境风险潜势</w:t>
            </w:r>
          </w:p>
        </w:tc>
        <w:tc>
          <w:tcPr>
            <w:tcW w:w="1915" w:type="dxa"/>
            <w:noWrap w:val="0"/>
            <w:vAlign w:val="top"/>
          </w:tcPr>
          <w:p>
            <w:pPr>
              <w:pStyle w:val="316"/>
              <w:keepNext w:val="0"/>
              <w:keepLines w:val="0"/>
              <w:pageBreakBefore w:val="0"/>
              <w:suppressLineNumbers w:val="0"/>
              <w:kinsoku/>
              <w:wordWrap/>
              <w:overflowPunct/>
              <w:topLinePunct w:val="0"/>
              <w:bidi w:val="0"/>
              <w:spacing w:before="0" w:beforeAutospacing="0" w:after="0" w:afterAutospacing="0" w:line="360" w:lineRule="auto"/>
              <w:ind w:left="0" w:leftChars="0" w:right="0" w:firstLine="422" w:firstLineChars="200"/>
              <w:rPr>
                <w:rFonts w:hint="default" w:ascii="Times New Roman" w:hAnsi="Times New Roman" w:cs="Times New Roman"/>
                <w:color w:val="FF0000"/>
                <w:sz w:val="21"/>
                <w:szCs w:val="21"/>
                <w:highlight w:val="none"/>
              </w:rPr>
            </w:pPr>
            <w:r>
              <w:rPr>
                <w:rFonts w:hint="default" w:ascii="Times New Roman" w:hAnsi="Times New Roman" w:cs="Times New Roman"/>
                <w:color w:val="FF0000"/>
                <w:sz w:val="21"/>
                <w:szCs w:val="21"/>
                <w:highlight w:val="none"/>
              </w:rPr>
              <w:t>IV、IV</w:t>
            </w:r>
            <w:r>
              <w:rPr>
                <w:rFonts w:hint="default" w:ascii="Times New Roman" w:hAnsi="Times New Roman" w:cs="Times New Roman"/>
                <w:color w:val="FF0000"/>
                <w:sz w:val="21"/>
                <w:szCs w:val="21"/>
                <w:highlight w:val="none"/>
                <w:vertAlign w:val="superscript"/>
              </w:rPr>
              <w:t>+</w:t>
            </w:r>
          </w:p>
        </w:tc>
        <w:tc>
          <w:tcPr>
            <w:tcW w:w="1915" w:type="dxa"/>
            <w:noWrap w:val="0"/>
            <w:vAlign w:val="top"/>
          </w:tcPr>
          <w:p>
            <w:pPr>
              <w:pStyle w:val="316"/>
              <w:keepNext w:val="0"/>
              <w:keepLines w:val="0"/>
              <w:pageBreakBefore w:val="0"/>
              <w:suppressLineNumbers w:val="0"/>
              <w:kinsoku/>
              <w:wordWrap/>
              <w:overflowPunct/>
              <w:topLinePunct w:val="0"/>
              <w:bidi w:val="0"/>
              <w:spacing w:before="0" w:beforeAutospacing="0" w:after="0" w:afterAutospacing="0" w:line="360" w:lineRule="auto"/>
              <w:ind w:left="0" w:leftChars="0" w:right="0" w:firstLine="422" w:firstLineChars="200"/>
              <w:rPr>
                <w:rFonts w:hint="default" w:ascii="Times New Roman" w:hAnsi="Times New Roman" w:cs="Times New Roman"/>
                <w:color w:val="FF0000"/>
                <w:sz w:val="21"/>
                <w:szCs w:val="21"/>
                <w:highlight w:val="none"/>
              </w:rPr>
            </w:pPr>
            <w:r>
              <w:rPr>
                <w:rFonts w:hint="default" w:ascii="Times New Roman" w:hAnsi="Times New Roman" w:cs="Times New Roman"/>
                <w:color w:val="FF0000"/>
                <w:sz w:val="21"/>
                <w:szCs w:val="21"/>
                <w:highlight w:val="none"/>
              </w:rPr>
              <w:t>III</w:t>
            </w:r>
          </w:p>
        </w:tc>
        <w:tc>
          <w:tcPr>
            <w:tcW w:w="1915" w:type="dxa"/>
            <w:noWrap w:val="0"/>
            <w:vAlign w:val="top"/>
          </w:tcPr>
          <w:p>
            <w:pPr>
              <w:pStyle w:val="316"/>
              <w:keepNext w:val="0"/>
              <w:keepLines w:val="0"/>
              <w:pageBreakBefore w:val="0"/>
              <w:suppressLineNumbers w:val="0"/>
              <w:kinsoku/>
              <w:wordWrap/>
              <w:overflowPunct/>
              <w:topLinePunct w:val="0"/>
              <w:bidi w:val="0"/>
              <w:spacing w:before="0" w:beforeAutospacing="0" w:after="0" w:afterAutospacing="0" w:line="360" w:lineRule="auto"/>
              <w:ind w:left="0" w:leftChars="0" w:right="0" w:firstLine="422" w:firstLineChars="200"/>
              <w:rPr>
                <w:rFonts w:hint="default" w:ascii="Times New Roman" w:hAnsi="Times New Roman" w:cs="Times New Roman"/>
                <w:color w:val="FF0000"/>
                <w:sz w:val="21"/>
                <w:szCs w:val="21"/>
                <w:highlight w:val="none"/>
              </w:rPr>
            </w:pPr>
            <w:r>
              <w:rPr>
                <w:rFonts w:hint="default" w:ascii="Times New Roman" w:hAnsi="Times New Roman" w:cs="Times New Roman"/>
                <w:color w:val="FF0000"/>
                <w:sz w:val="21"/>
                <w:szCs w:val="21"/>
                <w:highlight w:val="none"/>
              </w:rPr>
              <w:t>II</w:t>
            </w:r>
          </w:p>
        </w:tc>
        <w:tc>
          <w:tcPr>
            <w:tcW w:w="2072" w:type="dxa"/>
            <w:noWrap w:val="0"/>
            <w:vAlign w:val="top"/>
          </w:tcPr>
          <w:p>
            <w:pPr>
              <w:pStyle w:val="316"/>
              <w:keepNext w:val="0"/>
              <w:keepLines w:val="0"/>
              <w:pageBreakBefore w:val="0"/>
              <w:suppressLineNumbers w:val="0"/>
              <w:kinsoku/>
              <w:wordWrap/>
              <w:overflowPunct/>
              <w:topLinePunct w:val="0"/>
              <w:bidi w:val="0"/>
              <w:spacing w:before="0" w:beforeAutospacing="0" w:after="0" w:afterAutospacing="0" w:line="360" w:lineRule="auto"/>
              <w:ind w:left="0" w:leftChars="0" w:right="0" w:firstLine="422" w:firstLineChars="200"/>
              <w:rPr>
                <w:rFonts w:hint="default" w:ascii="Times New Roman" w:hAnsi="Times New Roman" w:cs="Times New Roman"/>
                <w:color w:val="FF0000"/>
                <w:sz w:val="21"/>
                <w:szCs w:val="21"/>
                <w:highlight w:val="none"/>
              </w:rPr>
            </w:pPr>
            <w:r>
              <w:rPr>
                <w:rFonts w:hint="default" w:ascii="Times New Roman" w:hAnsi="Times New Roman" w:cs="Times New Roman"/>
                <w:color w:val="FF0000"/>
                <w:sz w:val="21"/>
                <w:szCs w:val="21"/>
                <w:highlight w:val="none"/>
              </w:rPr>
              <w:t>I</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9" w:hRule="atLeast"/>
          <w:jc w:val="center"/>
        </w:trPr>
        <w:tc>
          <w:tcPr>
            <w:tcW w:w="1915" w:type="dxa"/>
            <w:noWrap w:val="0"/>
            <w:vAlign w:val="top"/>
          </w:tcPr>
          <w:p>
            <w:pPr>
              <w:pStyle w:val="316"/>
              <w:keepNext w:val="0"/>
              <w:keepLines w:val="0"/>
              <w:pageBreakBefore w:val="0"/>
              <w:suppressLineNumbers w:val="0"/>
              <w:kinsoku/>
              <w:wordWrap/>
              <w:overflowPunct/>
              <w:topLinePunct w:val="0"/>
              <w:bidi w:val="0"/>
              <w:spacing w:before="0" w:beforeAutospacing="0" w:after="0" w:afterAutospacing="0" w:line="360" w:lineRule="auto"/>
              <w:ind w:left="0" w:leftChars="0" w:right="0" w:firstLine="422" w:firstLineChars="200"/>
              <w:rPr>
                <w:rFonts w:hint="default" w:ascii="Times New Roman" w:hAnsi="Times New Roman" w:cs="Times New Roman"/>
                <w:color w:val="FF0000"/>
                <w:sz w:val="21"/>
                <w:szCs w:val="21"/>
                <w:highlight w:val="none"/>
              </w:rPr>
            </w:pPr>
            <w:r>
              <w:rPr>
                <w:rFonts w:hint="default" w:ascii="Times New Roman" w:hAnsi="Times New Roman" w:cs="Times New Roman"/>
                <w:color w:val="FF0000"/>
                <w:sz w:val="21"/>
                <w:szCs w:val="21"/>
                <w:highlight w:val="none"/>
              </w:rPr>
              <w:t>评价工作等级</w:t>
            </w:r>
          </w:p>
        </w:tc>
        <w:tc>
          <w:tcPr>
            <w:tcW w:w="1915" w:type="dxa"/>
            <w:noWrap w:val="0"/>
            <w:vAlign w:val="top"/>
          </w:tcPr>
          <w:p>
            <w:pPr>
              <w:pStyle w:val="316"/>
              <w:keepNext w:val="0"/>
              <w:keepLines w:val="0"/>
              <w:pageBreakBefore w:val="0"/>
              <w:suppressLineNumbers w:val="0"/>
              <w:kinsoku/>
              <w:wordWrap/>
              <w:overflowPunct/>
              <w:topLinePunct w:val="0"/>
              <w:bidi w:val="0"/>
              <w:spacing w:before="0" w:beforeAutospacing="0" w:after="0" w:afterAutospacing="0" w:line="360" w:lineRule="auto"/>
              <w:ind w:left="0" w:leftChars="0" w:right="0" w:firstLine="422" w:firstLineChars="200"/>
              <w:rPr>
                <w:rFonts w:hint="default" w:ascii="Times New Roman" w:hAnsi="Times New Roman" w:cs="Times New Roman"/>
                <w:color w:val="FF0000"/>
                <w:sz w:val="21"/>
                <w:szCs w:val="21"/>
                <w:highlight w:val="none"/>
              </w:rPr>
            </w:pPr>
            <w:r>
              <w:rPr>
                <w:rFonts w:hint="default" w:ascii="Times New Roman" w:hAnsi="Times New Roman" w:cs="Times New Roman"/>
                <w:color w:val="FF0000"/>
                <w:sz w:val="21"/>
                <w:szCs w:val="21"/>
                <w:highlight w:val="none"/>
              </w:rPr>
              <w:t>一</w:t>
            </w:r>
          </w:p>
        </w:tc>
        <w:tc>
          <w:tcPr>
            <w:tcW w:w="1915" w:type="dxa"/>
            <w:noWrap w:val="0"/>
            <w:vAlign w:val="top"/>
          </w:tcPr>
          <w:p>
            <w:pPr>
              <w:pStyle w:val="316"/>
              <w:keepNext w:val="0"/>
              <w:keepLines w:val="0"/>
              <w:pageBreakBefore w:val="0"/>
              <w:suppressLineNumbers w:val="0"/>
              <w:kinsoku/>
              <w:wordWrap/>
              <w:overflowPunct/>
              <w:topLinePunct w:val="0"/>
              <w:bidi w:val="0"/>
              <w:spacing w:before="0" w:beforeAutospacing="0" w:after="0" w:afterAutospacing="0" w:line="360" w:lineRule="auto"/>
              <w:ind w:left="0" w:leftChars="0" w:right="0" w:firstLine="422" w:firstLineChars="200"/>
              <w:rPr>
                <w:rFonts w:hint="default" w:ascii="Times New Roman" w:hAnsi="Times New Roman" w:cs="Times New Roman"/>
                <w:color w:val="FF0000"/>
                <w:sz w:val="21"/>
                <w:szCs w:val="21"/>
                <w:highlight w:val="none"/>
              </w:rPr>
            </w:pPr>
            <w:r>
              <w:rPr>
                <w:rFonts w:hint="default" w:ascii="Times New Roman" w:hAnsi="Times New Roman" w:cs="Times New Roman"/>
                <w:color w:val="FF0000"/>
                <w:sz w:val="21"/>
                <w:szCs w:val="21"/>
                <w:highlight w:val="none"/>
              </w:rPr>
              <w:t>二</w:t>
            </w:r>
          </w:p>
        </w:tc>
        <w:tc>
          <w:tcPr>
            <w:tcW w:w="1915" w:type="dxa"/>
            <w:noWrap w:val="0"/>
            <w:vAlign w:val="top"/>
          </w:tcPr>
          <w:p>
            <w:pPr>
              <w:pStyle w:val="316"/>
              <w:keepNext w:val="0"/>
              <w:keepLines w:val="0"/>
              <w:pageBreakBefore w:val="0"/>
              <w:suppressLineNumbers w:val="0"/>
              <w:kinsoku/>
              <w:wordWrap/>
              <w:overflowPunct/>
              <w:topLinePunct w:val="0"/>
              <w:bidi w:val="0"/>
              <w:spacing w:before="0" w:beforeAutospacing="0" w:after="0" w:afterAutospacing="0" w:line="360" w:lineRule="auto"/>
              <w:ind w:left="0" w:leftChars="0" w:right="0" w:firstLine="422" w:firstLineChars="200"/>
              <w:rPr>
                <w:rFonts w:hint="default" w:ascii="Times New Roman" w:hAnsi="Times New Roman" w:cs="Times New Roman"/>
                <w:color w:val="FF0000"/>
                <w:sz w:val="21"/>
                <w:szCs w:val="21"/>
                <w:highlight w:val="none"/>
              </w:rPr>
            </w:pPr>
            <w:r>
              <w:rPr>
                <w:rFonts w:hint="default" w:ascii="Times New Roman" w:hAnsi="Times New Roman" w:cs="Times New Roman"/>
                <w:color w:val="FF0000"/>
                <w:sz w:val="21"/>
                <w:szCs w:val="21"/>
                <w:highlight w:val="none"/>
              </w:rPr>
              <w:t>三</w:t>
            </w:r>
          </w:p>
        </w:tc>
        <w:tc>
          <w:tcPr>
            <w:tcW w:w="2072" w:type="dxa"/>
            <w:noWrap w:val="0"/>
            <w:vAlign w:val="top"/>
          </w:tcPr>
          <w:p>
            <w:pPr>
              <w:pStyle w:val="316"/>
              <w:keepNext w:val="0"/>
              <w:keepLines w:val="0"/>
              <w:pageBreakBefore w:val="0"/>
              <w:suppressLineNumbers w:val="0"/>
              <w:kinsoku/>
              <w:wordWrap/>
              <w:overflowPunct/>
              <w:topLinePunct w:val="0"/>
              <w:bidi w:val="0"/>
              <w:spacing w:before="0" w:beforeAutospacing="0" w:after="0" w:afterAutospacing="0" w:line="360" w:lineRule="auto"/>
              <w:ind w:left="0" w:leftChars="0" w:right="0" w:firstLine="422" w:firstLineChars="200"/>
              <w:rPr>
                <w:rFonts w:hint="default" w:ascii="Times New Roman" w:hAnsi="Times New Roman" w:cs="Times New Roman"/>
                <w:color w:val="FF0000"/>
                <w:sz w:val="21"/>
                <w:szCs w:val="21"/>
                <w:highlight w:val="none"/>
              </w:rPr>
            </w:pPr>
            <w:r>
              <w:rPr>
                <w:rFonts w:hint="default" w:ascii="Times New Roman" w:hAnsi="Times New Roman" w:cs="Times New Roman"/>
                <w:color w:val="FF0000"/>
                <w:sz w:val="21"/>
                <w:szCs w:val="21"/>
                <w:highlight w:val="none"/>
              </w:rPr>
              <w:t>简单分析</w:t>
            </w:r>
            <w:r>
              <w:rPr>
                <w:rFonts w:hint="default" w:ascii="Times New Roman" w:hAnsi="Times New Roman" w:cs="Times New Roman"/>
                <w:color w:val="FF0000"/>
                <w:sz w:val="21"/>
                <w:szCs w:val="21"/>
                <w:highlight w:val="none"/>
                <w:vertAlign w:val="superscript"/>
              </w:rPr>
              <w:t>a</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05" w:hRule="atLeast"/>
          <w:jc w:val="center"/>
        </w:trPr>
        <w:tc>
          <w:tcPr>
            <w:tcW w:w="9732" w:type="dxa"/>
            <w:gridSpan w:val="5"/>
            <w:noWrap w:val="0"/>
            <w:vAlign w:val="top"/>
          </w:tcPr>
          <w:p>
            <w:pPr>
              <w:pStyle w:val="316"/>
              <w:keepNext w:val="0"/>
              <w:keepLines w:val="0"/>
              <w:pageBreakBefore w:val="0"/>
              <w:suppressLineNumbers w:val="0"/>
              <w:kinsoku/>
              <w:wordWrap/>
              <w:overflowPunct/>
              <w:topLinePunct w:val="0"/>
              <w:bidi w:val="0"/>
              <w:spacing w:before="0" w:beforeAutospacing="0" w:after="0" w:afterAutospacing="0" w:line="360" w:lineRule="auto"/>
              <w:ind w:left="0" w:leftChars="0" w:right="0" w:firstLine="422" w:firstLineChars="200"/>
              <w:jc w:val="left"/>
              <w:rPr>
                <w:rFonts w:hint="default" w:ascii="Times New Roman" w:hAnsi="Times New Roman" w:cs="Times New Roman"/>
                <w:color w:val="FF0000"/>
                <w:sz w:val="21"/>
                <w:szCs w:val="21"/>
                <w:highlight w:val="none"/>
              </w:rPr>
            </w:pPr>
            <w:r>
              <w:rPr>
                <w:rFonts w:hint="default" w:ascii="Times New Roman" w:hAnsi="Times New Roman" w:cs="Times New Roman"/>
                <w:color w:val="FF0000"/>
                <w:sz w:val="21"/>
                <w:szCs w:val="21"/>
                <w:highlight w:val="none"/>
              </w:rPr>
              <w:t>a是相对于详细评价工作内容而言，在描述危险物质、环境影响途径、环境危害后果、风险防范措施等方面给出定性的说明。</w:t>
            </w:r>
          </w:p>
        </w:tc>
      </w:tr>
    </w:tbl>
    <w:p>
      <w:pPr>
        <w:rPr>
          <w:rFonts w:hint="default"/>
          <w:b/>
          <w:bCs/>
          <w:color w:val="FF0000"/>
          <w:sz w:val="24"/>
          <w:szCs w:val="24"/>
          <w:highlight w:val="none"/>
        </w:rPr>
      </w:pPr>
      <w:r>
        <w:rPr>
          <w:rFonts w:hint="eastAsia"/>
          <w:b/>
          <w:bCs/>
          <w:color w:val="FF0000"/>
          <w:sz w:val="24"/>
          <w:szCs w:val="24"/>
          <w:highlight w:val="none"/>
          <w:lang w:val="en-US" w:eastAsia="zh-CN"/>
        </w:rPr>
        <w:t>2.7.</w:t>
      </w:r>
      <w:r>
        <w:rPr>
          <w:rFonts w:hint="default"/>
          <w:b/>
          <w:bCs/>
          <w:color w:val="FF0000"/>
          <w:sz w:val="24"/>
          <w:szCs w:val="24"/>
          <w:highlight w:val="none"/>
        </w:rPr>
        <w:t>2环境风险识别</w:t>
      </w:r>
    </w:p>
    <w:p>
      <w:pPr>
        <w:spacing w:line="360" w:lineRule="auto"/>
        <w:ind w:firstLine="480" w:firstLineChars="200"/>
        <w:rPr>
          <w:rFonts w:hint="default" w:ascii="Times New Roman" w:hAnsi="Times New Roman" w:cs="Times New Roman"/>
          <w:color w:val="FF0000"/>
          <w:sz w:val="24"/>
          <w:szCs w:val="24"/>
          <w:highlight w:val="none"/>
        </w:rPr>
      </w:pPr>
      <w:r>
        <w:rPr>
          <w:rFonts w:hint="default" w:ascii="Times New Roman" w:hAnsi="Times New Roman" w:cs="Times New Roman"/>
          <w:color w:val="FF0000"/>
          <w:sz w:val="24"/>
          <w:szCs w:val="24"/>
          <w:highlight w:val="none"/>
        </w:rPr>
        <w:t>风险识别范围包括生产过程所涉及的物质风险识别和生产设施风险识别，本次评价根据《危险化学品重大危险源辨识》（GB18218-2009)对生产过程所涉及的物质风险和生产设施风险进行识别。</w:t>
      </w:r>
    </w:p>
    <w:p>
      <w:pPr>
        <w:spacing w:line="360" w:lineRule="auto"/>
        <w:ind w:firstLine="480" w:firstLineChars="200"/>
        <w:rPr>
          <w:rFonts w:hint="default" w:ascii="Times New Roman" w:hAnsi="Times New Roman" w:cs="Times New Roman"/>
          <w:color w:val="FF0000"/>
          <w:sz w:val="24"/>
          <w:szCs w:val="24"/>
          <w:highlight w:val="none"/>
        </w:rPr>
      </w:pPr>
      <w:r>
        <w:rPr>
          <w:rFonts w:hint="default" w:ascii="Times New Roman" w:hAnsi="Times New Roman" w:cs="Times New Roman"/>
          <w:color w:val="FF0000"/>
          <w:sz w:val="24"/>
          <w:szCs w:val="24"/>
          <w:highlight w:val="none"/>
        </w:rPr>
        <w:t>物质风险识别范围：主要原材料及辅助材料、燃料、中间产品、最终产品以及生产过程排放的“三废”污染物等。</w:t>
      </w:r>
    </w:p>
    <w:p>
      <w:pPr>
        <w:spacing w:line="360" w:lineRule="auto"/>
        <w:ind w:firstLine="480" w:firstLineChars="200"/>
        <w:rPr>
          <w:rFonts w:hint="default" w:ascii="Times New Roman" w:hAnsi="Times New Roman" w:cs="Times New Roman"/>
          <w:color w:val="FF0000"/>
          <w:sz w:val="24"/>
          <w:szCs w:val="24"/>
          <w:highlight w:val="none"/>
        </w:rPr>
      </w:pPr>
      <w:r>
        <w:rPr>
          <w:rFonts w:hint="default" w:ascii="Times New Roman" w:hAnsi="Times New Roman" w:cs="Times New Roman"/>
          <w:color w:val="FF0000"/>
          <w:sz w:val="24"/>
          <w:szCs w:val="24"/>
          <w:highlight w:val="none"/>
        </w:rPr>
        <w:t>生产设施风险识别范围：主要生产装置、贮运系统、公用工程系统、工程环保设施及辅助生产设施等。</w:t>
      </w:r>
    </w:p>
    <w:p>
      <w:pPr>
        <w:spacing w:line="360" w:lineRule="auto"/>
        <w:ind w:firstLine="480" w:firstLineChars="200"/>
        <w:rPr>
          <w:rFonts w:hint="default" w:ascii="Times New Roman" w:hAnsi="Times New Roman" w:cs="Times New Roman"/>
          <w:color w:val="FF0000"/>
          <w:sz w:val="24"/>
          <w:szCs w:val="24"/>
          <w:highlight w:val="none"/>
        </w:rPr>
      </w:pPr>
      <w:r>
        <w:rPr>
          <w:rFonts w:hint="default" w:ascii="Times New Roman" w:hAnsi="Times New Roman" w:cs="Times New Roman"/>
          <w:color w:val="FF0000"/>
          <w:sz w:val="24"/>
          <w:szCs w:val="24"/>
          <w:highlight w:val="none"/>
        </w:rPr>
        <w:t>风险类型根据有毒有害物质放散起因，分为火灾、爆炸和泄漏三种类型。</w:t>
      </w:r>
    </w:p>
    <w:p>
      <w:pPr>
        <w:rPr>
          <w:rFonts w:hint="default"/>
          <w:b/>
          <w:bCs/>
          <w:color w:val="000000" w:themeColor="text1"/>
          <w:sz w:val="24"/>
          <w:szCs w:val="24"/>
          <w:highlight w:val="none"/>
          <w14:textFill>
            <w14:solidFill>
              <w14:schemeClr w14:val="tx1"/>
            </w14:solidFill>
          </w14:textFill>
        </w:rPr>
      </w:pPr>
    </w:p>
    <w:p>
      <w:pPr>
        <w:numPr>
          <w:ilvl w:val="0"/>
          <w:numId w:val="0"/>
        </w:numPr>
        <w:bidi w:val="0"/>
        <w:spacing w:line="360" w:lineRule="auto"/>
        <w:ind w:firstLine="482" w:firstLineChars="200"/>
        <w:rPr>
          <w:rFonts w:hint="default" w:ascii="Times New Roman" w:hAnsi="Times New Roman" w:cs="Times New Roman"/>
          <w:b/>
          <w:bCs/>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14:textFill>
            <w14:solidFill>
              <w14:schemeClr w14:val="tx1"/>
            </w14:solidFill>
          </w14:textFill>
        </w:rPr>
        <w:t>（1)物质风险识别</w:t>
      </w:r>
    </w:p>
    <w:p>
      <w:pPr>
        <w:spacing w:line="360" w:lineRule="auto"/>
        <w:ind w:firstLine="480" w:firstLineChars="200"/>
        <w:rPr>
          <w:rFonts w:hint="default" w:ascii="Times New Roman" w:hAnsi="Times New Roman" w:cs="Times New Roman"/>
          <w:color w:val="000000" w:themeColor="text1"/>
          <w:sz w:val="24"/>
          <w:szCs w:val="24"/>
          <w:highlight w:val="none"/>
          <w:lang w:val="zh-CN" w:eastAsia="zh-CN"/>
          <w14:textFill>
            <w14:solidFill>
              <w14:schemeClr w14:val="tx1"/>
            </w14:solidFill>
          </w14:textFill>
        </w:rPr>
      </w:pPr>
      <w:r>
        <w:rPr>
          <w:rFonts w:hint="default" w:ascii="Times New Roman" w:hAnsi="Times New Roman" w:cs="Times New Roman"/>
          <w:color w:val="000000" w:themeColor="text1"/>
          <w:sz w:val="24"/>
          <w:szCs w:val="24"/>
          <w:highlight w:val="none"/>
          <w:lang w:val="zh-CN" w:eastAsia="zh-CN"/>
          <w14:textFill>
            <w14:solidFill>
              <w14:schemeClr w14:val="tx1"/>
            </w14:solidFill>
          </w14:textFill>
        </w:rPr>
        <w:t>本项目原辅材料的危害特征、毒性指标及危害程度根据《化学品分类、警示标签和警示性说明安全规范 急性毒性》（GB20592-2006)判定进行分级，本项目涉及的危险化学品主要为</w:t>
      </w:r>
      <w:r>
        <w:rPr>
          <w:rFonts w:hint="eastAsia" w:cs="Times New Roman"/>
          <w:color w:val="000000" w:themeColor="text1"/>
          <w:sz w:val="24"/>
          <w:szCs w:val="24"/>
          <w:highlight w:val="none"/>
          <w:lang w:val="en-US" w:eastAsia="zh-CN"/>
          <w14:textFill>
            <w14:solidFill>
              <w14:schemeClr w14:val="tx1"/>
            </w14:solidFill>
          </w14:textFill>
        </w:rPr>
        <w:t>酒精、绝缘漆和稀释剂</w:t>
      </w:r>
      <w:r>
        <w:rPr>
          <w:rFonts w:hint="default" w:ascii="Times New Roman" w:hAnsi="Times New Roman" w:cs="Times New Roman"/>
          <w:color w:val="000000" w:themeColor="text1"/>
          <w:sz w:val="24"/>
          <w:szCs w:val="24"/>
          <w:highlight w:val="none"/>
          <w:lang w:val="zh-CN" w:eastAsia="zh-CN"/>
          <w14:textFill>
            <w14:solidFill>
              <w14:schemeClr w14:val="tx1"/>
            </w14:solidFill>
          </w14:textFill>
        </w:rPr>
        <w:t>等。</w:t>
      </w:r>
    </w:p>
    <w:p>
      <w:pPr>
        <w:numPr>
          <w:ilvl w:val="0"/>
          <w:numId w:val="4"/>
        </w:numPr>
        <w:bidi w:val="0"/>
        <w:spacing w:line="360" w:lineRule="auto"/>
        <w:ind w:firstLine="482" w:firstLineChars="200"/>
        <w:rPr>
          <w:rFonts w:hint="default" w:ascii="Times New Roman" w:hAnsi="Times New Roman" w:cs="Times New Roman"/>
          <w:b/>
          <w:bCs/>
          <w:color w:val="000000" w:themeColor="text1"/>
          <w:sz w:val="24"/>
          <w:szCs w:val="24"/>
          <w:highlight w:val="none"/>
          <w:lang w:val="zh-CN" w:eastAsia="zh-CN"/>
          <w14:textFill>
            <w14:solidFill>
              <w14:schemeClr w14:val="tx1"/>
            </w14:solidFill>
          </w14:textFill>
        </w:rPr>
      </w:pPr>
      <w:r>
        <w:rPr>
          <w:rFonts w:hint="default" w:ascii="Times New Roman" w:hAnsi="Times New Roman" w:cs="Times New Roman"/>
          <w:b/>
          <w:bCs/>
          <w:color w:val="000000" w:themeColor="text1"/>
          <w:sz w:val="24"/>
          <w:szCs w:val="24"/>
          <w:highlight w:val="none"/>
          <w:lang w:val="zh-CN" w:eastAsia="zh-CN"/>
          <w14:textFill>
            <w14:solidFill>
              <w14:schemeClr w14:val="tx1"/>
            </w14:solidFill>
          </w14:textFill>
        </w:rPr>
        <w:t>功能单元风险识别</w:t>
      </w:r>
    </w:p>
    <w:p>
      <w:pPr>
        <w:pStyle w:val="61"/>
        <w:numPr>
          <w:ilvl w:val="0"/>
          <w:numId w:val="0"/>
        </w:numPr>
        <w:ind w:firstLine="480" w:firstLineChars="200"/>
        <w:rPr>
          <w:rFonts w:hint="eastAsia" w:ascii="Times New Roman" w:hAnsi="Times New Roman" w:eastAsia="宋体" w:cs="Times New Roman"/>
          <w:snapToGrid/>
          <w:color w:val="000000" w:themeColor="text1"/>
          <w:sz w:val="24"/>
          <w:szCs w:val="24"/>
          <w:highlight w:val="none"/>
          <w:lang w:val="en-US" w:eastAsia="zh-CN" w:bidi="zh-CN"/>
          <w14:textFill>
            <w14:solidFill>
              <w14:schemeClr w14:val="tx1"/>
            </w14:solidFill>
          </w14:textFill>
        </w:rPr>
      </w:pPr>
      <w:r>
        <w:rPr>
          <w:rFonts w:hint="eastAsia" w:ascii="Times New Roman" w:hAnsi="Times New Roman" w:eastAsia="宋体" w:cs="Times New Roman"/>
          <w:snapToGrid/>
          <w:color w:val="000000" w:themeColor="text1"/>
          <w:sz w:val="24"/>
          <w:szCs w:val="24"/>
          <w:highlight w:val="none"/>
          <w:lang w:val="en-US" w:eastAsia="zh-CN" w:bidi="zh-CN"/>
          <w14:textFill>
            <w14:solidFill>
              <w14:schemeClr w14:val="tx1"/>
            </w14:solidFill>
          </w14:textFill>
        </w:rPr>
        <w:t>1、项目生产设施环境风险识别见表</w:t>
      </w:r>
      <w:r>
        <w:rPr>
          <w:rFonts w:hint="eastAsia" w:ascii="Times New Roman" w:hAnsi="Times New Roman" w:cs="Times New Roman"/>
          <w:snapToGrid/>
          <w:color w:val="000000" w:themeColor="text1"/>
          <w:sz w:val="24"/>
          <w:szCs w:val="24"/>
          <w:highlight w:val="none"/>
          <w:lang w:val="en-US" w:eastAsia="zh-CN" w:bidi="zh-CN"/>
          <w14:textFill>
            <w14:solidFill>
              <w14:schemeClr w14:val="tx1"/>
            </w14:solidFill>
          </w14:textFill>
        </w:rPr>
        <w:t>2.7.2</w:t>
      </w:r>
      <w:r>
        <w:rPr>
          <w:rFonts w:hint="eastAsia" w:ascii="Times New Roman" w:hAnsi="Times New Roman" w:eastAsia="宋体" w:cs="Times New Roman"/>
          <w:snapToGrid/>
          <w:color w:val="000000" w:themeColor="text1"/>
          <w:sz w:val="24"/>
          <w:szCs w:val="24"/>
          <w:highlight w:val="none"/>
          <w:lang w:val="en-US" w:eastAsia="zh-CN" w:bidi="zh-CN"/>
          <w14:textFill>
            <w14:solidFill>
              <w14:schemeClr w14:val="tx1"/>
            </w14:solidFill>
          </w14:textFill>
        </w:rPr>
        <w:t>-1</w:t>
      </w:r>
    </w:p>
    <w:p>
      <w:pPr>
        <w:pStyle w:val="61"/>
        <w:numPr>
          <w:ilvl w:val="0"/>
          <w:numId w:val="0"/>
        </w:numPr>
        <w:jc w:val="cente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表2.7.2-1 功能单元风险识别结果</w:t>
      </w:r>
    </w:p>
    <w:tbl>
      <w:tblPr>
        <w:tblStyle w:val="48"/>
        <w:tblW w:w="8884"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664"/>
        <w:gridCol w:w="1994"/>
        <w:gridCol w:w="6226"/>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61" w:hRule="atLeast"/>
          <w:jc w:val="center"/>
        </w:trPr>
        <w:tc>
          <w:tcPr>
            <w:tcW w:w="664" w:type="dxa"/>
            <w:tcBorders>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序</w:t>
            </w:r>
          </w:p>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号</w:t>
            </w:r>
          </w:p>
        </w:tc>
        <w:tc>
          <w:tcPr>
            <w:tcW w:w="1994" w:type="dxa"/>
            <w:tcBorders>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14:textFill>
                  <w14:solidFill>
                    <w14:schemeClr w14:val="tx1"/>
                  </w14:solidFill>
                </w14:textFill>
              </w:rPr>
            </w:pPr>
            <w:r>
              <w:rPr>
                <w:rFonts w:hint="default" w:ascii="Times New Roman" w:hAnsi="Times New Roman" w:cs="Times New Roman"/>
                <w:color w:val="000000" w:themeColor="text1"/>
                <w:kern w:val="2"/>
                <w:highlight w:val="none"/>
                <w14:textFill>
                  <w14:solidFill>
                    <w14:schemeClr w14:val="tx1"/>
                  </w14:solidFill>
                </w14:textFill>
              </w:rPr>
              <w:t>功能单元</w:t>
            </w:r>
          </w:p>
        </w:tc>
        <w:tc>
          <w:tcPr>
            <w:tcW w:w="6226" w:type="dxa"/>
            <w:tcBorders>
              <w:left w:val="single" w:color="000000" w:sz="6" w:space="0"/>
              <w:bottom w:val="single" w:color="000000" w:sz="6" w:space="0"/>
            </w:tcBorders>
            <w:vAlign w:val="center"/>
          </w:tcPr>
          <w:p>
            <w:pPr>
              <w:keepNext w:val="0"/>
              <w:keepLines w:val="0"/>
              <w:suppressLineNumbers w:val="0"/>
              <w:bidi w:val="0"/>
              <w:spacing w:before="0" w:beforeAutospacing="0" w:after="0" w:afterAutospacing="0"/>
              <w:ind w:left="0" w:right="0"/>
              <w:jc w:val="center"/>
              <w:rPr>
                <w:rFonts w:hint="eastAsia" w:ascii="Times New Roman" w:hAnsi="Times New Roman" w:eastAsia="宋体" w:cs="Times New Roman"/>
                <w:color w:val="000000" w:themeColor="text1"/>
                <w:kern w:val="2"/>
                <w:highlight w:val="none"/>
                <w:lang w:eastAsia="zh-CN"/>
                <w14:textFill>
                  <w14:solidFill>
                    <w14:schemeClr w14:val="tx1"/>
                  </w14:solidFill>
                </w14:textFill>
              </w:rPr>
            </w:pPr>
            <w:r>
              <w:rPr>
                <w:rFonts w:hint="eastAsia" w:ascii="Times New Roman" w:hAnsi="Times New Roman" w:cs="Times New Roman"/>
                <w:color w:val="000000" w:themeColor="text1"/>
                <w:kern w:val="2"/>
                <w:highlight w:val="none"/>
                <w:lang w:val="en-US" w:eastAsia="zh-CN"/>
                <w14:textFill>
                  <w14:solidFill>
                    <w14:schemeClr w14:val="tx1"/>
                  </w14:solidFill>
                </w14:textFill>
              </w:rPr>
              <w:t>依据</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07" w:hRule="atLeast"/>
          <w:jc w:val="center"/>
        </w:trPr>
        <w:tc>
          <w:tcPr>
            <w:tcW w:w="664" w:type="dxa"/>
            <w:tcBorders>
              <w:top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lang w:val="en-US" w:eastAsia="zh-CN"/>
                <w14:textFill>
                  <w14:solidFill>
                    <w14:schemeClr w14:val="tx1"/>
                  </w14:solidFill>
                </w14:textFill>
              </w:rPr>
            </w:pPr>
            <w:r>
              <w:rPr>
                <w:rFonts w:hint="default" w:ascii="Times New Roman" w:hAnsi="Times New Roman" w:cs="Times New Roman"/>
                <w:color w:val="000000" w:themeColor="text1"/>
                <w:kern w:val="2"/>
                <w:highlight w:val="none"/>
                <w:lang w:val="en-US" w:eastAsia="zh-CN"/>
                <w14:textFill>
                  <w14:solidFill>
                    <w14:schemeClr w14:val="tx1"/>
                  </w14:solidFill>
                </w14:textFill>
              </w:rPr>
              <w:t>1</w:t>
            </w:r>
          </w:p>
        </w:tc>
        <w:tc>
          <w:tcPr>
            <w:tcW w:w="1994"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eastAsia" w:ascii="宋体" w:hAnsi="Times New Roman" w:eastAsia="宋体" w:cs="宋体"/>
                <w:snapToGrid w:val="0"/>
                <w:color w:val="000000" w:themeColor="text1"/>
                <w:kern w:val="2"/>
                <w:sz w:val="24"/>
                <w:szCs w:val="24"/>
                <w:highlight w:val="none"/>
                <w:lang w:val="en-US" w:eastAsia="zh-CN" w:bidi="ar-SA"/>
                <w14:textFill>
                  <w14:solidFill>
                    <w14:schemeClr w14:val="tx1"/>
                  </w14:solidFill>
                </w14:textFill>
              </w:rPr>
            </w:pPr>
            <w:r>
              <w:rPr>
                <w:rFonts w:hint="default" w:ascii="宋体" w:hAnsi="Times New Roman" w:eastAsia="宋体" w:cs="宋体"/>
                <w:snapToGrid w:val="0"/>
                <w:color w:val="000000" w:themeColor="text1"/>
                <w:kern w:val="2"/>
                <w:sz w:val="24"/>
                <w:szCs w:val="24"/>
                <w:highlight w:val="none"/>
                <w:lang w:val="en-US" w:eastAsia="zh-CN" w:bidi="ar-SA"/>
                <w14:textFill>
                  <w14:solidFill>
                    <w14:schemeClr w14:val="tx1"/>
                  </w14:solidFill>
                </w14:textFill>
              </w:rPr>
              <w:t>原料仓库</w:t>
            </w:r>
          </w:p>
        </w:tc>
        <w:tc>
          <w:tcPr>
            <w:tcW w:w="6226" w:type="dxa"/>
            <w:tcBorders>
              <w:top w:val="single" w:color="000000" w:sz="6" w:space="0"/>
              <w:left w:val="single" w:color="000000" w:sz="6" w:space="0"/>
              <w:bottom w:val="single" w:color="000000" w:sz="6" w:space="0"/>
            </w:tcBorders>
            <w:vAlign w:val="center"/>
          </w:tcPr>
          <w:p>
            <w:pPr>
              <w:pStyle w:val="61"/>
              <w:keepNext w:val="0"/>
              <w:keepLines w:val="0"/>
              <w:numPr>
                <w:ilvl w:val="0"/>
                <w:numId w:val="0"/>
              </w:numPr>
              <w:suppressLineNumbers w:val="0"/>
              <w:spacing w:before="0" w:beforeAutospacing="0" w:after="0" w:afterAutospacing="0"/>
              <w:ind w:left="0" w:right="0"/>
              <w:rPr>
                <w:rFonts w:hint="default"/>
                <w:color w:val="000000" w:themeColor="text1"/>
                <w:kern w:val="2"/>
                <w:highlight w:val="none"/>
                <w:lang w:val="en-US" w:eastAsia="zh-CN"/>
                <w14:textFill>
                  <w14:solidFill>
                    <w14:schemeClr w14:val="tx1"/>
                  </w14:solidFill>
                </w14:textFill>
              </w:rPr>
            </w:pPr>
            <w:r>
              <w:rPr>
                <w:rFonts w:hint="eastAsia"/>
                <w:color w:val="000000" w:themeColor="text1"/>
                <w:kern w:val="2"/>
                <w:highlight w:val="none"/>
                <w:lang w:val="en-US" w:eastAsia="zh-CN"/>
                <w14:textFill>
                  <w14:solidFill>
                    <w14:schemeClr w14:val="tx1"/>
                  </w14:solidFill>
                </w14:textFill>
              </w:rPr>
              <w:t xml:space="preserve"> 1、原料为易燃物质，可能引发火灾</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39" w:hRule="atLeast"/>
          <w:jc w:val="center"/>
        </w:trPr>
        <w:tc>
          <w:tcPr>
            <w:tcW w:w="664" w:type="dxa"/>
            <w:tcBorders>
              <w:top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eastAsia" w:ascii="Times New Roman" w:hAnsi="Times New Roman" w:cs="Times New Roman"/>
                <w:color w:val="000000" w:themeColor="text1"/>
                <w:kern w:val="2"/>
                <w:highlight w:val="none"/>
                <w:lang w:val="en-US" w:eastAsia="zh-CN"/>
                <w14:textFill>
                  <w14:solidFill>
                    <w14:schemeClr w14:val="tx1"/>
                  </w14:solidFill>
                </w14:textFill>
              </w:rPr>
            </w:pPr>
            <w:r>
              <w:rPr>
                <w:rFonts w:hint="eastAsia" w:ascii="Times New Roman" w:hAnsi="Times New Roman" w:cs="Times New Roman"/>
                <w:color w:val="000000" w:themeColor="text1"/>
                <w:kern w:val="2"/>
                <w:highlight w:val="none"/>
                <w:lang w:val="en-US" w:eastAsia="zh-CN"/>
                <w14:textFill>
                  <w14:solidFill>
                    <w14:schemeClr w14:val="tx1"/>
                  </w14:solidFill>
                </w14:textFill>
              </w:rPr>
              <w:t>2</w:t>
            </w:r>
          </w:p>
        </w:tc>
        <w:tc>
          <w:tcPr>
            <w:tcW w:w="1994"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宋体" w:hAnsi="Times New Roman" w:eastAsia="宋体" w:cs="宋体"/>
                <w:snapToGrid w:val="0"/>
                <w:color w:val="000000" w:themeColor="text1"/>
                <w:kern w:val="2"/>
                <w:sz w:val="24"/>
                <w:szCs w:val="24"/>
                <w:highlight w:val="none"/>
                <w:lang w:val="en-US" w:eastAsia="zh-CN" w:bidi="ar-SA"/>
                <w14:textFill>
                  <w14:solidFill>
                    <w14:schemeClr w14:val="tx1"/>
                  </w14:solidFill>
                </w14:textFill>
              </w:rPr>
            </w:pPr>
            <w:r>
              <w:rPr>
                <w:rFonts w:hint="eastAsia" w:ascii="宋体" w:hAnsi="Times New Roman" w:eastAsia="宋体" w:cs="宋体"/>
                <w:snapToGrid w:val="0"/>
                <w:color w:val="000000" w:themeColor="text1"/>
                <w:kern w:val="2"/>
                <w:sz w:val="24"/>
                <w:szCs w:val="24"/>
                <w:highlight w:val="none"/>
                <w:lang w:val="en-US" w:eastAsia="zh-CN" w:bidi="ar-SA"/>
                <w14:textFill>
                  <w14:solidFill>
                    <w14:schemeClr w14:val="tx1"/>
                  </w14:solidFill>
                </w14:textFill>
              </w:rPr>
              <w:t>生产车间</w:t>
            </w:r>
          </w:p>
        </w:tc>
        <w:tc>
          <w:tcPr>
            <w:tcW w:w="6226" w:type="dxa"/>
            <w:tcBorders>
              <w:top w:val="single" w:color="000000" w:sz="6" w:space="0"/>
              <w:left w:val="single" w:color="000000" w:sz="6" w:space="0"/>
              <w:bottom w:val="single" w:color="000000" w:sz="6" w:space="0"/>
            </w:tcBorders>
            <w:vAlign w:val="center"/>
          </w:tcPr>
          <w:p>
            <w:pPr>
              <w:keepNext w:val="0"/>
              <w:keepLines w:val="0"/>
              <w:numPr>
                <w:ilvl w:val="0"/>
                <w:numId w:val="5"/>
              </w:numPr>
              <w:suppressLineNumbers w:val="0"/>
              <w:bidi w:val="0"/>
              <w:spacing w:before="0" w:beforeAutospacing="0" w:after="0" w:afterAutospacing="0"/>
              <w:ind w:left="0" w:right="0"/>
              <w:jc w:val="left"/>
              <w:rPr>
                <w:rFonts w:hint="eastAsia" w:ascii="宋体" w:hAnsi="Times New Roman" w:eastAsia="宋体" w:cs="宋体"/>
                <w:snapToGrid w:val="0"/>
                <w:color w:val="000000" w:themeColor="text1"/>
                <w:kern w:val="2"/>
                <w:sz w:val="24"/>
                <w:szCs w:val="24"/>
                <w:highlight w:val="none"/>
                <w:lang w:val="en-US" w:eastAsia="zh-CN" w:bidi="ar-SA"/>
                <w14:textFill>
                  <w14:solidFill>
                    <w14:schemeClr w14:val="tx1"/>
                  </w14:solidFill>
                </w14:textFill>
              </w:rPr>
            </w:pPr>
            <w:r>
              <w:rPr>
                <w:rFonts w:hint="eastAsia" w:ascii="宋体" w:hAnsi="Times New Roman" w:eastAsia="宋体" w:cs="宋体"/>
                <w:snapToGrid w:val="0"/>
                <w:color w:val="000000" w:themeColor="text1"/>
                <w:kern w:val="2"/>
                <w:sz w:val="24"/>
                <w:szCs w:val="24"/>
                <w:highlight w:val="none"/>
                <w:lang w:val="en-US" w:eastAsia="zh-CN" w:bidi="ar-SA"/>
                <w14:textFill>
                  <w14:solidFill>
                    <w14:schemeClr w14:val="tx1"/>
                  </w14:solidFill>
                </w14:textFill>
              </w:rPr>
              <w:t>生产设备、电机和电气线路老化、短路、接触不良引发电火花引起火灾：</w:t>
            </w:r>
          </w:p>
          <w:p>
            <w:pPr>
              <w:pStyle w:val="61"/>
              <w:keepNext w:val="0"/>
              <w:keepLines w:val="0"/>
              <w:numPr>
                <w:ilvl w:val="0"/>
                <w:numId w:val="0"/>
              </w:numPr>
              <w:suppressLineNumbers w:val="0"/>
              <w:spacing w:before="0" w:beforeAutospacing="0" w:after="0" w:afterAutospacing="0"/>
              <w:ind w:left="0" w:right="0"/>
              <w:rPr>
                <w:rFonts w:hint="default" w:ascii="宋体" w:hAnsi="Times New Roman" w:eastAsia="宋体" w:cs="宋体"/>
                <w:snapToGrid w:val="0"/>
                <w:color w:val="000000" w:themeColor="text1"/>
                <w:kern w:val="2"/>
                <w:sz w:val="24"/>
                <w:szCs w:val="24"/>
                <w:highlight w:val="none"/>
                <w:lang w:val="en-US" w:eastAsia="zh-CN" w:bidi="ar-SA"/>
                <w14:textFill>
                  <w14:solidFill>
                    <w14:schemeClr w14:val="tx1"/>
                  </w14:solidFill>
                </w14:textFill>
              </w:rPr>
            </w:pPr>
            <w:r>
              <w:rPr>
                <w:rFonts w:hint="default"/>
                <w:color w:val="000000" w:themeColor="text1"/>
                <w:kern w:val="2"/>
                <w:highlight w:val="none"/>
                <w:lang w:val="en-US" w:eastAsia="zh-CN"/>
                <w14:textFill>
                  <w14:solidFill>
                    <w14:schemeClr w14:val="tx1"/>
                  </w14:solidFill>
                </w14:textFill>
              </w:rPr>
              <w:t>2、</w:t>
            </w:r>
            <w:r>
              <w:rPr>
                <w:rFonts w:hint="default" w:ascii="宋体" w:hAnsi="Times New Roman" w:eastAsia="宋体" w:cs="宋体"/>
                <w:snapToGrid w:val="0"/>
                <w:color w:val="000000" w:themeColor="text1"/>
                <w:kern w:val="2"/>
                <w:sz w:val="24"/>
                <w:szCs w:val="24"/>
                <w:highlight w:val="none"/>
                <w:lang w:val="en-US" w:eastAsia="zh-CN" w:bidi="ar-SA"/>
                <w14:textFill>
                  <w14:solidFill>
                    <w14:schemeClr w14:val="tx1"/>
                  </w14:solidFill>
                </w14:textFill>
              </w:rPr>
              <w:t>设备、管道接地电阻不良静电引发火灾：</w:t>
            </w:r>
          </w:p>
          <w:p>
            <w:pPr>
              <w:keepNext w:val="0"/>
              <w:keepLines w:val="0"/>
              <w:suppressLineNumbers w:val="0"/>
              <w:bidi w:val="0"/>
              <w:spacing w:before="0" w:beforeAutospacing="0" w:after="0" w:afterAutospacing="0"/>
              <w:ind w:left="0" w:right="0"/>
              <w:jc w:val="left"/>
              <w:rPr>
                <w:rFonts w:hint="default" w:ascii="Times New Roman" w:hAnsi="Times New Roman" w:cs="Times New Roman"/>
                <w:color w:val="000000" w:themeColor="text1"/>
                <w:kern w:val="2"/>
                <w:highlight w:val="none"/>
                <w:lang w:eastAsia="zh-CN"/>
                <w14:textFill>
                  <w14:solidFill>
                    <w14:schemeClr w14:val="tx1"/>
                  </w14:solidFill>
                </w14:textFill>
              </w:rPr>
            </w:pPr>
            <w:r>
              <w:rPr>
                <w:rFonts w:hint="default" w:ascii="宋体" w:hAnsi="Times New Roman" w:eastAsia="宋体" w:cs="宋体"/>
                <w:snapToGrid w:val="0"/>
                <w:color w:val="000000" w:themeColor="text1"/>
                <w:kern w:val="2"/>
                <w:sz w:val="24"/>
                <w:szCs w:val="24"/>
                <w:highlight w:val="none"/>
                <w:lang w:val="en-US" w:eastAsia="zh-CN" w:bidi="ar-SA"/>
                <w14:textFill>
                  <w14:solidFill>
                    <w14:schemeClr w14:val="tx1"/>
                  </w14:solidFill>
                </w14:textFill>
              </w:rPr>
              <w:t>3、电气设备、电气线路老化绝缘不良短路产生火花引发火灾</w:t>
            </w:r>
            <w:r>
              <w:rPr>
                <w:rFonts w:hint="default"/>
                <w:color w:val="000000" w:themeColor="text1"/>
                <w:kern w:val="2"/>
                <w:highlight w:val="none"/>
                <w:lang w:val="en-US" w:eastAsia="zh-CN"/>
                <w14:textFill>
                  <w14:solidFill>
                    <w14:schemeClr w14:val="tx1"/>
                  </w14:solidFill>
                </w14:textFill>
              </w:rPr>
              <w:t>。</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39" w:hRule="atLeast"/>
          <w:jc w:val="center"/>
        </w:trPr>
        <w:tc>
          <w:tcPr>
            <w:tcW w:w="664" w:type="dxa"/>
            <w:tcBorders>
              <w:top w:val="single" w:color="000000" w:sz="6" w:space="0"/>
              <w:right w:val="single" w:color="000000" w:sz="6" w:space="0"/>
            </w:tcBorders>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highlight w:val="none"/>
                <w:lang w:val="en-US" w:eastAsia="zh-CN"/>
                <w14:textFill>
                  <w14:solidFill>
                    <w14:schemeClr w14:val="tx1"/>
                  </w14:solidFill>
                </w14:textFill>
              </w:rPr>
            </w:pPr>
            <w:r>
              <w:rPr>
                <w:rFonts w:hint="eastAsia" w:ascii="Times New Roman" w:hAnsi="Times New Roman" w:cs="Times New Roman"/>
                <w:color w:val="000000" w:themeColor="text1"/>
                <w:kern w:val="2"/>
                <w:highlight w:val="none"/>
                <w:lang w:val="en-US" w:eastAsia="zh-CN"/>
                <w14:textFill>
                  <w14:solidFill>
                    <w14:schemeClr w14:val="tx1"/>
                  </w14:solidFill>
                </w14:textFill>
              </w:rPr>
              <w:t>3</w:t>
            </w:r>
          </w:p>
        </w:tc>
        <w:tc>
          <w:tcPr>
            <w:tcW w:w="1994" w:type="dxa"/>
            <w:tcBorders>
              <w:top w:val="single" w:color="000000" w:sz="6" w:space="0"/>
              <w:left w:val="single" w:color="000000" w:sz="6" w:space="0"/>
              <w:right w:val="single" w:color="000000" w:sz="6" w:space="0"/>
            </w:tcBorders>
            <w:vAlign w:val="center"/>
          </w:tcPr>
          <w:p>
            <w:pPr>
              <w:pStyle w:val="61"/>
              <w:keepNext w:val="0"/>
              <w:keepLines w:val="0"/>
              <w:numPr>
                <w:ilvl w:val="0"/>
                <w:numId w:val="0"/>
              </w:numPr>
              <w:suppressLineNumbers w:val="0"/>
              <w:spacing w:before="0" w:beforeAutospacing="0" w:after="0" w:afterAutospacing="0"/>
              <w:ind w:left="0" w:right="0"/>
              <w:jc w:val="center"/>
              <w:rPr>
                <w:rFonts w:hint="default" w:ascii="宋体" w:hAnsi="Times New Roman" w:eastAsia="宋体" w:cs="宋体"/>
                <w:snapToGrid w:val="0"/>
                <w:color w:val="000000" w:themeColor="text1"/>
                <w:kern w:val="2"/>
                <w:sz w:val="24"/>
                <w:szCs w:val="24"/>
                <w:highlight w:val="none"/>
                <w:lang w:val="en-US" w:eastAsia="zh-CN" w:bidi="ar-SA"/>
                <w14:textFill>
                  <w14:solidFill>
                    <w14:schemeClr w14:val="tx1"/>
                  </w14:solidFill>
                </w14:textFill>
              </w:rPr>
            </w:pPr>
            <w:r>
              <w:rPr>
                <w:rFonts w:hint="eastAsia" w:ascii="宋体" w:hAnsi="Times New Roman" w:eastAsia="宋体" w:cs="宋体"/>
                <w:snapToGrid w:val="0"/>
                <w:color w:val="000000" w:themeColor="text1"/>
                <w:kern w:val="2"/>
                <w:sz w:val="24"/>
                <w:szCs w:val="24"/>
                <w:highlight w:val="none"/>
                <w:lang w:val="en-US" w:eastAsia="zh-CN" w:bidi="ar-SA"/>
                <w14:textFill>
                  <w14:solidFill>
                    <w14:schemeClr w14:val="tx1"/>
                  </w14:solidFill>
                </w14:textFill>
              </w:rPr>
              <w:t>环保设施</w:t>
            </w:r>
          </w:p>
        </w:tc>
        <w:tc>
          <w:tcPr>
            <w:tcW w:w="6226" w:type="dxa"/>
            <w:tcBorders>
              <w:top w:val="single" w:color="000000" w:sz="6" w:space="0"/>
              <w:left w:val="single" w:color="000000" w:sz="6" w:space="0"/>
            </w:tcBorders>
            <w:vAlign w:val="center"/>
          </w:tcPr>
          <w:p>
            <w:pPr>
              <w:pStyle w:val="61"/>
              <w:keepNext w:val="0"/>
              <w:keepLines w:val="0"/>
              <w:numPr>
                <w:ilvl w:val="0"/>
                <w:numId w:val="0"/>
              </w:numPr>
              <w:suppressLineNumbers w:val="0"/>
              <w:spacing w:before="0" w:beforeAutospacing="0" w:after="0" w:afterAutospacing="0"/>
              <w:ind w:left="0" w:right="0"/>
              <w:jc w:val="center"/>
              <w:rPr>
                <w:rFonts w:hint="default" w:ascii="宋体" w:hAnsi="Times New Roman" w:eastAsia="宋体" w:cs="宋体"/>
                <w:snapToGrid w:val="0"/>
                <w:color w:val="000000" w:themeColor="text1"/>
                <w:kern w:val="2"/>
                <w:sz w:val="24"/>
                <w:szCs w:val="24"/>
                <w:highlight w:val="none"/>
                <w:lang w:val="en-US" w:eastAsia="zh-CN" w:bidi="ar-SA"/>
                <w14:textFill>
                  <w14:solidFill>
                    <w14:schemeClr w14:val="tx1"/>
                  </w14:solidFill>
                </w14:textFill>
              </w:rPr>
            </w:pPr>
            <w:r>
              <w:rPr>
                <w:rFonts w:hint="eastAsia" w:ascii="宋体" w:hAnsi="Times New Roman" w:eastAsia="宋体" w:cs="宋体"/>
                <w:snapToGrid w:val="0"/>
                <w:color w:val="000000" w:themeColor="text1"/>
                <w:kern w:val="2"/>
                <w:sz w:val="24"/>
                <w:szCs w:val="24"/>
                <w:highlight w:val="none"/>
                <w:lang w:val="en-US" w:eastAsia="zh-CN" w:bidi="ar-SA"/>
                <w14:textFill>
                  <w14:solidFill>
                    <w14:schemeClr w14:val="tx1"/>
                  </w14:solidFill>
                </w14:textFill>
              </w:rPr>
              <w:t>废水、废气、固体废物没有得到合理处置后外排。</w:t>
            </w:r>
          </w:p>
        </w:tc>
      </w:tr>
    </w:tbl>
    <w:p>
      <w:pPr>
        <w:pStyle w:val="61"/>
        <w:numPr>
          <w:ilvl w:val="0"/>
          <w:numId w:val="0"/>
        </w:numPr>
        <w:rPr>
          <w:rFonts w:hint="default"/>
          <w:color w:val="000000" w:themeColor="text1"/>
          <w:highlight w:val="none"/>
          <w:lang w:val="en-US" w:eastAsia="zh-CN"/>
          <w14:textFill>
            <w14:solidFill>
              <w14:schemeClr w14:val="tx1"/>
            </w14:solidFill>
          </w14:textFill>
        </w:rPr>
      </w:pPr>
    </w:p>
    <w:p>
      <w:pPr>
        <w:pStyle w:val="61"/>
        <w:keepNext w:val="0"/>
        <w:keepLines w:val="0"/>
        <w:pageBreakBefore w:val="0"/>
        <w:widowControl w:val="0"/>
        <w:numPr>
          <w:ilvl w:val="0"/>
          <w:numId w:val="0"/>
        </w:numPr>
        <w:kinsoku/>
        <w:wordWrap/>
        <w:overflowPunct/>
        <w:topLinePunct w:val="0"/>
        <w:autoSpaceDE w:val="0"/>
        <w:autoSpaceDN w:val="0"/>
        <w:bidi w:val="0"/>
        <w:adjustRightInd w:val="0"/>
        <w:snapToGrid/>
        <w:spacing w:line="372" w:lineRule="auto"/>
        <w:ind w:firstLine="480" w:firstLineChars="200"/>
        <w:textAlignment w:val="auto"/>
        <w:rPr>
          <w:rFonts w:hint="default" w:ascii="Times New Roman" w:hAnsi="Times New Roman" w:eastAsia="宋体" w:cs="Times New Roman"/>
          <w:snapToGrid/>
          <w:color w:val="000000" w:themeColor="text1"/>
          <w:sz w:val="24"/>
          <w:szCs w:val="24"/>
          <w:highlight w:val="none"/>
          <w:lang w:val="zh-CN" w:eastAsia="zh-CN" w:bidi="zh-CN"/>
          <w14:textFill>
            <w14:solidFill>
              <w14:schemeClr w14:val="tx1"/>
            </w14:solidFill>
          </w14:textFill>
        </w:rPr>
      </w:pPr>
      <w:r>
        <w:rPr>
          <w:rFonts w:hint="default" w:ascii="Times New Roman" w:hAnsi="Times New Roman" w:eastAsia="宋体" w:cs="Times New Roman"/>
          <w:snapToGrid/>
          <w:color w:val="000000" w:themeColor="text1"/>
          <w:sz w:val="24"/>
          <w:szCs w:val="24"/>
          <w:highlight w:val="none"/>
          <w:lang w:val="zh-CN" w:eastAsia="zh-CN" w:bidi="zh-CN"/>
          <w14:textFill>
            <w14:solidFill>
              <w14:schemeClr w14:val="tx1"/>
            </w14:solidFill>
          </w14:textFill>
        </w:rPr>
        <w:t>2、储运</w:t>
      </w:r>
    </w:p>
    <w:p>
      <w:pPr>
        <w:pStyle w:val="61"/>
        <w:keepNext w:val="0"/>
        <w:keepLines w:val="0"/>
        <w:pageBreakBefore w:val="0"/>
        <w:widowControl w:val="0"/>
        <w:numPr>
          <w:ilvl w:val="0"/>
          <w:numId w:val="0"/>
        </w:numPr>
        <w:kinsoku/>
        <w:wordWrap/>
        <w:overflowPunct/>
        <w:topLinePunct w:val="0"/>
        <w:autoSpaceDE w:val="0"/>
        <w:autoSpaceDN w:val="0"/>
        <w:bidi w:val="0"/>
        <w:adjustRightInd w:val="0"/>
        <w:snapToGrid/>
        <w:spacing w:line="372" w:lineRule="auto"/>
        <w:ind w:firstLine="480" w:firstLineChars="200"/>
        <w:jc w:val="both"/>
        <w:textAlignment w:val="auto"/>
        <w:rPr>
          <w:rFonts w:hint="default" w:ascii="Times New Roman" w:hAnsi="Times New Roman" w:eastAsia="宋体" w:cs="Times New Roman"/>
          <w:snapToGrid/>
          <w:color w:val="000000" w:themeColor="text1"/>
          <w:sz w:val="24"/>
          <w:szCs w:val="24"/>
          <w:highlight w:val="none"/>
          <w:lang w:val="zh-CN" w:eastAsia="zh-CN" w:bidi="zh-CN"/>
          <w14:textFill>
            <w14:solidFill>
              <w14:schemeClr w14:val="tx1"/>
            </w14:solidFill>
          </w14:textFill>
        </w:rPr>
      </w:pPr>
      <w:r>
        <w:rPr>
          <w:rFonts w:hint="default" w:ascii="Times New Roman" w:hAnsi="Times New Roman" w:eastAsia="宋体" w:cs="Times New Roman"/>
          <w:snapToGrid/>
          <w:color w:val="000000" w:themeColor="text1"/>
          <w:sz w:val="24"/>
          <w:szCs w:val="24"/>
          <w:highlight w:val="none"/>
          <w:lang w:val="zh-CN" w:eastAsia="zh-CN" w:bidi="zh-CN"/>
          <w14:textFill>
            <w14:solidFill>
              <w14:schemeClr w14:val="tx1"/>
            </w14:solidFill>
          </w14:textFill>
        </w:rPr>
        <w:t>属于危险化学品的原料按危险化学品管理规定贮运。产品输出全部用汽车运输</w:t>
      </w:r>
      <w:r>
        <w:rPr>
          <w:rFonts w:hint="eastAsia" w:ascii="Times New Roman" w:hAnsi="Times New Roman" w:eastAsia="宋体" w:cs="Times New Roman"/>
          <w:snapToGrid/>
          <w:color w:val="000000" w:themeColor="text1"/>
          <w:sz w:val="24"/>
          <w:szCs w:val="24"/>
          <w:highlight w:val="none"/>
          <w:lang w:val="zh-CN" w:eastAsia="zh-CN" w:bidi="zh-CN"/>
          <w14:textFill>
            <w14:solidFill>
              <w14:schemeClr w14:val="tx1"/>
            </w14:solidFill>
          </w14:textFill>
        </w:rPr>
        <w:t>。</w:t>
      </w:r>
      <w:r>
        <w:rPr>
          <w:rFonts w:hint="default" w:ascii="Times New Roman" w:hAnsi="Times New Roman" w:eastAsia="宋体" w:cs="Times New Roman"/>
          <w:snapToGrid/>
          <w:color w:val="000000" w:themeColor="text1"/>
          <w:sz w:val="24"/>
          <w:szCs w:val="24"/>
          <w:highlight w:val="none"/>
          <w:lang w:val="zh-CN" w:eastAsia="zh-CN" w:bidi="zh-CN"/>
          <w14:textFill>
            <w14:solidFill>
              <w14:schemeClr w14:val="tx1"/>
            </w14:solidFill>
          </w14:textFill>
        </w:rPr>
        <w:t>甲类仓库存在泄漏和火灾风险，或在运输过程中因操作不当、碰撞、倾覆等原因引起泄漏，将污染大气环境、水环境等，造成人员中毒。</w:t>
      </w:r>
    </w:p>
    <w:p>
      <w:pPr>
        <w:pStyle w:val="3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napToGrid/>
          <w:color w:val="000000" w:themeColor="text1"/>
          <w:sz w:val="24"/>
          <w:szCs w:val="24"/>
          <w:highlight w:val="none"/>
          <w:lang w:val="zh-CN" w:eastAsia="zh-CN" w:bidi="zh-CN"/>
          <w14:textFill>
            <w14:solidFill>
              <w14:schemeClr w14:val="tx1"/>
            </w14:solidFill>
          </w14:textFill>
        </w:rPr>
      </w:pPr>
      <w:r>
        <w:rPr>
          <w:rFonts w:hint="default" w:ascii="Times New Roman" w:hAnsi="Times New Roman" w:eastAsia="宋体" w:cs="Times New Roman"/>
          <w:snapToGrid/>
          <w:color w:val="000000" w:themeColor="text1"/>
          <w:sz w:val="24"/>
          <w:szCs w:val="24"/>
          <w:highlight w:val="none"/>
          <w:lang w:val="zh-CN" w:eastAsia="zh-CN" w:bidi="zh-CN"/>
          <w14:textFill>
            <w14:solidFill>
              <w14:schemeClr w14:val="tx1"/>
            </w14:solidFill>
          </w14:textFill>
        </w:rPr>
        <w:t>储运系统存在危险品泄漏和火灾风险</w:t>
      </w:r>
      <w:r>
        <w:rPr>
          <w:rFonts w:hint="eastAsia" w:ascii="Times New Roman" w:hAnsi="Times New Roman" w:cs="Times New Roman"/>
          <w:snapToGrid/>
          <w:color w:val="000000" w:themeColor="text1"/>
          <w:sz w:val="24"/>
          <w:szCs w:val="24"/>
          <w:highlight w:val="none"/>
          <w:lang w:val="zh-CN" w:eastAsia="zh-CN" w:bidi="zh-CN"/>
          <w14:textFill>
            <w14:solidFill>
              <w14:schemeClr w14:val="tx1"/>
            </w14:solidFill>
          </w14:textFill>
        </w:rPr>
        <w:t>。</w:t>
      </w:r>
    </w:p>
    <w:p>
      <w:pPr>
        <w:pStyle w:val="3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napToGrid/>
          <w:color w:val="000000" w:themeColor="text1"/>
          <w:sz w:val="24"/>
          <w:szCs w:val="24"/>
          <w:highlight w:val="none"/>
          <w:lang w:val="zh-CN" w:eastAsia="zh-CN" w:bidi="zh-CN"/>
          <w14:textFill>
            <w14:solidFill>
              <w14:schemeClr w14:val="tx1"/>
            </w14:solidFill>
          </w14:textFill>
        </w:rPr>
      </w:pPr>
    </w:p>
    <w:p>
      <w:pPr>
        <w:pStyle w:val="3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napToGrid/>
          <w:color w:val="000000" w:themeColor="text1"/>
          <w:sz w:val="24"/>
          <w:szCs w:val="24"/>
          <w:highlight w:val="none"/>
          <w:lang w:val="zh-CN" w:eastAsia="zh-CN" w:bidi="zh-CN"/>
          <w14:textFill>
            <w14:solidFill>
              <w14:schemeClr w14:val="tx1"/>
            </w14:solidFill>
          </w14:textFill>
        </w:rPr>
      </w:pPr>
    </w:p>
    <w:p>
      <w:pPr>
        <w:pStyle w:val="3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napToGrid/>
          <w:color w:val="000000" w:themeColor="text1"/>
          <w:sz w:val="24"/>
          <w:szCs w:val="24"/>
          <w:highlight w:val="none"/>
          <w:lang w:val="zh-CN" w:eastAsia="zh-CN" w:bidi="zh-CN"/>
          <w14:textFill>
            <w14:solidFill>
              <w14:schemeClr w14:val="tx1"/>
            </w14:solidFill>
          </w14:textFill>
        </w:rPr>
      </w:pPr>
    </w:p>
    <w:p>
      <w:pPr>
        <w:pStyle w:val="3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napToGrid/>
          <w:color w:val="000000" w:themeColor="text1"/>
          <w:sz w:val="24"/>
          <w:szCs w:val="24"/>
          <w:highlight w:val="none"/>
          <w:lang w:val="en-US" w:eastAsia="zh-CN" w:bidi="zh-CN"/>
          <w14:textFill>
            <w14:solidFill>
              <w14:schemeClr w14:val="tx1"/>
            </w14:solidFill>
          </w14:textFill>
        </w:rPr>
      </w:pPr>
    </w:p>
    <w:p>
      <w:pPr>
        <w:pStyle w:val="3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napToGrid/>
          <w:color w:val="000000" w:themeColor="text1"/>
          <w:sz w:val="24"/>
          <w:szCs w:val="24"/>
          <w:highlight w:val="none"/>
          <w:lang w:val="en-US" w:eastAsia="zh-CN" w:bidi="zh-CN"/>
          <w14:textFill>
            <w14:solidFill>
              <w14:schemeClr w14:val="tx1"/>
            </w14:solidFill>
          </w14:textFill>
        </w:rPr>
      </w:pPr>
    </w:p>
    <w:p>
      <w:pPr>
        <w:pStyle w:val="3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napToGrid/>
          <w:color w:val="000000" w:themeColor="text1"/>
          <w:sz w:val="24"/>
          <w:szCs w:val="24"/>
          <w:highlight w:val="none"/>
          <w:lang w:val="en-US" w:eastAsia="zh-CN" w:bidi="zh-CN"/>
          <w14:textFill>
            <w14:solidFill>
              <w14:schemeClr w14:val="tx1"/>
            </w14:solidFill>
          </w14:textFill>
        </w:rPr>
      </w:pPr>
    </w:p>
    <w:p>
      <w:pPr>
        <w:pStyle w:val="3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napToGrid/>
          <w:color w:val="000000" w:themeColor="text1"/>
          <w:sz w:val="24"/>
          <w:szCs w:val="24"/>
          <w:highlight w:val="none"/>
          <w:lang w:val="en-US" w:eastAsia="zh-CN" w:bidi="zh-CN"/>
          <w14:textFill>
            <w14:solidFill>
              <w14:schemeClr w14:val="tx1"/>
            </w14:solidFill>
          </w14:textFill>
        </w:rPr>
      </w:pPr>
    </w:p>
    <w:p>
      <w:pPr>
        <w:pStyle w:val="3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napToGrid/>
          <w:color w:val="000000" w:themeColor="text1"/>
          <w:sz w:val="24"/>
          <w:szCs w:val="24"/>
          <w:highlight w:val="none"/>
          <w:lang w:val="en-US" w:eastAsia="zh-CN" w:bidi="zh-CN"/>
          <w14:textFill>
            <w14:solidFill>
              <w14:schemeClr w14:val="tx1"/>
            </w14:solidFill>
          </w14:textFill>
        </w:rPr>
      </w:pPr>
    </w:p>
    <w:p>
      <w:pPr>
        <w:pStyle w:val="3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napToGrid/>
          <w:color w:val="000000" w:themeColor="text1"/>
          <w:sz w:val="24"/>
          <w:szCs w:val="24"/>
          <w:highlight w:val="none"/>
          <w:lang w:val="en-US" w:eastAsia="zh-CN" w:bidi="zh-CN"/>
          <w14:textFill>
            <w14:solidFill>
              <w14:schemeClr w14:val="tx1"/>
            </w14:solidFill>
          </w14:textFill>
        </w:rPr>
      </w:pPr>
    </w:p>
    <w:p>
      <w:pPr>
        <w:pStyle w:val="3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snapToGrid/>
          <w:color w:val="000000" w:themeColor="text1"/>
          <w:sz w:val="24"/>
          <w:szCs w:val="24"/>
          <w:highlight w:val="none"/>
          <w:lang w:val="en-US" w:eastAsia="zh-CN" w:bidi="zh-CN"/>
          <w14:textFill>
            <w14:solidFill>
              <w14:schemeClr w14:val="tx1"/>
            </w14:solidFill>
          </w14:textFill>
        </w:rPr>
      </w:pPr>
    </w:p>
    <w:p>
      <w:pPr>
        <w:pStyle w:val="33"/>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color w:val="000000" w:themeColor="text1"/>
          <w:highlight w:val="none"/>
          <w:lang w:eastAsia="zh-CN"/>
          <w14:textFill>
            <w14:solidFill>
              <w14:schemeClr w14:val="tx1"/>
            </w14:solidFill>
          </w14:textFill>
        </w:rPr>
      </w:pPr>
    </w:p>
    <w:bookmarkEnd w:id="198"/>
    <w:bookmarkEnd w:id="199"/>
    <w:bookmarkEnd w:id="200"/>
    <w:bookmarkEnd w:id="204"/>
    <w:bookmarkEnd w:id="205"/>
    <w:p>
      <w:pPr>
        <w:pStyle w:val="2"/>
        <w:spacing w:before="780" w:beforeAutospacing="0"/>
        <w:jc w:val="center"/>
        <w:rPr>
          <w:color w:val="000000" w:themeColor="text1"/>
          <w:highlight w:val="none"/>
          <w14:textFill>
            <w14:solidFill>
              <w14:schemeClr w14:val="tx1"/>
            </w14:solidFill>
          </w14:textFill>
        </w:rPr>
      </w:pPr>
      <w:bookmarkStart w:id="213" w:name="_Toc129"/>
      <w:r>
        <w:rPr>
          <w:color w:val="000000" w:themeColor="text1"/>
          <w:highlight w:val="none"/>
          <w14:textFill>
            <w14:solidFill>
              <w14:schemeClr w14:val="tx1"/>
            </w14:solidFill>
          </w14:textFill>
        </w:rPr>
        <w:t>第</w:t>
      </w:r>
      <w:r>
        <w:rPr>
          <w:rFonts w:hint="eastAsia"/>
          <w:color w:val="000000" w:themeColor="text1"/>
          <w:highlight w:val="none"/>
          <w:lang w:val="en-US" w:eastAsia="zh-CN"/>
          <w14:textFill>
            <w14:solidFill>
              <w14:schemeClr w14:val="tx1"/>
            </w14:solidFill>
          </w14:textFill>
        </w:rPr>
        <w:t>三</w:t>
      </w:r>
      <w:r>
        <w:rPr>
          <w:rFonts w:hint="eastAsia"/>
          <w:color w:val="000000" w:themeColor="text1"/>
          <w:highlight w:val="none"/>
          <w14:textFill>
            <w14:solidFill>
              <w14:schemeClr w14:val="tx1"/>
            </w14:solidFill>
          </w14:textFill>
        </w:rPr>
        <w:t>章</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组织机构与职责</w:t>
      </w:r>
      <w:bookmarkEnd w:id="213"/>
    </w:p>
    <w:p>
      <w:pPr>
        <w:pStyle w:val="3"/>
        <w:rPr>
          <w:color w:val="000000" w:themeColor="text1"/>
          <w:highlight w:val="none"/>
          <w14:textFill>
            <w14:solidFill>
              <w14:schemeClr w14:val="tx1"/>
            </w14:solidFill>
          </w14:textFill>
        </w:rPr>
      </w:pPr>
      <w:bookmarkStart w:id="214" w:name="_Toc6090"/>
      <w:bookmarkStart w:id="215" w:name="_Toc16456_WPSOffice_Level2"/>
      <w:bookmarkStart w:id="216" w:name="_Toc46857513"/>
      <w:bookmarkStart w:id="217" w:name="_Toc43202963"/>
      <w:bookmarkStart w:id="218" w:name="_Toc408503090"/>
      <w:bookmarkStart w:id="219" w:name="_Toc23660_WPSOffice_Level2"/>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.1企业应急组织体系</w:t>
      </w:r>
      <w:bookmarkEnd w:id="214"/>
      <w:bookmarkEnd w:id="215"/>
      <w:bookmarkEnd w:id="216"/>
      <w:bookmarkEnd w:id="217"/>
      <w:bookmarkEnd w:id="218"/>
      <w:bookmarkEnd w:id="219"/>
    </w:p>
    <w:p>
      <w:pPr>
        <w:adjustRightInd w:val="0"/>
        <w:snapToGrid w:val="0"/>
        <w:spacing w:line="360" w:lineRule="auto"/>
        <w:ind w:firstLine="55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创维视芯电子（宜春)有限公司</w:t>
      </w:r>
      <w:r>
        <w:rPr>
          <w:rFonts w:hint="eastAsia" w:ascii="宋体" w:hAnsi="宋体" w:cs="宋体"/>
          <w:bCs/>
          <w:color w:val="000000" w:themeColor="text1"/>
          <w:sz w:val="24"/>
          <w:highlight w:val="none"/>
          <w14:textFill>
            <w14:solidFill>
              <w14:schemeClr w14:val="tx1"/>
            </w14:solidFill>
          </w14:textFill>
        </w:rPr>
        <w:t>应急机构包括应急指挥部及下设应急小组，应急指挥部主要由总指挥和副总指挥构成，应急小组主要有：医疗救护组、现场治安组、环境监测组、应急消防组、应急抢险组、物资保障组、通讯联络组等，各小组设组长一名，所有人员经过相关演练与培训，具有相关的应急能力。</w:t>
      </w:r>
    </w:p>
    <w:p>
      <w:pPr>
        <w:adjustRightInd w:val="0"/>
        <w:snapToGrid w:val="0"/>
        <w:spacing w:line="360" w:lineRule="auto"/>
        <w:ind w:firstLine="555"/>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具体应急机构图如下。</w:t>
      </w:r>
    </w:p>
    <w:p>
      <w:pPr>
        <w:adjustRightInd w:val="0"/>
        <w:snapToGrid w:val="0"/>
        <w:spacing w:line="360" w:lineRule="auto"/>
        <w:jc w:val="center"/>
        <w:rPr>
          <w:rFonts w:ascii="宋体" w:hAnsi="宋体" w:cs="宋体"/>
          <w:b/>
          <w:bCs/>
          <w:color w:val="000000" w:themeColor="text1"/>
          <w:sz w:val="24"/>
          <w:highlight w:val="none"/>
          <w14:textFill>
            <w14:solidFill>
              <w14:schemeClr w14:val="tx1"/>
            </w14:solidFill>
          </w14:textFill>
        </w:rPr>
      </w:pPr>
      <w:bookmarkStart w:id="220" w:name="_Toc12708_WPSOffice_Level2"/>
      <w:r>
        <w:rPr>
          <w:color w:val="000000" w:themeColor="text1"/>
          <w:highlight w:val="none"/>
          <w14:textFill>
            <w14:solidFill>
              <w14:schemeClr w14:val="tx1"/>
            </w14:solidFill>
          </w14:textFill>
        </w:rPr>
        <w:drawing>
          <wp:inline distT="0" distB="0" distL="114300" distR="114300">
            <wp:extent cx="5619750" cy="365760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24"/>
                    <a:stretch>
                      <a:fillRect/>
                    </a:stretch>
                  </pic:blipFill>
                  <pic:spPr>
                    <a:xfrm>
                      <a:off x="0" y="0"/>
                      <a:ext cx="5619750" cy="3657600"/>
                    </a:xfrm>
                    <a:prstGeom prst="rect">
                      <a:avLst/>
                    </a:prstGeom>
                    <a:noFill/>
                    <a:ln>
                      <a:noFill/>
                    </a:ln>
                  </pic:spPr>
                </pic:pic>
              </a:graphicData>
            </a:graphic>
          </wp:inline>
        </w:drawing>
      </w:r>
    </w:p>
    <w:p>
      <w:pPr>
        <w:adjustRightInd w:val="0"/>
        <w:snapToGrid w:val="0"/>
        <w:spacing w:line="360" w:lineRule="auto"/>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图</w:t>
      </w:r>
      <w:r>
        <w:rPr>
          <w:rFonts w:hint="eastAsia" w:ascii="宋体" w:hAnsi="宋体" w:cs="宋体"/>
          <w:b/>
          <w:bCs/>
          <w:color w:val="000000" w:themeColor="text1"/>
          <w:sz w:val="24"/>
          <w:highlight w:val="none"/>
          <w:lang w:val="en-US" w:eastAsia="zh-CN"/>
          <w14:textFill>
            <w14:solidFill>
              <w14:schemeClr w14:val="tx1"/>
            </w14:solidFill>
          </w14:textFill>
        </w:rPr>
        <w:t>3</w:t>
      </w:r>
      <w:r>
        <w:rPr>
          <w:rFonts w:hint="eastAsia" w:ascii="宋体" w:hAnsi="宋体" w:cs="宋体"/>
          <w:b/>
          <w:bCs/>
          <w:color w:val="000000" w:themeColor="text1"/>
          <w:sz w:val="24"/>
          <w:highlight w:val="none"/>
          <w14:textFill>
            <w14:solidFill>
              <w14:schemeClr w14:val="tx1"/>
            </w14:solidFill>
          </w14:textFill>
        </w:rPr>
        <w:t>.1-1 应急机构网络图</w:t>
      </w:r>
      <w:bookmarkEnd w:id="220"/>
    </w:p>
    <w:p>
      <w:pPr>
        <w:adjustRightInd w:val="0"/>
        <w:snapToGrid w:val="0"/>
        <w:spacing w:line="360" w:lineRule="auto"/>
        <w:ind w:firstLine="555"/>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公司所有应急人员应以一定形式将事故状况、应急工作状况等报告应急指挥部。指挥部根据事故及其处理状况，下达应急指令。应急队伍接受指令后，立即按照职责、分工行动；并在行动过程中，随时将事故状况反馈给指挥部；指挥部根据反馈情况再次下达指令，直到完成应急事故处理。</w:t>
      </w:r>
    </w:p>
    <w:p>
      <w:pPr>
        <w:adjustRightInd w:val="0"/>
        <w:snapToGrid w:val="0"/>
        <w:spacing w:line="360" w:lineRule="auto"/>
        <w:jc w:val="center"/>
        <w:rPr>
          <w:rFonts w:hAnsi="仿宋_GB2312" w:eastAsia="仿宋_GB2312"/>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应急过程中各应急人员以及应急指挥部应佩戴相应的标志性袖章，以示辨识</w:t>
      </w:r>
      <w:r>
        <w:rPr>
          <w:rFonts w:hint="eastAsia" w:ascii="仿宋_GB2312" w:hAnsi="仿宋_GB2312" w:eastAsia="仿宋_GB2312"/>
          <w:bCs/>
          <w:color w:val="000000" w:themeColor="text1"/>
          <w:sz w:val="24"/>
          <w:highlight w:val="none"/>
          <w14:textFill>
            <w14:solidFill>
              <w14:schemeClr w14:val="tx1"/>
            </w14:solidFill>
          </w14:textFill>
        </w:rPr>
        <w:t>。</w:t>
      </w:r>
    </w:p>
    <w:p>
      <w:pPr>
        <w:pStyle w:val="3"/>
        <w:rPr>
          <w:color w:val="000000" w:themeColor="text1"/>
          <w:highlight w:val="none"/>
          <w14:textFill>
            <w14:solidFill>
              <w14:schemeClr w14:val="tx1"/>
            </w14:solidFill>
          </w14:textFill>
        </w:rPr>
      </w:pPr>
      <w:bookmarkStart w:id="221" w:name="_Toc46857514"/>
      <w:bookmarkStart w:id="222" w:name="_Toc17220"/>
      <w:bookmarkStart w:id="223" w:name="_Toc29496_WPSOffice_Level2"/>
      <w:bookmarkStart w:id="224" w:name="_Toc408503091"/>
      <w:bookmarkStart w:id="225" w:name="_Toc43202964"/>
      <w:bookmarkStart w:id="226" w:name="_Toc9771_WPSOffice_Level2"/>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.2指挥部与应急小组职责</w:t>
      </w:r>
      <w:bookmarkEnd w:id="221"/>
      <w:bookmarkEnd w:id="222"/>
      <w:bookmarkEnd w:id="223"/>
      <w:bookmarkEnd w:id="224"/>
      <w:bookmarkEnd w:id="225"/>
      <w:bookmarkEnd w:id="226"/>
    </w:p>
    <w:p>
      <w:pPr>
        <w:pStyle w:val="4"/>
        <w:rPr>
          <w:color w:val="000000" w:themeColor="text1"/>
          <w:highlight w:val="none"/>
          <w14:textFill>
            <w14:solidFill>
              <w14:schemeClr w14:val="tx1"/>
            </w14:solidFill>
          </w14:textFill>
        </w:rPr>
      </w:pPr>
      <w:bookmarkStart w:id="227" w:name="_Toc43202965"/>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.2.1指挥职责</w:t>
      </w:r>
      <w:bookmarkEnd w:id="227"/>
    </w:p>
    <w:p>
      <w:pPr>
        <w:adjustRightInd w:val="0"/>
        <w:snapToGrid w:val="0"/>
        <w:spacing w:line="360" w:lineRule="auto"/>
        <w:ind w:firstLine="55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⑴组织制订突发环境事件应急预案；</w:t>
      </w:r>
    </w:p>
    <w:p>
      <w:pPr>
        <w:adjustRightInd w:val="0"/>
        <w:snapToGrid w:val="0"/>
        <w:spacing w:line="360" w:lineRule="auto"/>
        <w:ind w:firstLine="55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⑵批准本预案的启动与终止；</w:t>
      </w:r>
    </w:p>
    <w:p>
      <w:pPr>
        <w:adjustRightInd w:val="0"/>
        <w:snapToGrid w:val="0"/>
        <w:spacing w:line="360" w:lineRule="auto"/>
        <w:ind w:firstLine="55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⑶现场事故等级判定及相应的应急响应启动； </w:t>
      </w:r>
    </w:p>
    <w:p>
      <w:pPr>
        <w:adjustRightInd w:val="0"/>
        <w:snapToGrid w:val="0"/>
        <w:spacing w:line="360" w:lineRule="auto"/>
        <w:ind w:firstLine="55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⑷负责人员、资源配置、应急队伍的调动；</w:t>
      </w:r>
    </w:p>
    <w:p>
      <w:pPr>
        <w:adjustRightInd w:val="0"/>
        <w:snapToGrid w:val="0"/>
        <w:spacing w:line="360" w:lineRule="auto"/>
        <w:ind w:firstLine="55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⑸确定应急现场指挥人员；</w:t>
      </w:r>
    </w:p>
    <w:p>
      <w:pPr>
        <w:adjustRightInd w:val="0"/>
        <w:snapToGrid w:val="0"/>
        <w:spacing w:line="360" w:lineRule="auto"/>
        <w:ind w:firstLine="55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⑹协调事故现场有关工作；</w:t>
      </w:r>
    </w:p>
    <w:p>
      <w:pPr>
        <w:adjustRightInd w:val="0"/>
        <w:snapToGrid w:val="0"/>
        <w:spacing w:line="360" w:lineRule="auto"/>
        <w:ind w:firstLine="55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⑺确定事故状态下各级人员的职责；</w:t>
      </w:r>
    </w:p>
    <w:p>
      <w:pPr>
        <w:adjustRightInd w:val="0"/>
        <w:snapToGrid w:val="0"/>
        <w:spacing w:line="360" w:lineRule="auto"/>
        <w:ind w:firstLine="55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⑻负责突发环境事件信息的上报工作；</w:t>
      </w:r>
    </w:p>
    <w:p>
      <w:pPr>
        <w:adjustRightInd w:val="0"/>
        <w:snapToGrid w:val="0"/>
        <w:spacing w:line="360" w:lineRule="auto"/>
        <w:ind w:firstLine="55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⑼接受政府的指令和调动；</w:t>
      </w:r>
    </w:p>
    <w:p>
      <w:pPr>
        <w:adjustRightInd w:val="0"/>
        <w:snapToGrid w:val="0"/>
        <w:spacing w:line="360" w:lineRule="auto"/>
        <w:ind w:firstLine="55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⑽组织应急预案的演练；</w:t>
      </w:r>
    </w:p>
    <w:p>
      <w:pPr>
        <w:adjustRightInd w:val="0"/>
        <w:snapToGrid w:val="0"/>
        <w:spacing w:line="360" w:lineRule="auto"/>
        <w:ind w:firstLine="55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⑾负责保护事故现场及收集相关数据；</w:t>
      </w:r>
    </w:p>
    <w:p>
      <w:pPr>
        <w:adjustRightInd w:val="0"/>
        <w:snapToGrid w:val="0"/>
        <w:spacing w:line="360" w:lineRule="auto"/>
        <w:ind w:firstLine="55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⑿负责事故原因调查，应急经验总结；</w:t>
      </w:r>
    </w:p>
    <w:p>
      <w:pPr>
        <w:adjustRightInd w:val="0"/>
        <w:snapToGrid w:val="0"/>
        <w:spacing w:line="360" w:lineRule="auto"/>
        <w:ind w:firstLine="555"/>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⒀负责企业生产过程改进，应急预案制定、更新与发布。</w:t>
      </w:r>
    </w:p>
    <w:p>
      <w:pPr>
        <w:adjustRightInd w:val="0"/>
        <w:snapToGrid w:val="0"/>
        <w:spacing w:line="360" w:lineRule="auto"/>
        <w:rPr>
          <w:rFonts w:ascii="宋体" w:hAnsi="宋体" w:cs="宋体"/>
          <w:b/>
          <w:bCs/>
          <w:color w:val="000000" w:themeColor="text1"/>
          <w:sz w:val="24"/>
          <w:highlight w:val="none"/>
          <w14:textFill>
            <w14:solidFill>
              <w14:schemeClr w14:val="tx1"/>
            </w14:solidFill>
          </w14:textFill>
        </w:rPr>
      </w:pPr>
      <w:bookmarkStart w:id="228" w:name="_Toc342216081"/>
      <w:bookmarkStart w:id="229" w:name="_Toc341807497"/>
      <w:bookmarkStart w:id="230" w:name="_Toc170632597"/>
      <w:bookmarkStart w:id="231" w:name="_Toc171561492"/>
      <w:r>
        <w:rPr>
          <w:rFonts w:hint="eastAsia" w:ascii="宋体" w:hAnsi="宋体" w:cs="宋体"/>
          <w:b/>
          <w:bCs/>
          <w:color w:val="000000" w:themeColor="text1"/>
          <w:sz w:val="24"/>
          <w:highlight w:val="none"/>
          <w:lang w:val="en-US" w:eastAsia="zh-CN"/>
          <w14:textFill>
            <w14:solidFill>
              <w14:schemeClr w14:val="tx1"/>
            </w14:solidFill>
          </w14:textFill>
        </w:rPr>
        <w:t>3</w:t>
      </w:r>
      <w:r>
        <w:rPr>
          <w:rFonts w:hint="eastAsia" w:ascii="宋体" w:hAnsi="宋体" w:cs="宋体"/>
          <w:b/>
          <w:bCs/>
          <w:color w:val="000000" w:themeColor="text1"/>
          <w:sz w:val="24"/>
          <w:highlight w:val="none"/>
          <w14:textFill>
            <w14:solidFill>
              <w14:schemeClr w14:val="tx1"/>
            </w14:solidFill>
          </w14:textFill>
        </w:rPr>
        <w:t>.2.1.1 指挥部人员职责划分</w:t>
      </w:r>
      <w:bookmarkEnd w:id="228"/>
      <w:bookmarkEnd w:id="229"/>
      <w:bookmarkEnd w:id="230"/>
      <w:bookmarkEnd w:id="231"/>
    </w:p>
    <w:p>
      <w:pPr>
        <w:adjustRightInd w:val="0"/>
        <w:snapToGrid w:val="0"/>
        <w:spacing w:line="360" w:lineRule="auto"/>
        <w:ind w:firstLine="555"/>
        <w:rPr>
          <w:rFonts w:hint="eastAsia" w:ascii="宋体" w:hAnsi="宋体" w:eastAsia="宋体" w:cs="宋体"/>
          <w:bCs/>
          <w:color w:val="000000" w:themeColor="text1"/>
          <w:sz w:val="24"/>
          <w:highlight w:val="none"/>
          <w:lang w:eastAsia="zh-CN"/>
          <w14:textFill>
            <w14:solidFill>
              <w14:schemeClr w14:val="tx1"/>
            </w14:solidFill>
          </w14:textFill>
        </w:rPr>
      </w:pPr>
      <w:commentRangeStart w:id="3"/>
      <w:r>
        <w:rPr>
          <w:rFonts w:hint="eastAsia" w:ascii="宋体" w:hAnsi="宋体" w:cs="宋体"/>
          <w:bCs/>
          <w:color w:val="000000" w:themeColor="text1"/>
          <w:sz w:val="24"/>
          <w:highlight w:val="none"/>
          <w14:textFill>
            <w14:solidFill>
              <w14:schemeClr w14:val="tx1"/>
            </w14:solidFill>
          </w14:textFill>
        </w:rPr>
        <w:t>⑴总指挥：</w:t>
      </w:r>
      <w:r>
        <w:rPr>
          <w:rFonts w:hint="eastAsia" w:ascii="宋体" w:hAnsi="宋体" w:cs="宋体"/>
          <w:bCs/>
          <w:color w:val="000000" w:themeColor="text1"/>
          <w:sz w:val="24"/>
          <w:highlight w:val="none"/>
          <w:lang w:val="en-US" w:eastAsia="zh-CN"/>
          <w14:textFill>
            <w14:solidFill>
              <w14:schemeClr w14:val="tx1"/>
            </w14:solidFill>
          </w14:textFill>
        </w:rPr>
        <w:t>刘小勇</w:t>
      </w:r>
      <w:commentRangeEnd w:id="3"/>
      <w:r>
        <w:commentReference w:id="3"/>
      </w:r>
    </w:p>
    <w:p>
      <w:pPr>
        <w:adjustRightInd w:val="0"/>
        <w:snapToGrid w:val="0"/>
        <w:spacing w:line="360" w:lineRule="auto"/>
        <w:ind w:firstLine="555"/>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职责：</w:t>
      </w:r>
    </w:p>
    <w:p>
      <w:pPr>
        <w:adjustRightInd w:val="0"/>
        <w:snapToGrid w:val="0"/>
        <w:spacing w:line="360" w:lineRule="auto"/>
        <w:ind w:firstLine="555"/>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①组织制定突发环境事件应急预案；</w:t>
      </w:r>
    </w:p>
    <w:p>
      <w:pPr>
        <w:adjustRightInd w:val="0"/>
        <w:snapToGrid w:val="0"/>
        <w:spacing w:line="360" w:lineRule="auto"/>
        <w:ind w:firstLine="555"/>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②批准本预案的启动与终止；</w:t>
      </w:r>
    </w:p>
    <w:p>
      <w:pPr>
        <w:adjustRightInd w:val="0"/>
        <w:snapToGrid w:val="0"/>
        <w:spacing w:line="360" w:lineRule="auto"/>
        <w:ind w:left="55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③现场事故等级判定及相应的应急响应启动；</w:t>
      </w:r>
    </w:p>
    <w:p>
      <w:pPr>
        <w:adjustRightInd w:val="0"/>
        <w:snapToGrid w:val="0"/>
        <w:spacing w:line="360" w:lineRule="auto"/>
        <w:ind w:firstLine="555"/>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④全面负责各小组应急指挥工作；</w:t>
      </w:r>
    </w:p>
    <w:p>
      <w:pPr>
        <w:adjustRightInd w:val="0"/>
        <w:snapToGrid w:val="0"/>
        <w:spacing w:line="360" w:lineRule="auto"/>
        <w:ind w:firstLine="555"/>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⑤调动人员、物资，并发布应急指令；</w:t>
      </w:r>
    </w:p>
    <w:p>
      <w:pPr>
        <w:adjustRightInd w:val="0"/>
        <w:snapToGrid w:val="0"/>
        <w:spacing w:line="360" w:lineRule="auto"/>
        <w:ind w:firstLine="555"/>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⑥接收政府的指令和调动；</w:t>
      </w:r>
    </w:p>
    <w:p>
      <w:pPr>
        <w:adjustRightInd w:val="0"/>
        <w:snapToGrid w:val="0"/>
        <w:spacing w:line="360" w:lineRule="auto"/>
        <w:ind w:firstLine="555"/>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⑦负责应急预案的制定和发布；</w:t>
      </w:r>
    </w:p>
    <w:p>
      <w:pPr>
        <w:adjustRightInd w:val="0"/>
        <w:snapToGrid w:val="0"/>
        <w:spacing w:line="360" w:lineRule="auto"/>
        <w:ind w:firstLine="555"/>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⑧负责突发环境事件信息的上报工作。</w:t>
      </w:r>
    </w:p>
    <w:p>
      <w:pPr>
        <w:adjustRightInd w:val="0"/>
        <w:snapToGrid w:val="0"/>
        <w:spacing w:line="360" w:lineRule="auto"/>
        <w:ind w:firstLine="555"/>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⑵副总指挥：</w:t>
      </w:r>
      <w:r>
        <w:rPr>
          <w:rFonts w:hint="eastAsia" w:ascii="宋体" w:hAnsi="宋体" w:cs="宋体"/>
          <w:bCs/>
          <w:color w:val="000000" w:themeColor="text1"/>
          <w:sz w:val="24"/>
          <w:highlight w:val="none"/>
          <w:lang w:eastAsia="zh-CN"/>
          <w14:textFill>
            <w14:solidFill>
              <w14:schemeClr w14:val="tx1"/>
            </w14:solidFill>
          </w14:textFill>
        </w:rPr>
        <w:t>甘月军</w:t>
      </w:r>
    </w:p>
    <w:p>
      <w:pPr>
        <w:adjustRightInd w:val="0"/>
        <w:snapToGrid w:val="0"/>
        <w:spacing w:line="360" w:lineRule="auto"/>
        <w:ind w:firstLine="555"/>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职责：</w:t>
      </w:r>
    </w:p>
    <w:p>
      <w:pPr>
        <w:adjustRightInd w:val="0"/>
        <w:snapToGrid w:val="0"/>
        <w:spacing w:line="360" w:lineRule="auto"/>
        <w:ind w:left="552"/>
        <w:rPr>
          <w:rFonts w:ascii="宋体" w:hAnsi="宋体" w:cs="宋体"/>
          <w:bCs/>
          <w:color w:val="000000" w:themeColor="text1"/>
          <w:sz w:val="24"/>
          <w:highlight w:val="none"/>
          <w14:textFill>
            <w14:solidFill>
              <w14:schemeClr w14:val="tx1"/>
            </w14:solidFill>
          </w14:textFill>
        </w:rPr>
      </w:pPr>
      <w:bookmarkStart w:id="232" w:name="_Toc165165582"/>
      <w:bookmarkStart w:id="233" w:name="_Toc161808476"/>
      <w:r>
        <w:rPr>
          <w:rFonts w:hint="eastAsia" w:ascii="宋体" w:hAnsi="宋体" w:cs="宋体"/>
          <w:bCs/>
          <w:color w:val="000000" w:themeColor="text1"/>
          <w:sz w:val="24"/>
          <w:highlight w:val="none"/>
          <w14:textFill>
            <w14:solidFill>
              <w14:schemeClr w14:val="tx1"/>
            </w14:solidFill>
          </w14:textFill>
        </w:rPr>
        <w:t>①负责具体落实各应急小组应急工作；</w:t>
      </w:r>
    </w:p>
    <w:p>
      <w:pPr>
        <w:adjustRightInd w:val="0"/>
        <w:snapToGrid w:val="0"/>
        <w:spacing w:line="360" w:lineRule="auto"/>
        <w:ind w:left="552"/>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②负责各应急小组组长工作任务分配；</w:t>
      </w:r>
    </w:p>
    <w:p>
      <w:pPr>
        <w:adjustRightInd w:val="0"/>
        <w:snapToGrid w:val="0"/>
        <w:spacing w:line="360" w:lineRule="auto"/>
        <w:ind w:left="552"/>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③协调事故现场有关工作；</w:t>
      </w:r>
    </w:p>
    <w:p>
      <w:pPr>
        <w:adjustRightInd w:val="0"/>
        <w:snapToGrid w:val="0"/>
        <w:spacing w:line="360" w:lineRule="auto"/>
        <w:ind w:left="552"/>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④组织应急预案的演练；</w:t>
      </w:r>
    </w:p>
    <w:p>
      <w:pPr>
        <w:adjustRightInd w:val="0"/>
        <w:snapToGrid w:val="0"/>
        <w:spacing w:line="360" w:lineRule="auto"/>
        <w:ind w:left="552"/>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⑤负责事故原因调查、应急经验总结；</w:t>
      </w:r>
    </w:p>
    <w:p>
      <w:pPr>
        <w:adjustRightInd w:val="0"/>
        <w:snapToGrid w:val="0"/>
        <w:spacing w:line="360" w:lineRule="auto"/>
        <w:ind w:left="552"/>
        <w:rPr>
          <w:rFonts w:eastAsia="仿宋_GB2312"/>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⑥负责公司生产改进，应急预案改进、更新；</w:t>
      </w:r>
    </w:p>
    <w:p>
      <w:pPr>
        <w:pStyle w:val="4"/>
        <w:rPr>
          <w:color w:val="000000" w:themeColor="text1"/>
          <w:highlight w:val="none"/>
          <w14:textFill>
            <w14:solidFill>
              <w14:schemeClr w14:val="tx1"/>
            </w14:solidFill>
          </w14:textFill>
        </w:rPr>
      </w:pPr>
      <w:bookmarkStart w:id="234" w:name="_Toc408503093"/>
      <w:bookmarkStart w:id="235" w:name="_Toc43202966"/>
      <w:r>
        <w:rPr>
          <w:rFonts w:hint="eastAsia"/>
          <w:color w:val="000000" w:themeColor="text1"/>
          <w:highlight w:val="none"/>
          <w:lang w:val="en-US" w:eastAsia="zh-CN"/>
          <w14:textFill>
            <w14:solidFill>
              <w14:schemeClr w14:val="tx1"/>
            </w14:solidFill>
          </w14:textFill>
        </w:rPr>
        <w:t>3</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应急</w:t>
      </w:r>
      <w:r>
        <w:rPr>
          <w:rFonts w:hint="eastAsia"/>
          <w:color w:val="000000" w:themeColor="text1"/>
          <w:highlight w:val="none"/>
          <w14:textFill>
            <w14:solidFill>
              <w14:schemeClr w14:val="tx1"/>
            </w14:solidFill>
          </w14:textFill>
        </w:rPr>
        <w:t>小组</w:t>
      </w:r>
      <w:r>
        <w:rPr>
          <w:color w:val="000000" w:themeColor="text1"/>
          <w:highlight w:val="none"/>
          <w14:textFill>
            <w14:solidFill>
              <w14:schemeClr w14:val="tx1"/>
            </w14:solidFill>
          </w14:textFill>
        </w:rPr>
        <w:t>职责</w:t>
      </w:r>
      <w:bookmarkEnd w:id="232"/>
      <w:bookmarkEnd w:id="233"/>
      <w:bookmarkEnd w:id="234"/>
      <w:bookmarkEnd w:id="235"/>
    </w:p>
    <w:p>
      <w:pPr>
        <w:adjustRightInd w:val="0"/>
        <w:snapToGrid w:val="0"/>
        <w:spacing w:line="360" w:lineRule="auto"/>
        <w:ind w:firstLine="482"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1、应急消防组职责</w:t>
      </w:r>
    </w:p>
    <w:p>
      <w:pPr>
        <w:adjustRightInd w:val="0"/>
        <w:snapToGrid w:val="0"/>
        <w:spacing w:line="360" w:lineRule="auto"/>
        <w:ind w:firstLine="480" w:firstLineChars="200"/>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组长：</w:t>
      </w:r>
      <w:r>
        <w:rPr>
          <w:rFonts w:hint="eastAsia" w:ascii="宋体" w:hAnsi="宋体" w:cs="宋体"/>
          <w:bCs/>
          <w:color w:val="000000" w:themeColor="text1"/>
          <w:sz w:val="24"/>
          <w:highlight w:val="none"/>
          <w:lang w:val="en-US" w:eastAsia="zh-CN"/>
          <w14:textFill>
            <w14:solidFill>
              <w14:schemeClr w14:val="tx1"/>
            </w14:solidFill>
          </w14:textFill>
        </w:rPr>
        <w:t>周德亮</w:t>
      </w:r>
      <w:r>
        <w:rPr>
          <w:rFonts w:hint="eastAsia" w:ascii="宋体" w:hAnsi="宋体" w:cs="宋体"/>
          <w:bCs/>
          <w:color w:val="FF0000"/>
          <w:sz w:val="24"/>
          <w:highlight w:val="none"/>
          <w:lang w:val="en-US" w:eastAsia="zh-CN"/>
        </w:rPr>
        <w:t xml:space="preserve"> 联系方式：</w:t>
      </w:r>
      <w:r>
        <w:rPr>
          <w:rFonts w:hint="default" w:ascii="Times New Roman" w:hAnsi="Times New Roman" w:eastAsia="宋体" w:cs="Times New Roman"/>
          <w:color w:val="FF0000"/>
          <w:szCs w:val="21"/>
          <w:highlight w:val="none"/>
          <w:lang w:val="en-US" w:eastAsia="zh-CN"/>
        </w:rPr>
        <w:t>18679550212</w:t>
      </w:r>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职责：</w:t>
      </w:r>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（1）负责事故现场应急消防，联络接应119消防队；</w:t>
      </w:r>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（2）负责关闭雨水排口阀门，开启应急泵，收集消防废水及泄漏液体的收集；</w:t>
      </w:r>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（3）负责消防物资（灭火器、消防栓、水枪、灭火沙等）取用；</w:t>
      </w:r>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（4）负责事故后的污染场地洗消；</w:t>
      </w:r>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（5）将消防废水收集后转移至厂内废水站处理达标。</w:t>
      </w:r>
    </w:p>
    <w:p>
      <w:pPr>
        <w:adjustRightInd w:val="0"/>
        <w:snapToGrid w:val="0"/>
        <w:spacing w:line="360" w:lineRule="auto"/>
        <w:ind w:firstLine="482"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2、应急抢险组职责</w:t>
      </w:r>
    </w:p>
    <w:p>
      <w:pPr>
        <w:adjustRightInd w:val="0"/>
        <w:snapToGrid w:val="0"/>
        <w:spacing w:line="360" w:lineRule="auto"/>
        <w:ind w:firstLine="480" w:firstLineChars="200"/>
        <w:rPr>
          <w:rFonts w:hint="default" w:cs="Times New Roman"/>
          <w:color w:val="000000" w:themeColor="text1"/>
          <w:szCs w:val="21"/>
          <w:highlight w:val="none"/>
          <w:lang w:val="en-US" w:eastAsia="zh-CN"/>
          <w14:textFill>
            <w14:solidFill>
              <w14:schemeClr w14:val="tx1"/>
            </w14:solidFill>
          </w14:textFill>
        </w:rPr>
      </w:pPr>
      <w:bookmarkStart w:id="236" w:name="_Toc408503094"/>
      <w:commentRangeStart w:id="4"/>
      <w:r>
        <w:rPr>
          <w:rFonts w:hint="eastAsia" w:ascii="宋体" w:hAnsi="宋体" w:cs="宋体"/>
          <w:bCs/>
          <w:color w:val="000000" w:themeColor="text1"/>
          <w:sz w:val="24"/>
          <w:highlight w:val="none"/>
          <w14:textFill>
            <w14:solidFill>
              <w14:schemeClr w14:val="tx1"/>
            </w14:solidFill>
          </w14:textFill>
        </w:rPr>
        <w:t>组长：</w:t>
      </w:r>
      <w:bookmarkEnd w:id="236"/>
      <w:r>
        <w:rPr>
          <w:rFonts w:hint="eastAsia" w:ascii="宋体" w:hAnsi="宋体" w:cs="宋体"/>
          <w:bCs/>
          <w:color w:val="000000" w:themeColor="text1"/>
          <w:sz w:val="24"/>
          <w:highlight w:val="none"/>
          <w:lang w:val="en-US" w:eastAsia="zh-CN"/>
          <w14:textFill>
            <w14:solidFill>
              <w14:schemeClr w14:val="tx1"/>
            </w14:solidFill>
          </w14:textFill>
        </w:rPr>
        <w:t>彭忠新</w:t>
      </w:r>
      <w:r>
        <w:rPr>
          <w:rFonts w:hint="eastAsia" w:ascii="宋体" w:hAnsi="宋体" w:cs="宋体"/>
          <w:bCs/>
          <w:color w:val="FF0000"/>
          <w:sz w:val="24"/>
          <w:highlight w:val="none"/>
          <w:lang w:val="en-US" w:eastAsia="zh-CN"/>
        </w:rPr>
        <w:t xml:space="preserve"> 联系方式：</w:t>
      </w:r>
      <w:r>
        <w:rPr>
          <w:rFonts w:hint="default" w:cs="Times New Roman"/>
          <w:color w:val="000000" w:themeColor="text1"/>
          <w:szCs w:val="21"/>
          <w:highlight w:val="none"/>
          <w:lang w:val="en-US" w:eastAsia="zh-CN"/>
          <w14:textFill>
            <w14:solidFill>
              <w14:schemeClr w14:val="tx1"/>
            </w14:solidFill>
          </w14:textFill>
        </w:rPr>
        <w:t>13714117805</w:t>
      </w:r>
      <w:commentRangeEnd w:id="4"/>
      <w:r>
        <w:commentReference w:id="4"/>
      </w:r>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职责： </w:t>
      </w:r>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bookmarkStart w:id="237" w:name="_Toc402875704"/>
      <w:bookmarkStart w:id="238" w:name="_Toc403659373"/>
      <w:bookmarkStart w:id="239" w:name="_Toc383072783"/>
      <w:bookmarkStart w:id="240" w:name="_Toc396237235"/>
      <w:bookmarkStart w:id="241" w:name="_Toc395804991"/>
      <w:bookmarkStart w:id="242" w:name="_Toc399352194"/>
      <w:bookmarkStart w:id="243" w:name="_Toc396934365"/>
      <w:bookmarkStart w:id="244" w:name="_Toc408503096"/>
      <w:bookmarkStart w:id="245" w:name="_Toc383172990"/>
      <w:bookmarkStart w:id="246" w:name="_Toc405384539"/>
      <w:bookmarkStart w:id="247" w:name="_Toc405881550"/>
      <w:bookmarkStart w:id="248" w:name="_Toc378105667"/>
      <w:r>
        <w:rPr>
          <w:rFonts w:hint="eastAsia" w:ascii="宋体" w:hAnsi="宋体" w:cs="宋体"/>
          <w:bCs/>
          <w:color w:val="000000" w:themeColor="text1"/>
          <w:sz w:val="24"/>
          <w:highlight w:val="none"/>
          <w14:textFill>
            <w14:solidFill>
              <w14:schemeClr w14:val="tx1"/>
            </w14:solidFill>
          </w14:textFill>
        </w:rPr>
        <w:t>（1）负责泄漏处应急堵漏（阀门、法兰、垫圈等泄漏处堵漏）；</w:t>
      </w:r>
      <w:bookmarkEnd w:id="237"/>
      <w:bookmarkEnd w:id="238"/>
      <w:bookmarkEnd w:id="239"/>
      <w:bookmarkEnd w:id="240"/>
      <w:bookmarkEnd w:id="241"/>
      <w:bookmarkEnd w:id="242"/>
      <w:bookmarkEnd w:id="243"/>
      <w:bookmarkEnd w:id="244"/>
      <w:bookmarkEnd w:id="245"/>
      <w:bookmarkEnd w:id="246"/>
      <w:bookmarkEnd w:id="247"/>
      <w:bookmarkEnd w:id="248"/>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（2）负责围堰内液体收集、转移和地面残液处理；</w:t>
      </w:r>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（3）负责泄漏废水的围堵与疏导；</w:t>
      </w:r>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（4）负责故障设备抢修。</w:t>
      </w:r>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（5）抢险物资的取用。</w:t>
      </w:r>
    </w:p>
    <w:p>
      <w:pPr>
        <w:adjustRightInd w:val="0"/>
        <w:snapToGrid w:val="0"/>
        <w:spacing w:line="360" w:lineRule="auto"/>
        <w:ind w:firstLine="602" w:firstLineChars="250"/>
        <w:rPr>
          <w:rFonts w:ascii="宋体" w:hAnsi="宋体" w:cs="宋体"/>
          <w:b/>
          <w:bCs/>
          <w:color w:val="000000" w:themeColor="text1"/>
          <w:sz w:val="24"/>
          <w:highlight w:val="none"/>
          <w14:textFill>
            <w14:solidFill>
              <w14:schemeClr w14:val="tx1"/>
            </w14:solidFill>
          </w14:textFill>
        </w:rPr>
      </w:pPr>
      <w:bookmarkStart w:id="249" w:name="_Toc378105668"/>
      <w:bookmarkStart w:id="250" w:name="_Toc399352195"/>
      <w:bookmarkStart w:id="251" w:name="_Toc402875705"/>
      <w:bookmarkStart w:id="252" w:name="_Toc405881551"/>
      <w:bookmarkStart w:id="253" w:name="_Toc396237236"/>
      <w:bookmarkStart w:id="254" w:name="_Toc408503097"/>
      <w:bookmarkStart w:id="255" w:name="_Toc395804992"/>
      <w:bookmarkStart w:id="256" w:name="_Toc396934366"/>
      <w:bookmarkStart w:id="257" w:name="_Toc383072784"/>
      <w:bookmarkStart w:id="258" w:name="_Toc383172991"/>
      <w:bookmarkStart w:id="259" w:name="_Toc405384540"/>
      <w:bookmarkStart w:id="260" w:name="_Toc403659374"/>
      <w:r>
        <w:rPr>
          <w:rFonts w:hint="eastAsia" w:ascii="宋体" w:hAnsi="宋体" w:cs="宋体"/>
          <w:b/>
          <w:bCs/>
          <w:color w:val="000000" w:themeColor="text1"/>
          <w:sz w:val="24"/>
          <w:highlight w:val="none"/>
          <w14:textFill>
            <w14:solidFill>
              <w14:schemeClr w14:val="tx1"/>
            </w14:solidFill>
          </w14:textFill>
        </w:rPr>
        <w:t>3、医疗救护组职责</w:t>
      </w:r>
      <w:bookmarkEnd w:id="249"/>
      <w:bookmarkEnd w:id="250"/>
      <w:bookmarkEnd w:id="251"/>
      <w:bookmarkEnd w:id="252"/>
      <w:bookmarkEnd w:id="253"/>
      <w:bookmarkEnd w:id="254"/>
      <w:bookmarkEnd w:id="255"/>
      <w:bookmarkEnd w:id="256"/>
      <w:bookmarkEnd w:id="257"/>
      <w:bookmarkEnd w:id="258"/>
      <w:bookmarkEnd w:id="259"/>
      <w:bookmarkEnd w:id="260"/>
    </w:p>
    <w:p>
      <w:pPr>
        <w:adjustRightInd w:val="0"/>
        <w:snapToGrid w:val="0"/>
        <w:spacing w:line="360" w:lineRule="auto"/>
        <w:ind w:firstLine="480" w:firstLineChars="200"/>
        <w:rPr>
          <w:rFonts w:hint="default" w:cs="Times New Roman"/>
          <w:color w:val="000000" w:themeColor="text1"/>
          <w:szCs w:val="21"/>
          <w:highlight w:val="none"/>
          <w:lang w:val="en-US" w:eastAsia="zh-CN"/>
          <w14:textFill>
            <w14:solidFill>
              <w14:schemeClr w14:val="tx1"/>
            </w14:solidFill>
          </w14:textFill>
        </w:rPr>
      </w:pPr>
      <w:commentRangeStart w:id="5"/>
      <w:r>
        <w:rPr>
          <w:rFonts w:hint="eastAsia" w:ascii="宋体" w:hAnsi="宋体" w:cs="宋体"/>
          <w:bCs/>
          <w:color w:val="000000" w:themeColor="text1"/>
          <w:sz w:val="24"/>
          <w:highlight w:val="none"/>
          <w14:textFill>
            <w14:solidFill>
              <w14:schemeClr w14:val="tx1"/>
            </w14:solidFill>
          </w14:textFill>
        </w:rPr>
        <w:t>组长：</w:t>
      </w:r>
      <w:r>
        <w:rPr>
          <w:rFonts w:hint="eastAsia" w:ascii="宋体" w:hAnsi="宋体" w:cs="宋体"/>
          <w:bCs/>
          <w:color w:val="000000" w:themeColor="text1"/>
          <w:sz w:val="24"/>
          <w:highlight w:val="none"/>
          <w:lang w:val="en-US" w:eastAsia="zh-CN"/>
          <w14:textFill>
            <w14:solidFill>
              <w14:schemeClr w14:val="tx1"/>
            </w14:solidFill>
          </w14:textFill>
        </w:rPr>
        <w:t xml:space="preserve">宋家磊  </w:t>
      </w:r>
      <w:r>
        <w:rPr>
          <w:rFonts w:hint="eastAsia" w:ascii="宋体" w:hAnsi="宋体" w:cs="宋体"/>
          <w:bCs/>
          <w:color w:val="FF0000"/>
          <w:sz w:val="24"/>
          <w:highlight w:val="none"/>
          <w:lang w:val="en-US" w:eastAsia="zh-CN"/>
        </w:rPr>
        <w:t>联系方式：</w:t>
      </w:r>
      <w:r>
        <w:rPr>
          <w:rFonts w:hint="default" w:cs="Times New Roman"/>
          <w:color w:val="000000" w:themeColor="text1"/>
          <w:szCs w:val="21"/>
          <w:highlight w:val="none"/>
          <w:lang w:val="en-US" w:eastAsia="zh-CN"/>
          <w14:textFill>
            <w14:solidFill>
              <w14:schemeClr w14:val="tx1"/>
            </w14:solidFill>
          </w14:textFill>
        </w:rPr>
        <w:t>1510210346</w:t>
      </w:r>
      <w:commentRangeEnd w:id="5"/>
      <w:r>
        <w:commentReference w:id="5"/>
      </w:r>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职责：</w:t>
      </w:r>
    </w:p>
    <w:p>
      <w:pPr>
        <w:numPr>
          <w:ilvl w:val="0"/>
          <w:numId w:val="6"/>
        </w:numPr>
        <w:adjustRightInd w:val="0"/>
        <w:snapToGrid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负责对事故伤员应急抢救；</w:t>
      </w:r>
    </w:p>
    <w:p>
      <w:pPr>
        <w:numPr>
          <w:ilvl w:val="0"/>
          <w:numId w:val="6"/>
        </w:numPr>
        <w:adjustRightInd w:val="0"/>
        <w:snapToGrid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负责联络120急救中心；</w:t>
      </w:r>
    </w:p>
    <w:p>
      <w:pPr>
        <w:numPr>
          <w:ilvl w:val="0"/>
          <w:numId w:val="6"/>
        </w:numPr>
        <w:adjustRightInd w:val="0"/>
        <w:snapToGrid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负责将中毒人员向事故地上风向（根据风向标指示）疏散；</w:t>
      </w:r>
    </w:p>
    <w:p>
      <w:pPr>
        <w:numPr>
          <w:ilvl w:val="0"/>
          <w:numId w:val="6"/>
        </w:numPr>
        <w:adjustRightInd w:val="0"/>
        <w:snapToGrid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负责医疗物资的取用。</w:t>
      </w:r>
    </w:p>
    <w:p>
      <w:pPr>
        <w:adjustRightInd w:val="0"/>
        <w:snapToGrid w:val="0"/>
        <w:spacing w:line="360" w:lineRule="auto"/>
        <w:ind w:firstLine="602" w:firstLineChars="250"/>
        <w:rPr>
          <w:rFonts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4、应急监测组职责</w:t>
      </w:r>
    </w:p>
    <w:p>
      <w:pPr>
        <w:adjustRightInd w:val="0"/>
        <w:snapToGrid w:val="0"/>
        <w:spacing w:line="360" w:lineRule="auto"/>
        <w:ind w:firstLine="480" w:firstLineChars="200"/>
        <w:rPr>
          <w:rFonts w:hint="eastAsia" w:ascii="宋体" w:hAnsi="宋体" w:eastAsia="宋体" w:cs="宋体"/>
          <w:bCs/>
          <w:color w:val="000000" w:themeColor="text1"/>
          <w:sz w:val="24"/>
          <w:highlight w:val="none"/>
          <w:lang w:eastAsia="zh-CN"/>
          <w14:textFill>
            <w14:solidFill>
              <w14:schemeClr w14:val="tx1"/>
            </w14:solidFill>
          </w14:textFill>
        </w:rPr>
      </w:pPr>
      <w:commentRangeStart w:id="6"/>
      <w:r>
        <w:rPr>
          <w:rFonts w:hint="eastAsia" w:ascii="宋体" w:hAnsi="宋体" w:cs="宋体"/>
          <w:bCs/>
          <w:color w:val="000000" w:themeColor="text1"/>
          <w:sz w:val="24"/>
          <w:highlight w:val="none"/>
          <w14:textFill>
            <w14:solidFill>
              <w14:schemeClr w14:val="tx1"/>
            </w14:solidFill>
          </w14:textFill>
        </w:rPr>
        <w:t>组长：</w:t>
      </w:r>
      <w:r>
        <w:rPr>
          <w:rFonts w:hint="eastAsia" w:ascii="宋体" w:hAnsi="宋体" w:cs="宋体"/>
          <w:bCs/>
          <w:color w:val="000000" w:themeColor="text1"/>
          <w:sz w:val="24"/>
          <w:highlight w:val="none"/>
          <w:lang w:val="en-US" w:eastAsia="zh-CN"/>
          <w14:textFill>
            <w14:solidFill>
              <w14:schemeClr w14:val="tx1"/>
            </w14:solidFill>
          </w14:textFill>
        </w:rPr>
        <w:t xml:space="preserve">王健  </w:t>
      </w:r>
      <w:r>
        <w:rPr>
          <w:rFonts w:hint="eastAsia" w:ascii="宋体" w:hAnsi="宋体" w:cs="宋体"/>
          <w:bCs/>
          <w:color w:val="FF0000"/>
          <w:sz w:val="24"/>
          <w:highlight w:val="none"/>
          <w:lang w:val="en-US" w:eastAsia="zh-CN"/>
        </w:rPr>
        <w:t>联系方式：</w:t>
      </w: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13416169409</w:t>
      </w:r>
      <w:commentRangeEnd w:id="6"/>
      <w:r>
        <w:commentReference w:id="6"/>
      </w:r>
    </w:p>
    <w:p>
      <w:pPr>
        <w:adjustRightInd w:val="0"/>
        <w:snapToGrid w:val="0"/>
        <w:spacing w:line="360" w:lineRule="auto"/>
        <w:ind w:firstLine="555"/>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职责：</w:t>
      </w:r>
    </w:p>
    <w:p>
      <w:pPr>
        <w:numPr>
          <w:ilvl w:val="0"/>
          <w:numId w:val="7"/>
        </w:numPr>
        <w:adjustRightInd w:val="0"/>
        <w:snapToGrid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负责事故现场大气中废气等浓度监测；</w:t>
      </w:r>
    </w:p>
    <w:p>
      <w:pPr>
        <w:numPr>
          <w:ilvl w:val="0"/>
          <w:numId w:val="7"/>
        </w:numPr>
        <w:adjustRightInd w:val="0"/>
        <w:snapToGrid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消防废水及事故池中COD、毒害品等浓度监测；</w:t>
      </w:r>
    </w:p>
    <w:p>
      <w:pPr>
        <w:numPr>
          <w:ilvl w:val="0"/>
          <w:numId w:val="7"/>
        </w:numPr>
        <w:adjustRightInd w:val="0"/>
        <w:snapToGrid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负责事故应急中止后大气、水体环境采样与监测。</w:t>
      </w:r>
    </w:p>
    <w:p>
      <w:pPr>
        <w:numPr>
          <w:ilvl w:val="0"/>
          <w:numId w:val="7"/>
        </w:numPr>
        <w:adjustRightInd w:val="0"/>
        <w:snapToGrid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负责联络接应外部环境监测单位；</w:t>
      </w:r>
    </w:p>
    <w:p>
      <w:pPr>
        <w:numPr>
          <w:ilvl w:val="0"/>
          <w:numId w:val="7"/>
        </w:numPr>
        <w:adjustRightInd w:val="0"/>
        <w:snapToGrid w:val="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负责各监测设备的维护与取用；</w:t>
      </w:r>
    </w:p>
    <w:p>
      <w:pPr>
        <w:adjustRightInd w:val="0"/>
        <w:snapToGrid w:val="0"/>
        <w:spacing w:line="360" w:lineRule="auto"/>
        <w:ind w:firstLine="482"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5、现场治安组职责</w:t>
      </w:r>
    </w:p>
    <w:p>
      <w:pPr>
        <w:adjustRightInd w:val="0"/>
        <w:snapToGrid w:val="0"/>
        <w:spacing w:line="360" w:lineRule="auto"/>
        <w:ind w:firstLine="480" w:firstLineChars="200"/>
        <w:rPr>
          <w:rFonts w:hint="default" w:ascii="宋体" w:hAnsi="宋体" w:eastAsia="宋体" w:cs="宋体"/>
          <w:bCs/>
          <w:color w:val="000000" w:themeColor="text1"/>
          <w:sz w:val="24"/>
          <w:highlight w:val="none"/>
          <w:lang w:val="en-US" w:eastAsia="zh-CN"/>
          <w14:textFill>
            <w14:solidFill>
              <w14:schemeClr w14:val="tx1"/>
            </w14:solidFill>
          </w14:textFill>
        </w:rPr>
      </w:pPr>
      <w:commentRangeStart w:id="7"/>
      <w:r>
        <w:rPr>
          <w:rFonts w:hint="eastAsia" w:ascii="宋体" w:hAnsi="宋体" w:cs="宋体"/>
          <w:bCs/>
          <w:color w:val="000000" w:themeColor="text1"/>
          <w:sz w:val="24"/>
          <w:highlight w:val="none"/>
          <w14:textFill>
            <w14:solidFill>
              <w14:schemeClr w14:val="tx1"/>
            </w14:solidFill>
          </w14:textFill>
        </w:rPr>
        <w:t>组长：</w:t>
      </w:r>
      <w:r>
        <w:rPr>
          <w:rFonts w:hint="eastAsia" w:ascii="宋体" w:hAnsi="宋体" w:cs="宋体"/>
          <w:bCs/>
          <w:color w:val="000000" w:themeColor="text1"/>
          <w:sz w:val="24"/>
          <w:highlight w:val="none"/>
          <w:lang w:val="en-US" w:eastAsia="zh-CN"/>
          <w14:textFill>
            <w14:solidFill>
              <w14:schemeClr w14:val="tx1"/>
            </w14:solidFill>
          </w14:textFill>
        </w:rPr>
        <w:t xml:space="preserve">肖平 </w:t>
      </w:r>
      <w:r>
        <w:rPr>
          <w:rFonts w:hint="eastAsia" w:ascii="宋体" w:hAnsi="宋体" w:cs="宋体"/>
          <w:bCs/>
          <w:color w:val="FF0000"/>
          <w:sz w:val="24"/>
          <w:highlight w:val="none"/>
          <w:lang w:val="en-US" w:eastAsia="zh-CN"/>
        </w:rPr>
        <w:t>联系方式：</w:t>
      </w:r>
      <w:r>
        <w:rPr>
          <w:rFonts w:hint="default" w:cs="Times New Roman"/>
          <w:color w:val="000000" w:themeColor="text1"/>
          <w:szCs w:val="21"/>
          <w:highlight w:val="none"/>
          <w:lang w:val="en-US" w:eastAsia="zh-CN"/>
          <w14:textFill>
            <w14:solidFill>
              <w14:schemeClr w14:val="tx1"/>
            </w14:solidFill>
          </w14:textFill>
        </w:rPr>
        <w:t>13587055515</w:t>
      </w:r>
      <w:commentRangeEnd w:id="7"/>
      <w:r>
        <w:commentReference w:id="7"/>
      </w:r>
    </w:p>
    <w:p>
      <w:pPr>
        <w:adjustRightInd w:val="0"/>
        <w:snapToGrid w:val="0"/>
        <w:spacing w:line="360" w:lineRule="auto"/>
        <w:ind w:firstLine="555"/>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职责：</w:t>
      </w:r>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（1）划定事故现场境界区域，禁止无关人员与车辆进入危险区；</w:t>
      </w:r>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（2）疏散事故现场无关人员；</w:t>
      </w:r>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（3）负责周边企业、居民点人员向事故地上风向（根据风向标指示）疏散至合适距离。</w:t>
      </w:r>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（4）负责标识物资的取用。</w:t>
      </w:r>
    </w:p>
    <w:p>
      <w:pPr>
        <w:adjustRightInd w:val="0"/>
        <w:snapToGrid w:val="0"/>
        <w:spacing w:line="360" w:lineRule="auto"/>
        <w:ind w:firstLine="602" w:firstLineChars="250"/>
        <w:rPr>
          <w:rFonts w:ascii="宋体" w:hAnsi="宋体" w:cs="宋体"/>
          <w:b/>
          <w:bCs/>
          <w:color w:val="000000" w:themeColor="text1"/>
          <w:sz w:val="24"/>
          <w:highlight w:val="none"/>
          <w14:textFill>
            <w14:solidFill>
              <w14:schemeClr w14:val="tx1"/>
            </w14:solidFill>
          </w14:textFill>
        </w:rPr>
      </w:pPr>
      <w:bookmarkStart w:id="261" w:name="_Toc378105669"/>
      <w:bookmarkStart w:id="262" w:name="_Toc405384541"/>
      <w:bookmarkStart w:id="263" w:name="_Toc396934367"/>
      <w:bookmarkStart w:id="264" w:name="_Toc399352196"/>
      <w:bookmarkStart w:id="265" w:name="_Toc405881552"/>
      <w:bookmarkStart w:id="266" w:name="_Toc402875706"/>
      <w:bookmarkStart w:id="267" w:name="_Toc383172992"/>
      <w:bookmarkStart w:id="268" w:name="_Toc396237237"/>
      <w:bookmarkStart w:id="269" w:name="_Toc395804993"/>
      <w:bookmarkStart w:id="270" w:name="_Toc403659375"/>
      <w:bookmarkStart w:id="271" w:name="_Toc408503098"/>
      <w:bookmarkStart w:id="272" w:name="_Toc383072785"/>
      <w:r>
        <w:rPr>
          <w:rFonts w:hint="eastAsia" w:ascii="宋体" w:hAnsi="宋体" w:cs="宋体"/>
          <w:b/>
          <w:bCs/>
          <w:color w:val="000000" w:themeColor="text1"/>
          <w:sz w:val="24"/>
          <w:highlight w:val="none"/>
          <w14:textFill>
            <w14:solidFill>
              <w14:schemeClr w14:val="tx1"/>
            </w14:solidFill>
          </w14:textFill>
        </w:rPr>
        <w:t>6、物资保障组职责</w:t>
      </w:r>
      <w:bookmarkEnd w:id="261"/>
      <w:bookmarkEnd w:id="262"/>
      <w:bookmarkEnd w:id="263"/>
      <w:bookmarkEnd w:id="264"/>
      <w:bookmarkEnd w:id="265"/>
      <w:bookmarkEnd w:id="266"/>
      <w:bookmarkEnd w:id="267"/>
      <w:bookmarkEnd w:id="268"/>
      <w:bookmarkEnd w:id="269"/>
      <w:bookmarkEnd w:id="270"/>
      <w:bookmarkEnd w:id="271"/>
      <w:bookmarkEnd w:id="272"/>
    </w:p>
    <w:p>
      <w:pPr>
        <w:adjustRightInd w:val="0"/>
        <w:snapToGrid w:val="0"/>
        <w:spacing w:line="360" w:lineRule="auto"/>
        <w:ind w:firstLine="480" w:firstLineChars="200"/>
        <w:rPr>
          <w:rFonts w:hint="default" w:ascii="宋体" w:hAnsi="宋体" w:cs="宋体"/>
          <w:bCs/>
          <w:color w:val="000000" w:themeColor="text1"/>
          <w:sz w:val="24"/>
          <w:highlight w:val="none"/>
          <w:lang w:val="en-US" w:eastAsia="zh-CN"/>
          <w14:textFill>
            <w14:solidFill>
              <w14:schemeClr w14:val="tx1"/>
            </w14:solidFill>
          </w14:textFill>
        </w:rPr>
      </w:pPr>
      <w:commentRangeStart w:id="8"/>
      <w:r>
        <w:rPr>
          <w:rFonts w:hint="eastAsia" w:ascii="宋体" w:hAnsi="宋体" w:cs="宋体"/>
          <w:bCs/>
          <w:color w:val="000000" w:themeColor="text1"/>
          <w:sz w:val="24"/>
          <w:highlight w:val="none"/>
          <w14:textFill>
            <w14:solidFill>
              <w14:schemeClr w14:val="tx1"/>
            </w14:solidFill>
          </w14:textFill>
        </w:rPr>
        <w:t>组长：</w:t>
      </w:r>
      <w:r>
        <w:rPr>
          <w:rFonts w:hint="eastAsia" w:ascii="宋体" w:hAnsi="宋体" w:cs="宋体"/>
          <w:bCs/>
          <w:color w:val="000000" w:themeColor="text1"/>
          <w:sz w:val="24"/>
          <w:highlight w:val="none"/>
          <w:lang w:val="en-US" w:eastAsia="zh-CN"/>
          <w14:textFill>
            <w14:solidFill>
              <w14:schemeClr w14:val="tx1"/>
            </w14:solidFill>
          </w14:textFill>
        </w:rPr>
        <w:t xml:space="preserve">王佳伟  </w:t>
      </w:r>
      <w:r>
        <w:rPr>
          <w:rFonts w:hint="eastAsia" w:ascii="宋体" w:hAnsi="宋体" w:cs="宋体"/>
          <w:bCs/>
          <w:color w:val="FF0000"/>
          <w:sz w:val="24"/>
          <w:highlight w:val="none"/>
          <w:lang w:val="en-US" w:eastAsia="zh-CN"/>
        </w:rPr>
        <w:t>联系方式：</w:t>
      </w:r>
      <w:r>
        <w:rPr>
          <w:rFonts w:hint="default" w:cs="Times New Roman"/>
          <w:color w:val="000000" w:themeColor="text1"/>
          <w:szCs w:val="21"/>
          <w:highlight w:val="none"/>
          <w:lang w:val="en-US" w:eastAsia="zh-CN"/>
          <w14:textFill>
            <w14:solidFill>
              <w14:schemeClr w14:val="tx1"/>
            </w14:solidFill>
          </w14:textFill>
        </w:rPr>
        <w:t>15847695629</w:t>
      </w:r>
      <w:commentRangeEnd w:id="8"/>
      <w:r>
        <w:commentReference w:id="8"/>
      </w:r>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职责：（1）负责各种应急物资和设施的采购；</w:t>
      </w:r>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（2）负责各种应急物资的管理和维护；</w:t>
      </w:r>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（3）负责应急现场各种物资、设备的供应；</w:t>
      </w:r>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（4）协助其他小组应急。</w:t>
      </w:r>
    </w:p>
    <w:p>
      <w:pPr>
        <w:adjustRightInd w:val="0"/>
        <w:snapToGrid w:val="0"/>
        <w:spacing w:line="360" w:lineRule="auto"/>
        <w:ind w:firstLine="602" w:firstLineChars="25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7、通讯联络组职责</w:t>
      </w:r>
    </w:p>
    <w:p>
      <w:pPr>
        <w:adjustRightInd w:val="0"/>
        <w:snapToGrid w:val="0"/>
        <w:spacing w:line="360" w:lineRule="auto"/>
        <w:ind w:firstLine="480" w:firstLineChars="200"/>
        <w:rPr>
          <w:rFonts w:hint="default" w:ascii="宋体" w:hAnsi="宋体" w:eastAsia="宋体" w:cs="宋体"/>
          <w:bCs/>
          <w:color w:val="000000" w:themeColor="text1"/>
          <w:sz w:val="24"/>
          <w:highlight w:val="none"/>
          <w:lang w:val="en-US" w:eastAsia="zh-CN"/>
          <w14:textFill>
            <w14:solidFill>
              <w14:schemeClr w14:val="tx1"/>
            </w14:solidFill>
          </w14:textFill>
        </w:rPr>
      </w:pPr>
      <w:commentRangeStart w:id="9"/>
      <w:r>
        <w:rPr>
          <w:rFonts w:hint="eastAsia" w:ascii="宋体" w:hAnsi="宋体" w:cs="宋体"/>
          <w:bCs/>
          <w:color w:val="000000" w:themeColor="text1"/>
          <w:sz w:val="24"/>
          <w:highlight w:val="none"/>
          <w14:textFill>
            <w14:solidFill>
              <w14:schemeClr w14:val="tx1"/>
            </w14:solidFill>
          </w14:textFill>
        </w:rPr>
        <w:t>组长：</w:t>
      </w:r>
      <w:r>
        <w:rPr>
          <w:rFonts w:hint="eastAsia" w:ascii="宋体" w:hAnsi="宋体" w:cs="宋体"/>
          <w:bCs/>
          <w:color w:val="000000" w:themeColor="text1"/>
          <w:sz w:val="24"/>
          <w:highlight w:val="none"/>
          <w:lang w:val="en-US" w:eastAsia="zh-CN"/>
          <w14:textFill>
            <w14:solidFill>
              <w14:schemeClr w14:val="tx1"/>
            </w14:solidFill>
          </w14:textFill>
        </w:rPr>
        <w:t xml:space="preserve">汪文飞  </w:t>
      </w:r>
      <w:r>
        <w:rPr>
          <w:rFonts w:hint="eastAsia" w:ascii="宋体" w:hAnsi="宋体" w:cs="宋体"/>
          <w:bCs/>
          <w:color w:val="FF0000"/>
          <w:sz w:val="24"/>
          <w:highlight w:val="none"/>
          <w:lang w:val="en-US" w:eastAsia="zh-CN"/>
        </w:rPr>
        <w:t>联系方式：</w:t>
      </w:r>
      <w:commentRangeEnd w:id="9"/>
      <w:r>
        <w:commentReference w:id="9"/>
      </w:r>
      <w:r>
        <w:rPr>
          <w:rFonts w:hint="default" w:ascii="宋体" w:hAnsi="宋体" w:cs="宋体"/>
          <w:bCs/>
          <w:color w:val="FF0000"/>
          <w:sz w:val="24"/>
          <w:highlight w:val="none"/>
          <w:lang w:val="en-US" w:eastAsia="zh-CN"/>
        </w:rPr>
        <w:t>15879519109</w:t>
      </w:r>
    </w:p>
    <w:p>
      <w:pPr>
        <w:adjustRightInd w:val="0"/>
        <w:snapToGrid w:val="0"/>
        <w:spacing w:line="360" w:lineRule="auto"/>
        <w:ind w:firstLine="432" w:firstLineChars="1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职责：（1）负责对外的突发环境事件信息发布工作；</w:t>
      </w:r>
    </w:p>
    <w:p>
      <w:pPr>
        <w:numPr>
          <w:ilvl w:val="0"/>
          <w:numId w:val="8"/>
        </w:num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协助总指挥的突发环境事件信息上报工作。</w:t>
      </w:r>
    </w:p>
    <w:p>
      <w:pPr>
        <w:pStyle w:val="3"/>
        <w:rPr>
          <w:color w:val="000000" w:themeColor="text1"/>
          <w:highlight w:val="none"/>
          <w14:textFill>
            <w14:solidFill>
              <w14:schemeClr w14:val="tx1"/>
            </w14:solidFill>
          </w14:textFill>
        </w:rPr>
      </w:pPr>
      <w:bookmarkStart w:id="273" w:name="_Toc46857515"/>
      <w:bookmarkStart w:id="274" w:name="_Toc43202968"/>
      <w:bookmarkStart w:id="275" w:name="_Toc30980"/>
      <w:bookmarkStart w:id="276" w:name="_Toc5489_WPSOffice_Level2"/>
      <w:bookmarkStart w:id="277" w:name="_Toc10778_WPSOffice_Level2"/>
      <w:bookmarkStart w:id="278" w:name="_Toc458694317"/>
      <w:bookmarkStart w:id="279" w:name="_Toc398107864"/>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.3其他制度</w:t>
      </w:r>
      <w:bookmarkEnd w:id="273"/>
      <w:bookmarkEnd w:id="274"/>
      <w:bookmarkEnd w:id="275"/>
      <w:bookmarkEnd w:id="276"/>
      <w:bookmarkEnd w:id="277"/>
    </w:p>
    <w:p>
      <w:pPr>
        <w:pStyle w:val="4"/>
        <w:rPr>
          <w:color w:val="000000" w:themeColor="text1"/>
          <w:highlight w:val="none"/>
          <w14:textFill>
            <w14:solidFill>
              <w14:schemeClr w14:val="tx1"/>
            </w14:solidFill>
          </w14:textFill>
        </w:rPr>
      </w:pPr>
      <w:bookmarkStart w:id="280" w:name="_Toc43202969"/>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.3.1 替岗制度</w:t>
      </w:r>
      <w:bookmarkEnd w:id="278"/>
      <w:bookmarkEnd w:id="279"/>
      <w:bookmarkEnd w:id="280"/>
    </w:p>
    <w:p>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为保证突发环境事件时不致因人员不在岗而耽误抢险救援工作，特规定以下人员替岗制度：</w:t>
      </w:r>
    </w:p>
    <w:p>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⑴突发环境事件时，根据人员在岗的情况，按照相关人员顺序依序确定担任总指挥职务，如同时不在岗时，由指挥部成员依序代行总指挥职务。</w:t>
      </w:r>
    </w:p>
    <w:p>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⑵ 应急指挥</w:t>
      </w:r>
      <w:r>
        <w:rPr>
          <w:rFonts w:hint="eastAsia" w:ascii="宋体" w:hAnsi="宋体" w:cs="宋体"/>
          <w:color w:val="000000" w:themeColor="text1"/>
          <w:sz w:val="24"/>
          <w:highlight w:val="none"/>
          <w:lang w:val="en-US" w:eastAsia="zh-CN"/>
          <w14:textFill>
            <w14:solidFill>
              <w14:schemeClr w14:val="tx1"/>
            </w14:solidFill>
          </w14:textFill>
        </w:rPr>
        <w:t>部成员</w:t>
      </w:r>
      <w:r>
        <w:rPr>
          <w:rFonts w:hint="eastAsia" w:ascii="宋体" w:hAnsi="宋体" w:cs="宋体"/>
          <w:color w:val="000000" w:themeColor="text1"/>
          <w:sz w:val="24"/>
          <w:highlight w:val="none"/>
          <w14:textFill>
            <w14:solidFill>
              <w14:schemeClr w14:val="tx1"/>
            </w14:solidFill>
          </w14:textFill>
        </w:rPr>
        <w:t>不得同时离开岗位。</w:t>
      </w:r>
    </w:p>
    <w:p>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⑶ 应急工作组组长离开岗位时，必须指定一人代行组长职务。</w:t>
      </w:r>
    </w:p>
    <w:p>
      <w:pPr>
        <w:pStyle w:val="4"/>
        <w:rPr>
          <w:color w:val="000000" w:themeColor="text1"/>
          <w:highlight w:val="none"/>
          <w14:textFill>
            <w14:solidFill>
              <w14:schemeClr w14:val="tx1"/>
            </w14:solidFill>
          </w14:textFill>
        </w:rPr>
      </w:pPr>
      <w:bookmarkStart w:id="281" w:name="_Toc398107865"/>
      <w:bookmarkStart w:id="282" w:name="_Toc43202970"/>
      <w:bookmarkStart w:id="283" w:name="_Toc458694318"/>
      <w:r>
        <w:rPr>
          <w:rFonts w:hint="eastAsia"/>
          <w:color w:val="000000" w:themeColor="text1"/>
          <w:highlight w:val="none"/>
          <w:lang w:val="en-US" w:eastAsia="zh-CN"/>
          <w14:textFill>
            <w14:solidFill>
              <w14:schemeClr w14:val="tx1"/>
            </w14:solidFill>
          </w14:textFill>
        </w:rPr>
        <w:t>3</w:t>
      </w:r>
      <w:r>
        <w:rPr>
          <w:color w:val="000000" w:themeColor="text1"/>
          <w:highlight w:val="none"/>
          <w14:textFill>
            <w14:solidFill>
              <w14:schemeClr w14:val="tx1"/>
            </w14:solidFill>
          </w14:textFill>
        </w:rPr>
        <w:t>.3.2汇报协调制度</w:t>
      </w:r>
      <w:bookmarkEnd w:id="281"/>
      <w:bookmarkEnd w:id="282"/>
      <w:bookmarkEnd w:id="283"/>
    </w:p>
    <w:p>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突发环境事件时，现场负责人负责与公司突发环境事件应急指挥中心进行联络，将现场发生的环境事件信息报告公司应急指挥中心，请求公司启动应急预案对车间进行救援。</w:t>
      </w:r>
    </w:p>
    <w:p>
      <w:pPr>
        <w:pStyle w:val="4"/>
        <w:rPr>
          <w:color w:val="000000" w:themeColor="text1"/>
          <w:highlight w:val="none"/>
          <w14:textFill>
            <w14:solidFill>
              <w14:schemeClr w14:val="tx1"/>
            </w14:solidFill>
          </w14:textFill>
        </w:rPr>
      </w:pPr>
      <w:bookmarkStart w:id="284" w:name="_Toc398107866"/>
      <w:bookmarkStart w:id="285" w:name="_Toc458694319"/>
      <w:bookmarkStart w:id="286" w:name="_Toc43202971"/>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.3.3 各级指挥关系</w:t>
      </w:r>
      <w:bookmarkEnd w:id="284"/>
      <w:bookmarkEnd w:id="285"/>
      <w:bookmarkEnd w:id="286"/>
    </w:p>
    <w:p>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突发环境事件时，各负责人、污水处理设施管理员、仓库管理员作为现场应急负责人，负责事发时的先期处置，并报告应急指挥中心；当事发时部门负责人不在现场，由在场职务最高人员作为现场应急负责人。各应急工作小组在启动应急预案时，应随时待命，由应急总指挥按响应的程序调配各应急工作组；应急工作组由组长带领，当组长无法履行职责时，由现场指挥部指派。应急指挥中心各成员按职能分工负责，综合协调组及时联络并及时通报救援工作情况，相互协调，在应急指挥中心指挥下统一资源调配，非专业救援抢险队伍的人员在履行必要的岗位职责后，可紧急避险，由公司组建的应急工作组接手进行相应的应急救援工作。</w:t>
      </w:r>
    </w:p>
    <w:p>
      <w:pPr>
        <w:pStyle w:val="4"/>
        <w:rPr>
          <w:color w:val="000000" w:themeColor="text1"/>
          <w:highlight w:val="none"/>
          <w14:textFill>
            <w14:solidFill>
              <w14:schemeClr w14:val="tx1"/>
            </w14:solidFill>
          </w14:textFill>
        </w:rPr>
      </w:pPr>
      <w:bookmarkStart w:id="287" w:name="_Toc458694320"/>
      <w:bookmarkStart w:id="288" w:name="_Toc43202972"/>
      <w:bookmarkStart w:id="289" w:name="_Toc21860"/>
      <w:bookmarkStart w:id="290" w:name="_Toc367176937"/>
      <w:bookmarkStart w:id="291" w:name="_Toc398107867"/>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.3.4外部指挥与协调</w:t>
      </w:r>
      <w:bookmarkEnd w:id="287"/>
      <w:bookmarkEnd w:id="288"/>
      <w:bookmarkEnd w:id="289"/>
      <w:bookmarkEnd w:id="290"/>
      <w:bookmarkEnd w:id="291"/>
    </w:p>
    <w:p>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本公司与</w:t>
      </w:r>
      <w:r>
        <w:rPr>
          <w:rFonts w:hint="eastAsia" w:ascii="宋体" w:hAnsi="宋体" w:cs="宋体"/>
          <w:color w:val="000000" w:themeColor="text1"/>
          <w:sz w:val="24"/>
          <w:highlight w:val="none"/>
          <w:lang w:eastAsia="zh-CN"/>
          <w14:textFill>
            <w14:solidFill>
              <w14:schemeClr w14:val="tx1"/>
            </w14:solidFill>
          </w14:textFill>
        </w:rPr>
        <w:t>宜春市生态环境局宜春经济技术开发区分局</w:t>
      </w:r>
      <w:r>
        <w:rPr>
          <w:rFonts w:hint="eastAsia" w:ascii="宋体" w:hAnsi="宋体" w:cs="宋体"/>
          <w:color w:val="000000" w:themeColor="text1"/>
          <w:sz w:val="24"/>
          <w:highlight w:val="none"/>
          <w14:textFill>
            <w14:solidFill>
              <w14:schemeClr w14:val="tx1"/>
            </w14:solidFill>
          </w14:textFill>
        </w:rPr>
        <w:t>、消防大队等部门之间建立应急联动机制，在突发环境事件时，公司突发环境事件应急指挥中心启动相应级别应急预案进行救援，在政府相关部门介入公司突发环境事件处置时，公司应急指挥中心移交指挥权，公司各应急工作组将无条件听从调配，并按要求和能力配置应急救援人员、队伍、装备、物资等，提供所需的用品。</w:t>
      </w:r>
    </w:p>
    <w:p>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为使上级有关部门及时掌握突发环境事件信息、便于根据事态的发展做出相应决策，公司根据《突发环境事件信息报告办法》，确定</w:t>
      </w:r>
      <w:r>
        <w:rPr>
          <w:rFonts w:hint="eastAsia" w:ascii="宋体" w:hAnsi="宋体" w:cs="宋体"/>
          <w:color w:val="000000" w:themeColor="text1"/>
          <w:sz w:val="24"/>
          <w:highlight w:val="none"/>
          <w:lang w:eastAsia="zh-CN"/>
          <w14:textFill>
            <w14:solidFill>
              <w14:schemeClr w14:val="tx1"/>
            </w14:solidFill>
          </w14:textFill>
        </w:rPr>
        <w:t>俞刚</w:t>
      </w:r>
      <w:r>
        <w:rPr>
          <w:rFonts w:hint="eastAsia" w:ascii="宋体" w:hAnsi="宋体" w:cs="宋体"/>
          <w:color w:val="000000" w:themeColor="text1"/>
          <w:sz w:val="24"/>
          <w:highlight w:val="none"/>
          <w14:textFill>
            <w14:solidFill>
              <w14:schemeClr w14:val="tx1"/>
            </w14:solidFill>
          </w14:textFill>
        </w:rPr>
        <w:t>为公司</w:t>
      </w:r>
      <w:r>
        <w:rPr>
          <w:rFonts w:hint="eastAsia" w:ascii="宋体" w:hAnsi="宋体" w:cs="宋体"/>
          <w:bCs/>
          <w:color w:val="000000" w:themeColor="text1"/>
          <w:sz w:val="24"/>
          <w:highlight w:val="none"/>
          <w14:textFill>
            <w14:solidFill>
              <w14:schemeClr w14:val="tx1"/>
            </w14:solidFill>
          </w14:textFill>
        </w:rPr>
        <w:t>对外联络人</w:t>
      </w:r>
      <w:r>
        <w:rPr>
          <w:rFonts w:hint="eastAsia" w:ascii="宋体" w:hAnsi="宋体" w:cs="宋体"/>
          <w:color w:val="000000" w:themeColor="text1"/>
          <w:sz w:val="24"/>
          <w:highlight w:val="none"/>
          <w14:textFill>
            <w14:solidFill>
              <w14:schemeClr w14:val="tx1"/>
            </w14:solidFill>
          </w14:textFill>
        </w:rPr>
        <w:t>，负责在发生突发环境事件时，及时向</w:t>
      </w:r>
      <w:r>
        <w:rPr>
          <w:rFonts w:hint="eastAsia" w:ascii="宋体" w:hAnsi="宋体" w:cs="宋体"/>
          <w:color w:val="000000" w:themeColor="text1"/>
          <w:sz w:val="24"/>
          <w:highlight w:val="none"/>
          <w:lang w:eastAsia="zh-CN"/>
          <w14:textFill>
            <w14:solidFill>
              <w14:schemeClr w14:val="tx1"/>
            </w14:solidFill>
          </w14:textFill>
        </w:rPr>
        <w:t>宜春经济技术开发区管委会</w:t>
      </w:r>
      <w:r>
        <w:rPr>
          <w:rFonts w:hint="eastAsia" w:ascii="宋体" w:hAnsi="宋体" w:cs="宋体"/>
          <w:color w:val="000000" w:themeColor="text1"/>
          <w:sz w:val="24"/>
          <w:highlight w:val="none"/>
          <w14:textFill>
            <w14:solidFill>
              <w14:schemeClr w14:val="tx1"/>
            </w14:solidFill>
          </w14:textFill>
        </w:rPr>
        <w:t>汇报，并接受有关部门的指挥。必要时，请求宜春市政府启动《突发环境事件应急预案》对公司进行救援，以</w:t>
      </w:r>
      <w:r>
        <w:rPr>
          <w:rFonts w:hint="eastAsia" w:ascii="宋体" w:hAnsi="宋体" w:cs="宋体"/>
          <w:color w:val="000000" w:themeColor="text1"/>
          <w:sz w:val="24"/>
          <w:highlight w:val="none"/>
          <w:lang w:eastAsia="zh-CN"/>
          <w14:textFill>
            <w14:solidFill>
              <w14:schemeClr w14:val="tx1"/>
            </w14:solidFill>
          </w14:textFill>
        </w:rPr>
        <w:t>宜春经济技术开发区</w:t>
      </w:r>
      <w:r>
        <w:rPr>
          <w:rFonts w:hint="eastAsia" w:ascii="宋体" w:hAnsi="宋体" w:cs="宋体"/>
          <w:color w:val="000000" w:themeColor="text1"/>
          <w:sz w:val="24"/>
          <w:highlight w:val="none"/>
          <w14:textFill>
            <w14:solidFill>
              <w14:schemeClr w14:val="tx1"/>
            </w14:solidFill>
          </w14:textFill>
        </w:rPr>
        <w:t>的应急救援组织机构、队伍、装备和物资等区域应急资源，更好应对突发环境事件。</w:t>
      </w:r>
    </w:p>
    <w:p>
      <w:pPr>
        <w:pStyle w:val="269"/>
        <w:ind w:firstLine="480"/>
        <w:rPr>
          <w:rFonts w:ascii="仿宋" w:hAnsi="仿宋" w:eastAsia="仿宋" w:cs="仿宋"/>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当其他单位发生突发环境事件需要公司支援时，公司根据自身能力在政府相关部门协调下，或者与事件发生单位协调，组织应急救援队伍、调配应急物资进行支援。</w:t>
      </w:r>
    </w:p>
    <w:p>
      <w:pPr>
        <w:adjustRightInd w:val="0"/>
        <w:snapToGrid w:val="0"/>
        <w:spacing w:line="360" w:lineRule="auto"/>
        <w:rPr>
          <w:rFonts w:eastAsia="仿宋_GB2312"/>
          <w:bCs/>
          <w:color w:val="000000" w:themeColor="text1"/>
          <w:sz w:val="24"/>
          <w:highlight w:val="none"/>
          <w14:textFill>
            <w14:solidFill>
              <w14:schemeClr w14:val="tx1"/>
            </w14:solidFill>
          </w14:textFill>
        </w:rPr>
      </w:pPr>
    </w:p>
    <w:p>
      <w:pPr>
        <w:pStyle w:val="47"/>
        <w:ind w:firstLine="0" w:firstLineChars="0"/>
        <w:rPr>
          <w:color w:val="000000" w:themeColor="text1"/>
          <w:highlight w:val="none"/>
          <w14:textFill>
            <w14:solidFill>
              <w14:schemeClr w14:val="tx1"/>
            </w14:solidFill>
          </w14:textFill>
        </w:rPr>
      </w:pPr>
    </w:p>
    <w:p>
      <w:pPr>
        <w:pStyle w:val="2"/>
        <w:jc w:val="center"/>
        <w:rPr>
          <w:color w:val="000000" w:themeColor="text1"/>
          <w:highlight w:val="none"/>
          <w14:textFill>
            <w14:solidFill>
              <w14:schemeClr w14:val="tx1"/>
            </w14:solidFill>
          </w14:textFill>
        </w:rPr>
      </w:pPr>
      <w:bookmarkStart w:id="292" w:name="_Toc8274_WPSOffice_Level1"/>
      <w:bookmarkStart w:id="293" w:name="_Toc396237238"/>
      <w:bookmarkStart w:id="294" w:name="_Toc15019_WPSOffice_Level1"/>
      <w:bookmarkStart w:id="295" w:name="_Toc383172993"/>
      <w:bookmarkStart w:id="296" w:name="_Toc408503099"/>
      <w:bookmarkStart w:id="297" w:name="_Toc395804994"/>
      <w:r>
        <w:rPr>
          <w:rFonts w:hint="eastAsia"/>
          <w:color w:val="000000" w:themeColor="text1"/>
          <w:highlight w:val="none"/>
          <w14:textFill>
            <w14:solidFill>
              <w14:schemeClr w14:val="tx1"/>
            </w14:solidFill>
          </w14:textFill>
        </w:rPr>
        <w:br w:type="page"/>
      </w:r>
      <w:bookmarkStart w:id="298" w:name="_Toc46857516"/>
      <w:bookmarkStart w:id="299" w:name="_Toc19108"/>
      <w:bookmarkStart w:id="300" w:name="_Toc43202973"/>
      <w:r>
        <w:rPr>
          <w:rFonts w:hint="eastAsia"/>
          <w:color w:val="000000" w:themeColor="text1"/>
          <w:highlight w:val="none"/>
          <w14:textFill>
            <w14:solidFill>
              <w14:schemeClr w14:val="tx1"/>
            </w14:solidFill>
          </w14:textFill>
        </w:rPr>
        <w:t>第</w:t>
      </w:r>
      <w:r>
        <w:rPr>
          <w:rFonts w:hint="eastAsia"/>
          <w:color w:val="000000" w:themeColor="text1"/>
          <w:highlight w:val="none"/>
          <w:lang w:val="en-US" w:eastAsia="zh-CN"/>
          <w14:textFill>
            <w14:solidFill>
              <w14:schemeClr w14:val="tx1"/>
            </w14:solidFill>
          </w14:textFill>
        </w:rPr>
        <w:t>四</w:t>
      </w:r>
      <w:r>
        <w:rPr>
          <w:rFonts w:hint="eastAsia"/>
          <w:color w:val="000000" w:themeColor="text1"/>
          <w:highlight w:val="none"/>
          <w14:textFill>
            <w14:solidFill>
              <w14:schemeClr w14:val="tx1"/>
            </w14:solidFill>
          </w14:textFill>
        </w:rPr>
        <w:t>章</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预防与预警</w:t>
      </w:r>
      <w:bookmarkEnd w:id="292"/>
      <w:bookmarkEnd w:id="293"/>
      <w:bookmarkEnd w:id="294"/>
      <w:bookmarkEnd w:id="295"/>
      <w:bookmarkEnd w:id="296"/>
      <w:bookmarkEnd w:id="297"/>
      <w:bookmarkEnd w:id="298"/>
      <w:bookmarkEnd w:id="299"/>
      <w:bookmarkEnd w:id="300"/>
    </w:p>
    <w:p>
      <w:pPr>
        <w:pStyle w:val="3"/>
        <w:rPr>
          <w:color w:val="000000" w:themeColor="text1"/>
          <w:highlight w:val="none"/>
          <w14:textFill>
            <w14:solidFill>
              <w14:schemeClr w14:val="tx1"/>
            </w14:solidFill>
          </w14:textFill>
        </w:rPr>
      </w:pPr>
      <w:bookmarkStart w:id="301" w:name="_Toc27032_WPSOffice_Level2"/>
      <w:bookmarkStart w:id="302" w:name="_Toc408503100"/>
      <w:bookmarkStart w:id="303" w:name="_Toc43202974"/>
      <w:bookmarkStart w:id="304" w:name="_Toc46857517"/>
      <w:bookmarkStart w:id="305" w:name="_Toc27350"/>
      <w:bookmarkStart w:id="306" w:name="_Toc342216084"/>
      <w:bookmarkStart w:id="307" w:name="_Toc23993_WPSOffice_Level2"/>
      <w:bookmarkStart w:id="308" w:name="_Toc341807500"/>
      <w:bookmarkStart w:id="309" w:name="_Toc166424747"/>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14:textFill>
            <w14:solidFill>
              <w14:schemeClr w14:val="tx1"/>
            </w14:solidFill>
          </w14:textFill>
        </w:rPr>
        <w:t>.1建立健全预案体系</w:t>
      </w:r>
      <w:bookmarkEnd w:id="301"/>
      <w:bookmarkEnd w:id="302"/>
      <w:bookmarkEnd w:id="303"/>
      <w:bookmarkEnd w:id="304"/>
      <w:bookmarkEnd w:id="305"/>
      <w:bookmarkEnd w:id="306"/>
      <w:bookmarkEnd w:id="307"/>
    </w:p>
    <w:bookmarkEnd w:id="308"/>
    <w:p>
      <w:pPr>
        <w:autoSpaceDE w:val="0"/>
        <w:autoSpaceDN w:val="0"/>
        <w:adjustRightInd w:val="0"/>
        <w:snapToGrid w:val="0"/>
        <w:spacing w:line="360" w:lineRule="auto"/>
        <w:ind w:firstLine="480" w:firstLineChars="200"/>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创维视芯电子（宜春)有限公司</w:t>
      </w:r>
      <w:r>
        <w:rPr>
          <w:rFonts w:hint="eastAsia" w:ascii="宋体" w:hAnsi="宋体" w:cs="宋体"/>
          <w:bCs/>
          <w:color w:val="000000" w:themeColor="text1"/>
          <w:sz w:val="24"/>
          <w:highlight w:val="none"/>
          <w14:textFill>
            <w14:solidFill>
              <w14:schemeClr w14:val="tx1"/>
            </w14:solidFill>
          </w14:textFill>
        </w:rPr>
        <w:t>环境风险种类较多，可能发生水环境污染、大气环境污染等多种类型的突发事件，企业应根据实际生产编写环境应急预案，并及时修订更新。</w:t>
      </w:r>
    </w:p>
    <w:p>
      <w:pPr>
        <w:autoSpaceDE w:val="0"/>
        <w:autoSpaceDN w:val="0"/>
        <w:adjustRightInd w:val="0"/>
        <w:snapToGrid w:val="0"/>
        <w:spacing w:line="360" w:lineRule="auto"/>
        <w:ind w:firstLine="480" w:firstLineChars="200"/>
        <w:jc w:val="lef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企业应针对厂区生产厂房火灾、废气处理设施故障、废水处理设施故障、危废仓库泄漏等某一种类的环境风险，根据存在的环境危险源和可能发生的突发事件类型，编制相应的专项环境应急预案，应针对企业涉及风险的重点操作岗位，相应编制重点工作岗位的现场应急处置预案。综合环境应急预案、专项环境应急预案和现场处置预案之间应当相互协调，充分利用社会应急资源，与地方政府预案、上级主管单位以及相关部门的预案相衔接。</w:t>
      </w:r>
    </w:p>
    <w:p>
      <w:pPr>
        <w:pStyle w:val="3"/>
        <w:rPr>
          <w:color w:val="000000" w:themeColor="text1"/>
          <w:highlight w:val="none"/>
          <w14:textFill>
            <w14:solidFill>
              <w14:schemeClr w14:val="tx1"/>
            </w14:solidFill>
          </w14:textFill>
        </w:rPr>
      </w:pPr>
      <w:bookmarkStart w:id="310" w:name="_Toc16894"/>
      <w:bookmarkStart w:id="311" w:name="_Toc408503101"/>
      <w:bookmarkStart w:id="312" w:name="_Toc341884126"/>
      <w:bookmarkStart w:id="313" w:name="_Toc342216085"/>
      <w:bookmarkStart w:id="314" w:name="_Toc29798_WPSOffice_Level2"/>
      <w:bookmarkStart w:id="315" w:name="_Toc43202975"/>
      <w:bookmarkStart w:id="316" w:name="_Toc13835_WPSOffice_Level2"/>
      <w:bookmarkStart w:id="317" w:name="_Toc46857518"/>
      <w:r>
        <w:rPr>
          <w:rFonts w:hint="eastAsia"/>
          <w:color w:val="000000" w:themeColor="text1"/>
          <w:highlight w:val="none"/>
          <w:lang w:val="en-US" w:eastAsia="zh-CN"/>
          <w14:textFill>
            <w14:solidFill>
              <w14:schemeClr w14:val="tx1"/>
            </w14:solidFill>
          </w14:textFill>
        </w:rPr>
        <w:t>4</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2环境危险源监控</w:t>
      </w:r>
      <w:bookmarkEnd w:id="310"/>
      <w:bookmarkEnd w:id="311"/>
      <w:bookmarkEnd w:id="312"/>
      <w:bookmarkEnd w:id="313"/>
      <w:bookmarkEnd w:id="314"/>
      <w:bookmarkEnd w:id="315"/>
      <w:bookmarkEnd w:id="316"/>
      <w:bookmarkEnd w:id="317"/>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（1）在各主要生产工段以及重点风险源均设有视频监控系统。</w:t>
      </w:r>
    </w:p>
    <w:p>
      <w:pPr>
        <w:pStyle w:val="14"/>
        <w:spacing w:line="360" w:lineRule="auto"/>
        <w:ind w:firstLine="0" w:firstLineChars="0"/>
        <w:jc w:val="center"/>
        <w:rPr>
          <w:rFonts w:ascii="宋体" w:hAnsi="宋体" w:cs="宋体"/>
          <w:b/>
          <w:color w:val="FF0000"/>
          <w:sz w:val="24"/>
          <w:szCs w:val="24"/>
          <w:highlight w:val="none"/>
        </w:rPr>
      </w:pPr>
      <w:r>
        <w:rPr>
          <w:rFonts w:hint="eastAsia" w:ascii="宋体" w:hAnsi="宋体" w:cs="宋体"/>
          <w:b/>
          <w:color w:val="FF0000"/>
          <w:sz w:val="24"/>
          <w:szCs w:val="24"/>
          <w:highlight w:val="none"/>
        </w:rPr>
        <w:t>表</w:t>
      </w:r>
      <w:r>
        <w:rPr>
          <w:rFonts w:hint="eastAsia" w:ascii="宋体" w:hAnsi="宋体" w:cs="宋体"/>
          <w:b/>
          <w:color w:val="FF0000"/>
          <w:sz w:val="24"/>
          <w:szCs w:val="24"/>
          <w:highlight w:val="none"/>
          <w:lang w:val="en-US" w:eastAsia="zh-CN"/>
        </w:rPr>
        <w:t>4</w:t>
      </w:r>
      <w:r>
        <w:rPr>
          <w:rFonts w:hint="eastAsia" w:ascii="宋体" w:hAnsi="宋体" w:cs="宋体"/>
          <w:b/>
          <w:color w:val="FF0000"/>
          <w:sz w:val="24"/>
          <w:szCs w:val="24"/>
          <w:highlight w:val="none"/>
        </w:rPr>
        <w:t>.2-1 厂区预警及监控设施一览表</w:t>
      </w:r>
    </w:p>
    <w:tbl>
      <w:tblPr>
        <w:tblStyle w:val="48"/>
        <w:tblW w:w="9286"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38"/>
        <w:gridCol w:w="2275"/>
        <w:gridCol w:w="2539"/>
        <w:gridCol w:w="1259"/>
        <w:gridCol w:w="227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38" w:type="dxa"/>
            <w:vAlign w:val="center"/>
          </w:tcPr>
          <w:p>
            <w:pPr>
              <w:keepNext w:val="0"/>
              <w:keepLines w:val="0"/>
              <w:widowControl/>
              <w:suppressLineNumbers w:val="0"/>
              <w:spacing w:before="0" w:beforeAutospacing="0" w:after="0" w:afterAutospacing="0" w:line="360" w:lineRule="auto"/>
              <w:ind w:left="0" w:right="0"/>
              <w:jc w:val="center"/>
              <w:rPr>
                <w:rFonts w:ascii="宋体" w:hAnsi="宋体" w:cs="宋体"/>
                <w:color w:val="FF0000"/>
                <w:kern w:val="0"/>
                <w:sz w:val="24"/>
                <w:highlight w:val="none"/>
              </w:rPr>
            </w:pPr>
            <w:r>
              <w:rPr>
                <w:rFonts w:hint="eastAsia" w:ascii="宋体" w:hAnsi="宋体" w:cs="宋体"/>
                <w:color w:val="FF0000"/>
                <w:kern w:val="0"/>
                <w:sz w:val="24"/>
                <w:highlight w:val="none"/>
              </w:rPr>
              <w:t>序号</w:t>
            </w:r>
          </w:p>
        </w:tc>
        <w:tc>
          <w:tcPr>
            <w:tcW w:w="2275" w:type="dxa"/>
            <w:vAlign w:val="center"/>
          </w:tcPr>
          <w:p>
            <w:pPr>
              <w:keepNext w:val="0"/>
              <w:keepLines w:val="0"/>
              <w:widowControl/>
              <w:suppressLineNumbers w:val="0"/>
              <w:spacing w:before="0" w:beforeAutospacing="0" w:after="0" w:afterAutospacing="0" w:line="360" w:lineRule="auto"/>
              <w:ind w:left="0" w:right="0"/>
              <w:jc w:val="center"/>
              <w:rPr>
                <w:rFonts w:ascii="宋体" w:hAnsi="宋体" w:cs="宋体"/>
                <w:color w:val="FF0000"/>
                <w:kern w:val="0"/>
                <w:sz w:val="24"/>
                <w:highlight w:val="none"/>
              </w:rPr>
            </w:pPr>
            <w:r>
              <w:rPr>
                <w:rFonts w:hint="eastAsia" w:ascii="宋体" w:hAnsi="宋体" w:cs="宋体"/>
                <w:color w:val="FF0000"/>
                <w:kern w:val="0"/>
                <w:sz w:val="24"/>
                <w:highlight w:val="none"/>
              </w:rPr>
              <w:t>设备名称</w:t>
            </w:r>
          </w:p>
        </w:tc>
        <w:tc>
          <w:tcPr>
            <w:tcW w:w="2539" w:type="dxa"/>
            <w:vAlign w:val="center"/>
          </w:tcPr>
          <w:p>
            <w:pPr>
              <w:keepNext w:val="0"/>
              <w:keepLines w:val="0"/>
              <w:widowControl/>
              <w:suppressLineNumbers w:val="0"/>
              <w:spacing w:before="0" w:beforeAutospacing="0" w:after="0" w:afterAutospacing="0" w:line="360" w:lineRule="auto"/>
              <w:ind w:left="0" w:right="0"/>
              <w:jc w:val="center"/>
              <w:rPr>
                <w:rFonts w:ascii="宋体" w:hAnsi="宋体" w:cs="宋体"/>
                <w:color w:val="FF0000"/>
                <w:kern w:val="0"/>
                <w:sz w:val="24"/>
                <w:highlight w:val="none"/>
              </w:rPr>
            </w:pPr>
            <w:r>
              <w:rPr>
                <w:rFonts w:hint="eastAsia" w:ascii="宋体" w:hAnsi="宋体" w:cs="宋体"/>
                <w:color w:val="FF0000"/>
                <w:kern w:val="0"/>
                <w:sz w:val="24"/>
                <w:highlight w:val="none"/>
              </w:rPr>
              <w:t>规格型号</w:t>
            </w:r>
          </w:p>
        </w:tc>
        <w:tc>
          <w:tcPr>
            <w:tcW w:w="1259" w:type="dxa"/>
            <w:vAlign w:val="center"/>
          </w:tcPr>
          <w:p>
            <w:pPr>
              <w:keepNext w:val="0"/>
              <w:keepLines w:val="0"/>
              <w:widowControl/>
              <w:suppressLineNumbers w:val="0"/>
              <w:spacing w:before="0" w:beforeAutospacing="0" w:after="0" w:afterAutospacing="0" w:line="360" w:lineRule="auto"/>
              <w:ind w:left="0" w:right="0"/>
              <w:jc w:val="center"/>
              <w:rPr>
                <w:rFonts w:ascii="宋体" w:hAnsi="宋体" w:cs="宋体"/>
                <w:color w:val="FF0000"/>
                <w:kern w:val="0"/>
                <w:sz w:val="24"/>
                <w:highlight w:val="none"/>
              </w:rPr>
            </w:pPr>
            <w:r>
              <w:rPr>
                <w:rFonts w:hint="eastAsia" w:ascii="宋体" w:hAnsi="宋体" w:cs="宋体"/>
                <w:color w:val="FF0000"/>
                <w:kern w:val="0"/>
                <w:sz w:val="24"/>
                <w:highlight w:val="none"/>
              </w:rPr>
              <w:t>数量</w:t>
            </w:r>
          </w:p>
        </w:tc>
        <w:tc>
          <w:tcPr>
            <w:tcW w:w="2275" w:type="dxa"/>
            <w:vAlign w:val="center"/>
          </w:tcPr>
          <w:p>
            <w:pPr>
              <w:keepNext w:val="0"/>
              <w:keepLines w:val="0"/>
              <w:widowControl/>
              <w:suppressLineNumbers w:val="0"/>
              <w:spacing w:before="0" w:beforeAutospacing="0" w:after="0" w:afterAutospacing="0" w:line="360" w:lineRule="auto"/>
              <w:ind w:left="0" w:right="0"/>
              <w:jc w:val="center"/>
              <w:rPr>
                <w:rFonts w:ascii="宋体" w:hAnsi="宋体" w:cs="宋体"/>
                <w:color w:val="FF0000"/>
                <w:kern w:val="0"/>
                <w:sz w:val="24"/>
                <w:highlight w:val="none"/>
              </w:rPr>
            </w:pPr>
            <w:r>
              <w:rPr>
                <w:rFonts w:hint="eastAsia" w:ascii="宋体" w:hAnsi="宋体" w:cs="宋体"/>
                <w:color w:val="FF0000"/>
                <w:kern w:val="0"/>
                <w:sz w:val="24"/>
                <w:highlight w:val="none"/>
              </w:rPr>
              <w:t>用途</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38" w:type="dxa"/>
            <w:vAlign w:val="center"/>
          </w:tcPr>
          <w:p>
            <w:pPr>
              <w:keepNext w:val="0"/>
              <w:keepLines w:val="0"/>
              <w:widowControl/>
              <w:suppressLineNumbers w:val="0"/>
              <w:spacing w:before="0" w:beforeAutospacing="0" w:after="0" w:afterAutospacing="0" w:line="360" w:lineRule="auto"/>
              <w:ind w:left="0" w:right="0"/>
              <w:jc w:val="center"/>
              <w:rPr>
                <w:rFonts w:ascii="宋体" w:hAnsi="宋体" w:cs="宋体"/>
                <w:color w:val="FF0000"/>
                <w:kern w:val="0"/>
                <w:sz w:val="24"/>
                <w:highlight w:val="none"/>
              </w:rPr>
            </w:pPr>
            <w:r>
              <w:rPr>
                <w:rFonts w:hint="eastAsia" w:ascii="宋体" w:hAnsi="宋体" w:cs="宋体"/>
                <w:color w:val="FF0000"/>
                <w:kern w:val="0"/>
                <w:sz w:val="24"/>
                <w:highlight w:val="none"/>
              </w:rPr>
              <w:t>1</w:t>
            </w:r>
          </w:p>
        </w:tc>
        <w:tc>
          <w:tcPr>
            <w:tcW w:w="2275" w:type="dxa"/>
            <w:vAlign w:val="center"/>
          </w:tcPr>
          <w:p>
            <w:pPr>
              <w:keepNext w:val="0"/>
              <w:keepLines w:val="0"/>
              <w:widowControl/>
              <w:suppressLineNumbers w:val="0"/>
              <w:spacing w:before="0" w:beforeAutospacing="0" w:after="0" w:afterAutospacing="0" w:line="360" w:lineRule="auto"/>
              <w:ind w:left="0" w:right="0"/>
              <w:jc w:val="center"/>
              <w:rPr>
                <w:rFonts w:ascii="宋体" w:hAnsi="宋体" w:cs="宋体"/>
                <w:color w:val="FF0000"/>
                <w:kern w:val="0"/>
                <w:sz w:val="24"/>
                <w:highlight w:val="none"/>
              </w:rPr>
            </w:pPr>
            <w:r>
              <w:rPr>
                <w:rFonts w:hint="eastAsia" w:ascii="宋体" w:hAnsi="宋体" w:cs="宋体"/>
                <w:color w:val="FF0000"/>
                <w:kern w:val="0"/>
                <w:sz w:val="24"/>
                <w:highlight w:val="none"/>
              </w:rPr>
              <w:t>监控系统</w:t>
            </w:r>
          </w:p>
        </w:tc>
        <w:tc>
          <w:tcPr>
            <w:tcW w:w="2539" w:type="dxa"/>
            <w:vAlign w:val="center"/>
          </w:tcPr>
          <w:p>
            <w:pPr>
              <w:keepNext w:val="0"/>
              <w:keepLines w:val="0"/>
              <w:widowControl/>
              <w:suppressLineNumbers w:val="0"/>
              <w:spacing w:before="0" w:beforeAutospacing="0" w:after="0" w:afterAutospacing="0" w:line="360" w:lineRule="auto"/>
              <w:ind w:left="0" w:right="0"/>
              <w:jc w:val="center"/>
              <w:rPr>
                <w:rFonts w:ascii="宋体" w:hAnsi="宋体" w:cs="宋体"/>
                <w:color w:val="FF0000"/>
                <w:kern w:val="0"/>
                <w:sz w:val="24"/>
                <w:highlight w:val="none"/>
              </w:rPr>
            </w:pPr>
            <w:r>
              <w:rPr>
                <w:rFonts w:hint="eastAsia" w:ascii="宋体" w:hAnsi="宋体" w:cs="宋体"/>
                <w:color w:val="FF0000"/>
                <w:kern w:val="0"/>
                <w:sz w:val="24"/>
                <w:highlight w:val="none"/>
              </w:rPr>
              <w:t>DS-8016HS</w:t>
            </w:r>
          </w:p>
        </w:tc>
        <w:tc>
          <w:tcPr>
            <w:tcW w:w="1259" w:type="dxa"/>
            <w:vAlign w:val="center"/>
          </w:tcPr>
          <w:p>
            <w:pPr>
              <w:keepNext w:val="0"/>
              <w:keepLines w:val="0"/>
              <w:widowControl/>
              <w:suppressLineNumbers w:val="0"/>
              <w:spacing w:before="0" w:beforeAutospacing="0" w:after="0" w:afterAutospacing="0" w:line="360" w:lineRule="auto"/>
              <w:ind w:left="0" w:right="0"/>
              <w:jc w:val="center"/>
              <w:rPr>
                <w:rFonts w:ascii="宋体" w:hAnsi="宋体" w:cs="宋体"/>
                <w:color w:val="FF0000"/>
                <w:kern w:val="0"/>
                <w:sz w:val="24"/>
                <w:highlight w:val="none"/>
              </w:rPr>
            </w:pPr>
            <w:r>
              <w:rPr>
                <w:rFonts w:hint="eastAsia" w:ascii="宋体" w:hAnsi="宋体" w:cs="宋体"/>
                <w:color w:val="FF0000"/>
                <w:kern w:val="0"/>
                <w:sz w:val="24"/>
                <w:highlight w:val="none"/>
              </w:rPr>
              <w:t>8台</w:t>
            </w:r>
          </w:p>
        </w:tc>
        <w:tc>
          <w:tcPr>
            <w:tcW w:w="2275" w:type="dxa"/>
            <w:vAlign w:val="center"/>
          </w:tcPr>
          <w:p>
            <w:pPr>
              <w:keepNext w:val="0"/>
              <w:keepLines w:val="0"/>
              <w:widowControl/>
              <w:suppressLineNumbers w:val="0"/>
              <w:spacing w:before="0" w:beforeAutospacing="0" w:after="0" w:afterAutospacing="0" w:line="360" w:lineRule="auto"/>
              <w:ind w:left="0" w:right="0"/>
              <w:jc w:val="center"/>
              <w:rPr>
                <w:rFonts w:ascii="宋体" w:hAnsi="宋体" w:cs="宋体"/>
                <w:color w:val="FF0000"/>
                <w:kern w:val="0"/>
                <w:sz w:val="24"/>
                <w:highlight w:val="none"/>
              </w:rPr>
            </w:pPr>
            <w:r>
              <w:rPr>
                <w:rFonts w:hint="eastAsia" w:ascii="宋体" w:hAnsi="宋体" w:cs="宋体"/>
                <w:color w:val="FF0000"/>
                <w:kern w:val="0"/>
                <w:sz w:val="24"/>
                <w:highlight w:val="none"/>
              </w:rPr>
              <w:t>监控生产过程</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38" w:type="dxa"/>
            <w:vAlign w:val="center"/>
          </w:tcPr>
          <w:p>
            <w:pPr>
              <w:keepNext w:val="0"/>
              <w:keepLines w:val="0"/>
              <w:widowControl/>
              <w:suppressLineNumbers w:val="0"/>
              <w:spacing w:before="0" w:beforeAutospacing="0" w:after="0" w:afterAutospacing="0" w:line="360" w:lineRule="auto"/>
              <w:ind w:left="0" w:right="0"/>
              <w:jc w:val="center"/>
              <w:rPr>
                <w:rFonts w:ascii="宋体" w:hAnsi="宋体" w:cs="宋体"/>
                <w:color w:val="FF0000"/>
                <w:kern w:val="0"/>
                <w:sz w:val="24"/>
                <w:highlight w:val="none"/>
              </w:rPr>
            </w:pPr>
            <w:r>
              <w:rPr>
                <w:rFonts w:hint="eastAsia" w:ascii="宋体" w:hAnsi="宋体" w:cs="宋体"/>
                <w:color w:val="FF0000"/>
                <w:kern w:val="0"/>
                <w:sz w:val="24"/>
                <w:highlight w:val="none"/>
              </w:rPr>
              <w:t>2</w:t>
            </w:r>
          </w:p>
        </w:tc>
        <w:tc>
          <w:tcPr>
            <w:tcW w:w="2275" w:type="dxa"/>
            <w:vAlign w:val="center"/>
          </w:tcPr>
          <w:p>
            <w:pPr>
              <w:keepNext w:val="0"/>
              <w:keepLines w:val="0"/>
              <w:widowControl/>
              <w:suppressLineNumbers w:val="0"/>
              <w:spacing w:before="0" w:beforeAutospacing="0" w:after="0" w:afterAutospacing="0" w:line="360" w:lineRule="auto"/>
              <w:ind w:left="0" w:right="0"/>
              <w:jc w:val="center"/>
              <w:rPr>
                <w:rFonts w:ascii="宋体" w:hAnsi="宋体" w:cs="宋体"/>
                <w:color w:val="FF0000"/>
                <w:kern w:val="0"/>
                <w:sz w:val="24"/>
                <w:highlight w:val="none"/>
              </w:rPr>
            </w:pPr>
            <w:r>
              <w:rPr>
                <w:rFonts w:hint="eastAsia" w:ascii="宋体" w:hAnsi="宋体" w:cs="宋体"/>
                <w:color w:val="FF0000"/>
                <w:kern w:val="0"/>
                <w:sz w:val="24"/>
                <w:highlight w:val="none"/>
              </w:rPr>
              <w:t>流量计</w:t>
            </w:r>
          </w:p>
        </w:tc>
        <w:tc>
          <w:tcPr>
            <w:tcW w:w="2539" w:type="dxa"/>
            <w:vAlign w:val="center"/>
          </w:tcPr>
          <w:p>
            <w:pPr>
              <w:keepNext w:val="0"/>
              <w:keepLines w:val="0"/>
              <w:widowControl/>
              <w:suppressLineNumbers w:val="0"/>
              <w:spacing w:before="0" w:beforeAutospacing="0" w:after="0" w:afterAutospacing="0" w:line="360" w:lineRule="auto"/>
              <w:ind w:left="0" w:right="0"/>
              <w:jc w:val="center"/>
              <w:rPr>
                <w:rFonts w:ascii="宋体" w:hAnsi="宋体" w:cs="宋体"/>
                <w:color w:val="FF0000"/>
                <w:kern w:val="0"/>
                <w:sz w:val="24"/>
                <w:highlight w:val="none"/>
              </w:rPr>
            </w:pPr>
            <w:r>
              <w:rPr>
                <w:rFonts w:hint="eastAsia" w:ascii="宋体" w:hAnsi="宋体" w:cs="宋体"/>
                <w:color w:val="FF0000"/>
                <w:kern w:val="0"/>
                <w:sz w:val="24"/>
                <w:highlight w:val="none"/>
              </w:rPr>
              <w:t>---</w:t>
            </w:r>
          </w:p>
        </w:tc>
        <w:tc>
          <w:tcPr>
            <w:tcW w:w="1259" w:type="dxa"/>
            <w:vAlign w:val="center"/>
          </w:tcPr>
          <w:p>
            <w:pPr>
              <w:keepNext w:val="0"/>
              <w:keepLines w:val="0"/>
              <w:widowControl/>
              <w:suppressLineNumbers w:val="0"/>
              <w:spacing w:before="0" w:beforeAutospacing="0" w:after="0" w:afterAutospacing="0" w:line="360" w:lineRule="auto"/>
              <w:ind w:left="0" w:right="0"/>
              <w:jc w:val="center"/>
              <w:rPr>
                <w:rFonts w:ascii="宋体" w:hAnsi="宋体" w:cs="宋体"/>
                <w:color w:val="FF0000"/>
                <w:kern w:val="0"/>
                <w:sz w:val="24"/>
                <w:highlight w:val="none"/>
              </w:rPr>
            </w:pPr>
            <w:r>
              <w:rPr>
                <w:rFonts w:hint="eastAsia" w:ascii="宋体" w:hAnsi="宋体" w:cs="宋体"/>
                <w:color w:val="FF0000"/>
                <w:kern w:val="0"/>
                <w:sz w:val="24"/>
                <w:highlight w:val="none"/>
              </w:rPr>
              <w:t>1台</w:t>
            </w:r>
          </w:p>
        </w:tc>
        <w:tc>
          <w:tcPr>
            <w:tcW w:w="2275" w:type="dxa"/>
            <w:vAlign w:val="center"/>
          </w:tcPr>
          <w:p>
            <w:pPr>
              <w:keepNext w:val="0"/>
              <w:keepLines w:val="0"/>
              <w:widowControl/>
              <w:suppressLineNumbers w:val="0"/>
              <w:spacing w:before="0" w:beforeAutospacing="0" w:after="0" w:afterAutospacing="0" w:line="360" w:lineRule="auto"/>
              <w:ind w:left="0" w:right="0"/>
              <w:jc w:val="center"/>
              <w:rPr>
                <w:rFonts w:ascii="宋体" w:hAnsi="宋体" w:cs="宋体"/>
                <w:color w:val="FF0000"/>
                <w:kern w:val="0"/>
                <w:sz w:val="24"/>
                <w:highlight w:val="none"/>
              </w:rPr>
            </w:pPr>
            <w:r>
              <w:rPr>
                <w:rFonts w:hint="eastAsia" w:ascii="宋体" w:hAnsi="宋体" w:cs="宋体"/>
                <w:color w:val="FF0000"/>
                <w:kern w:val="0"/>
                <w:sz w:val="24"/>
                <w:highlight w:val="none"/>
              </w:rPr>
              <w:t>监控污水处理站进出水情况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38" w:type="dxa"/>
            <w:vAlign w:val="center"/>
          </w:tcPr>
          <w:p>
            <w:pPr>
              <w:keepNext w:val="0"/>
              <w:keepLines w:val="0"/>
              <w:widowControl/>
              <w:suppressLineNumbers w:val="0"/>
              <w:spacing w:before="0" w:beforeAutospacing="0" w:after="0" w:afterAutospacing="0" w:line="360" w:lineRule="auto"/>
              <w:ind w:left="0" w:right="0"/>
              <w:jc w:val="center"/>
              <w:rPr>
                <w:rFonts w:ascii="宋体" w:hAnsi="宋体" w:cs="宋体"/>
                <w:color w:val="FF0000"/>
                <w:kern w:val="0"/>
                <w:sz w:val="24"/>
                <w:highlight w:val="none"/>
              </w:rPr>
            </w:pPr>
            <w:r>
              <w:rPr>
                <w:rFonts w:hint="eastAsia" w:ascii="宋体" w:hAnsi="宋体" w:cs="宋体"/>
                <w:color w:val="FF0000"/>
                <w:kern w:val="0"/>
                <w:sz w:val="24"/>
                <w:highlight w:val="none"/>
              </w:rPr>
              <w:t>3</w:t>
            </w:r>
          </w:p>
        </w:tc>
        <w:tc>
          <w:tcPr>
            <w:tcW w:w="2275" w:type="dxa"/>
            <w:vAlign w:val="center"/>
          </w:tcPr>
          <w:p>
            <w:pPr>
              <w:keepNext w:val="0"/>
              <w:keepLines w:val="0"/>
              <w:widowControl/>
              <w:suppressLineNumbers w:val="0"/>
              <w:spacing w:before="0" w:beforeAutospacing="0" w:after="0" w:afterAutospacing="0" w:line="360" w:lineRule="auto"/>
              <w:ind w:left="0" w:right="0"/>
              <w:jc w:val="center"/>
              <w:rPr>
                <w:rFonts w:ascii="宋体" w:hAnsi="宋体" w:cs="宋体"/>
                <w:color w:val="FF0000"/>
                <w:kern w:val="0"/>
                <w:sz w:val="24"/>
                <w:highlight w:val="none"/>
              </w:rPr>
            </w:pPr>
            <w:r>
              <w:rPr>
                <w:rFonts w:hint="eastAsia" w:ascii="宋体" w:hAnsi="宋体" w:cs="宋体"/>
                <w:color w:val="FF0000"/>
                <w:kern w:val="0"/>
                <w:sz w:val="24"/>
                <w:highlight w:val="none"/>
              </w:rPr>
              <w:t>监控系统</w:t>
            </w:r>
          </w:p>
        </w:tc>
        <w:tc>
          <w:tcPr>
            <w:tcW w:w="2539" w:type="dxa"/>
            <w:vAlign w:val="center"/>
          </w:tcPr>
          <w:p>
            <w:pPr>
              <w:keepNext w:val="0"/>
              <w:keepLines w:val="0"/>
              <w:widowControl/>
              <w:suppressLineNumbers w:val="0"/>
              <w:spacing w:before="0" w:beforeAutospacing="0" w:after="0" w:afterAutospacing="0" w:line="360" w:lineRule="auto"/>
              <w:ind w:left="0" w:right="0"/>
              <w:jc w:val="center"/>
              <w:rPr>
                <w:rFonts w:ascii="宋体" w:hAnsi="宋体" w:cs="宋体"/>
                <w:color w:val="FF0000"/>
                <w:kern w:val="0"/>
                <w:sz w:val="24"/>
                <w:highlight w:val="none"/>
              </w:rPr>
            </w:pPr>
            <w:r>
              <w:rPr>
                <w:rFonts w:hint="eastAsia" w:ascii="宋体" w:hAnsi="宋体" w:cs="宋体"/>
                <w:color w:val="FF0000"/>
                <w:kern w:val="0"/>
                <w:sz w:val="24"/>
                <w:highlight w:val="none"/>
              </w:rPr>
              <w:t>DS-8016HS</w:t>
            </w:r>
          </w:p>
        </w:tc>
        <w:tc>
          <w:tcPr>
            <w:tcW w:w="1259" w:type="dxa"/>
            <w:vAlign w:val="center"/>
          </w:tcPr>
          <w:p>
            <w:pPr>
              <w:keepNext w:val="0"/>
              <w:keepLines w:val="0"/>
              <w:widowControl/>
              <w:suppressLineNumbers w:val="0"/>
              <w:spacing w:before="0" w:beforeAutospacing="0" w:after="0" w:afterAutospacing="0" w:line="360" w:lineRule="auto"/>
              <w:ind w:left="0" w:right="0"/>
              <w:jc w:val="center"/>
              <w:rPr>
                <w:rFonts w:ascii="宋体" w:hAnsi="宋体" w:cs="宋体"/>
                <w:color w:val="FF0000"/>
                <w:kern w:val="0"/>
                <w:sz w:val="24"/>
                <w:highlight w:val="none"/>
              </w:rPr>
            </w:pPr>
            <w:r>
              <w:rPr>
                <w:rFonts w:hint="eastAsia" w:ascii="宋体" w:hAnsi="宋体" w:cs="宋体"/>
                <w:color w:val="FF0000"/>
                <w:kern w:val="0"/>
                <w:sz w:val="24"/>
                <w:highlight w:val="none"/>
              </w:rPr>
              <w:t>1台</w:t>
            </w:r>
          </w:p>
        </w:tc>
        <w:tc>
          <w:tcPr>
            <w:tcW w:w="2275" w:type="dxa"/>
            <w:vAlign w:val="center"/>
          </w:tcPr>
          <w:p>
            <w:pPr>
              <w:keepNext w:val="0"/>
              <w:keepLines w:val="0"/>
              <w:widowControl/>
              <w:suppressLineNumbers w:val="0"/>
              <w:spacing w:before="0" w:beforeAutospacing="0" w:after="0" w:afterAutospacing="0" w:line="360" w:lineRule="auto"/>
              <w:ind w:left="0" w:right="0"/>
              <w:jc w:val="center"/>
              <w:rPr>
                <w:rFonts w:ascii="宋体" w:hAnsi="宋体" w:cs="宋体"/>
                <w:color w:val="FF0000"/>
                <w:kern w:val="0"/>
                <w:sz w:val="24"/>
                <w:highlight w:val="none"/>
              </w:rPr>
            </w:pPr>
            <w:r>
              <w:rPr>
                <w:rFonts w:hint="eastAsia" w:ascii="宋体" w:hAnsi="宋体" w:cs="宋体"/>
                <w:color w:val="FF0000"/>
                <w:kern w:val="0"/>
                <w:sz w:val="24"/>
                <w:highlight w:val="none"/>
              </w:rPr>
              <w:t>监控仓库情况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38" w:type="dxa"/>
            <w:vAlign w:val="center"/>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FF0000"/>
                <w:kern w:val="0"/>
                <w:sz w:val="24"/>
                <w:highlight w:val="none"/>
                <w:lang w:val="en-US" w:eastAsia="zh-CN"/>
              </w:rPr>
            </w:pPr>
            <w:r>
              <w:rPr>
                <w:rFonts w:hint="eastAsia" w:ascii="宋体" w:hAnsi="宋体" w:cs="宋体"/>
                <w:color w:val="FF0000"/>
                <w:kern w:val="0"/>
                <w:sz w:val="24"/>
                <w:highlight w:val="none"/>
                <w:lang w:val="en-US" w:eastAsia="zh-CN"/>
              </w:rPr>
              <w:t>4</w:t>
            </w:r>
          </w:p>
        </w:tc>
        <w:tc>
          <w:tcPr>
            <w:tcW w:w="2275" w:type="dxa"/>
            <w:vAlign w:val="center"/>
          </w:tcPr>
          <w:p>
            <w:pPr>
              <w:keepNext w:val="0"/>
              <w:keepLines w:val="0"/>
              <w:widowControl/>
              <w:suppressLineNumbers w:val="0"/>
              <w:spacing w:before="0" w:beforeAutospacing="0" w:after="0" w:afterAutospacing="0" w:line="360" w:lineRule="auto"/>
              <w:ind w:left="0" w:right="0"/>
              <w:jc w:val="center"/>
              <w:rPr>
                <w:rFonts w:hint="eastAsia" w:ascii="宋体" w:hAnsi="宋体" w:cs="宋体"/>
                <w:color w:val="FF0000"/>
                <w:kern w:val="0"/>
                <w:sz w:val="24"/>
                <w:highlight w:val="none"/>
              </w:rPr>
            </w:pPr>
            <w:r>
              <w:rPr>
                <w:rFonts w:hint="eastAsia" w:ascii="宋体" w:hAnsi="宋体" w:cs="宋体"/>
                <w:color w:val="FF0000"/>
                <w:kern w:val="0"/>
                <w:sz w:val="24"/>
                <w:highlight w:val="none"/>
              </w:rPr>
              <w:t>预警响铃</w:t>
            </w:r>
          </w:p>
        </w:tc>
        <w:tc>
          <w:tcPr>
            <w:tcW w:w="2539" w:type="dxa"/>
            <w:vAlign w:val="center"/>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FF0000"/>
                <w:kern w:val="0"/>
                <w:sz w:val="24"/>
                <w:highlight w:val="none"/>
                <w:lang w:val="en-US" w:eastAsia="zh-CN"/>
              </w:rPr>
            </w:pPr>
            <w:r>
              <w:rPr>
                <w:rFonts w:hint="eastAsia" w:ascii="宋体" w:hAnsi="宋体" w:cs="宋体"/>
                <w:color w:val="FF0000"/>
                <w:kern w:val="0"/>
                <w:sz w:val="24"/>
                <w:highlight w:val="none"/>
                <w:lang w:val="en-US" w:eastAsia="zh-CN"/>
              </w:rPr>
              <w:t>/</w:t>
            </w:r>
          </w:p>
        </w:tc>
        <w:tc>
          <w:tcPr>
            <w:tcW w:w="1259" w:type="dxa"/>
            <w:vAlign w:val="center"/>
          </w:tcPr>
          <w:p>
            <w:pPr>
              <w:keepNext w:val="0"/>
              <w:keepLines w:val="0"/>
              <w:widowControl/>
              <w:suppressLineNumbers w:val="0"/>
              <w:spacing w:before="0" w:beforeAutospacing="0" w:after="0" w:afterAutospacing="0" w:line="360" w:lineRule="auto"/>
              <w:ind w:left="0" w:right="0"/>
              <w:jc w:val="center"/>
              <w:rPr>
                <w:rFonts w:hint="eastAsia" w:ascii="宋体" w:hAnsi="宋体" w:cs="宋体"/>
                <w:color w:val="FF0000"/>
                <w:kern w:val="0"/>
                <w:sz w:val="24"/>
                <w:highlight w:val="none"/>
              </w:rPr>
            </w:pPr>
            <w:r>
              <w:rPr>
                <w:rFonts w:hint="eastAsia" w:ascii="宋体" w:hAnsi="宋体" w:cs="宋体"/>
                <w:color w:val="FF0000"/>
                <w:kern w:val="0"/>
                <w:sz w:val="24"/>
                <w:highlight w:val="none"/>
                <w:lang w:val="en-US" w:eastAsia="zh-CN"/>
              </w:rPr>
              <w:t>5</w:t>
            </w:r>
            <w:r>
              <w:rPr>
                <w:rFonts w:hint="eastAsia" w:ascii="宋体" w:hAnsi="宋体" w:cs="宋体"/>
                <w:color w:val="FF0000"/>
                <w:kern w:val="0"/>
                <w:sz w:val="24"/>
                <w:highlight w:val="none"/>
              </w:rPr>
              <w:t>台</w:t>
            </w:r>
          </w:p>
        </w:tc>
        <w:tc>
          <w:tcPr>
            <w:tcW w:w="2275" w:type="dxa"/>
            <w:vAlign w:val="center"/>
          </w:tcPr>
          <w:p>
            <w:pPr>
              <w:keepNext w:val="0"/>
              <w:keepLines w:val="0"/>
              <w:widowControl/>
              <w:suppressLineNumbers w:val="0"/>
              <w:spacing w:before="0" w:beforeAutospacing="0" w:after="0" w:afterAutospacing="0" w:line="360" w:lineRule="auto"/>
              <w:ind w:left="0" w:right="0"/>
              <w:jc w:val="center"/>
              <w:rPr>
                <w:rFonts w:hint="eastAsia" w:ascii="宋体" w:hAnsi="宋体" w:cs="宋体"/>
                <w:color w:val="FF0000"/>
                <w:kern w:val="0"/>
                <w:sz w:val="24"/>
                <w:highlight w:val="none"/>
              </w:rPr>
            </w:pPr>
            <w:r>
              <w:rPr>
                <w:rFonts w:hint="eastAsia" w:ascii="宋体" w:hAnsi="宋体" w:cs="宋体"/>
                <w:color w:val="FF0000"/>
                <w:kern w:val="0"/>
                <w:sz w:val="24"/>
                <w:highlight w:val="none"/>
              </w:rPr>
              <w:t>监控生产过程</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38" w:type="dxa"/>
            <w:vAlign w:val="center"/>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FF0000"/>
                <w:kern w:val="0"/>
                <w:sz w:val="24"/>
                <w:highlight w:val="none"/>
                <w:lang w:val="en-US" w:eastAsia="zh-CN"/>
              </w:rPr>
            </w:pPr>
            <w:r>
              <w:rPr>
                <w:rFonts w:hint="eastAsia" w:ascii="宋体" w:hAnsi="宋体" w:cs="宋体"/>
                <w:color w:val="FF0000"/>
                <w:kern w:val="0"/>
                <w:sz w:val="24"/>
                <w:highlight w:val="none"/>
                <w:lang w:val="en-US" w:eastAsia="zh-CN"/>
              </w:rPr>
              <w:t>5</w:t>
            </w:r>
          </w:p>
        </w:tc>
        <w:tc>
          <w:tcPr>
            <w:tcW w:w="2275" w:type="dxa"/>
            <w:vAlign w:val="center"/>
          </w:tcPr>
          <w:p>
            <w:pPr>
              <w:keepNext w:val="0"/>
              <w:keepLines w:val="0"/>
              <w:widowControl/>
              <w:suppressLineNumbers w:val="0"/>
              <w:spacing w:before="0" w:beforeAutospacing="0" w:after="0" w:afterAutospacing="0" w:line="360" w:lineRule="auto"/>
              <w:ind w:left="0" w:right="0"/>
              <w:jc w:val="center"/>
              <w:rPr>
                <w:rFonts w:hint="eastAsia" w:ascii="宋体" w:hAnsi="宋体" w:cs="宋体"/>
                <w:color w:val="FF0000"/>
                <w:kern w:val="0"/>
                <w:sz w:val="24"/>
                <w:highlight w:val="none"/>
              </w:rPr>
            </w:pPr>
            <w:r>
              <w:rPr>
                <w:rFonts w:hint="eastAsia" w:ascii="宋体" w:hAnsi="宋体" w:cs="宋体"/>
                <w:color w:val="FF0000"/>
                <w:kern w:val="0"/>
                <w:sz w:val="24"/>
                <w:highlight w:val="none"/>
              </w:rPr>
              <w:t>喇叭</w:t>
            </w:r>
          </w:p>
        </w:tc>
        <w:tc>
          <w:tcPr>
            <w:tcW w:w="2539" w:type="dxa"/>
            <w:vAlign w:val="center"/>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FF0000"/>
                <w:kern w:val="0"/>
                <w:sz w:val="24"/>
                <w:highlight w:val="none"/>
                <w:lang w:val="en-US" w:eastAsia="zh-CN"/>
              </w:rPr>
            </w:pPr>
            <w:r>
              <w:rPr>
                <w:rFonts w:hint="eastAsia" w:ascii="宋体" w:hAnsi="宋体" w:cs="宋体"/>
                <w:color w:val="FF0000"/>
                <w:kern w:val="0"/>
                <w:sz w:val="24"/>
                <w:highlight w:val="none"/>
                <w:lang w:val="en-US" w:eastAsia="zh-CN"/>
              </w:rPr>
              <w:t>/</w:t>
            </w:r>
          </w:p>
        </w:tc>
        <w:tc>
          <w:tcPr>
            <w:tcW w:w="1259" w:type="dxa"/>
            <w:vAlign w:val="center"/>
          </w:tcPr>
          <w:p>
            <w:pPr>
              <w:keepNext w:val="0"/>
              <w:keepLines w:val="0"/>
              <w:widowControl/>
              <w:suppressLineNumbers w:val="0"/>
              <w:spacing w:before="0" w:beforeAutospacing="0" w:after="0" w:afterAutospacing="0" w:line="360" w:lineRule="auto"/>
              <w:ind w:left="0" w:right="0"/>
              <w:jc w:val="center"/>
              <w:rPr>
                <w:rFonts w:hint="eastAsia" w:ascii="宋体" w:hAnsi="宋体" w:cs="宋体"/>
                <w:color w:val="FF0000"/>
                <w:kern w:val="0"/>
                <w:sz w:val="24"/>
                <w:highlight w:val="none"/>
              </w:rPr>
            </w:pPr>
            <w:r>
              <w:rPr>
                <w:rFonts w:hint="eastAsia" w:ascii="宋体" w:hAnsi="宋体" w:cs="宋体"/>
                <w:color w:val="FF0000"/>
                <w:kern w:val="0"/>
                <w:sz w:val="24"/>
                <w:highlight w:val="none"/>
                <w:lang w:val="en-US" w:eastAsia="zh-CN"/>
              </w:rPr>
              <w:t>5</w:t>
            </w:r>
            <w:r>
              <w:rPr>
                <w:rFonts w:hint="eastAsia" w:ascii="宋体" w:hAnsi="宋体" w:cs="宋体"/>
                <w:color w:val="FF0000"/>
                <w:kern w:val="0"/>
                <w:sz w:val="24"/>
                <w:highlight w:val="none"/>
              </w:rPr>
              <w:t>台</w:t>
            </w:r>
          </w:p>
        </w:tc>
        <w:tc>
          <w:tcPr>
            <w:tcW w:w="2275" w:type="dxa"/>
            <w:vAlign w:val="center"/>
          </w:tcPr>
          <w:p>
            <w:pPr>
              <w:keepNext w:val="0"/>
              <w:keepLines w:val="0"/>
              <w:widowControl/>
              <w:suppressLineNumbers w:val="0"/>
              <w:spacing w:before="0" w:beforeAutospacing="0" w:after="0" w:afterAutospacing="0" w:line="360" w:lineRule="auto"/>
              <w:ind w:left="0" w:right="0"/>
              <w:jc w:val="center"/>
              <w:rPr>
                <w:rFonts w:hint="eastAsia" w:ascii="宋体" w:hAnsi="宋体" w:cs="宋体"/>
                <w:color w:val="FF0000"/>
                <w:kern w:val="0"/>
                <w:sz w:val="24"/>
                <w:highlight w:val="none"/>
              </w:rPr>
            </w:pPr>
            <w:r>
              <w:rPr>
                <w:rFonts w:hint="eastAsia" w:ascii="宋体" w:hAnsi="宋体" w:cs="宋体"/>
                <w:color w:val="FF0000"/>
                <w:kern w:val="0"/>
                <w:sz w:val="24"/>
                <w:highlight w:val="none"/>
              </w:rPr>
              <w:t>监控生产过程</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38" w:type="dxa"/>
            <w:vAlign w:val="center"/>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FF0000"/>
                <w:kern w:val="0"/>
                <w:sz w:val="24"/>
                <w:highlight w:val="none"/>
                <w:lang w:val="en-US" w:eastAsia="zh-CN"/>
              </w:rPr>
            </w:pPr>
            <w:r>
              <w:rPr>
                <w:rFonts w:hint="eastAsia" w:ascii="宋体" w:hAnsi="宋体" w:cs="宋体"/>
                <w:color w:val="FF0000"/>
                <w:kern w:val="0"/>
                <w:sz w:val="24"/>
                <w:highlight w:val="none"/>
                <w:lang w:val="en-US" w:eastAsia="zh-CN"/>
              </w:rPr>
              <w:t>6</w:t>
            </w:r>
          </w:p>
        </w:tc>
        <w:tc>
          <w:tcPr>
            <w:tcW w:w="2275" w:type="dxa"/>
            <w:vAlign w:val="center"/>
          </w:tcPr>
          <w:p>
            <w:pPr>
              <w:keepNext w:val="0"/>
              <w:keepLines w:val="0"/>
              <w:widowControl/>
              <w:suppressLineNumbers w:val="0"/>
              <w:spacing w:before="0" w:beforeAutospacing="0" w:after="0" w:afterAutospacing="0" w:line="360" w:lineRule="auto"/>
              <w:ind w:left="0" w:right="0"/>
              <w:jc w:val="center"/>
              <w:rPr>
                <w:rFonts w:hint="eastAsia" w:ascii="宋体" w:hAnsi="宋体" w:cs="宋体"/>
                <w:color w:val="FF0000"/>
                <w:kern w:val="0"/>
                <w:sz w:val="24"/>
                <w:highlight w:val="none"/>
                <w:lang w:val="en-US" w:eastAsia="zh-CN"/>
              </w:rPr>
            </w:pPr>
            <w:r>
              <w:rPr>
                <w:rFonts w:hint="eastAsia" w:ascii="宋体" w:hAnsi="宋体" w:cs="宋体"/>
                <w:color w:val="FF0000"/>
                <w:kern w:val="0"/>
                <w:sz w:val="24"/>
                <w:highlight w:val="none"/>
                <w:lang w:val="en-US" w:eastAsia="zh-CN"/>
              </w:rPr>
              <w:t>报警器</w:t>
            </w:r>
          </w:p>
        </w:tc>
        <w:tc>
          <w:tcPr>
            <w:tcW w:w="2539" w:type="dxa"/>
            <w:vAlign w:val="center"/>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FF0000"/>
                <w:kern w:val="0"/>
                <w:sz w:val="24"/>
                <w:highlight w:val="none"/>
                <w:lang w:val="en-US" w:eastAsia="zh-CN"/>
              </w:rPr>
            </w:pPr>
            <w:r>
              <w:rPr>
                <w:rFonts w:hint="eastAsia" w:ascii="宋体" w:hAnsi="宋体" w:cs="宋体"/>
                <w:color w:val="FF0000"/>
                <w:kern w:val="0"/>
                <w:sz w:val="24"/>
                <w:highlight w:val="none"/>
                <w:lang w:val="en-US" w:eastAsia="zh-CN"/>
              </w:rPr>
              <w:t>/</w:t>
            </w:r>
          </w:p>
        </w:tc>
        <w:tc>
          <w:tcPr>
            <w:tcW w:w="1259" w:type="dxa"/>
            <w:vAlign w:val="center"/>
          </w:tcPr>
          <w:p>
            <w:pPr>
              <w:keepNext w:val="0"/>
              <w:keepLines w:val="0"/>
              <w:widowControl/>
              <w:suppressLineNumbers w:val="0"/>
              <w:spacing w:before="0" w:beforeAutospacing="0" w:after="0" w:afterAutospacing="0" w:line="360" w:lineRule="auto"/>
              <w:ind w:left="0" w:right="0"/>
              <w:jc w:val="center"/>
              <w:rPr>
                <w:rFonts w:hint="eastAsia" w:ascii="宋体" w:hAnsi="宋体" w:cs="宋体"/>
                <w:color w:val="FF0000"/>
                <w:kern w:val="0"/>
                <w:sz w:val="24"/>
                <w:highlight w:val="none"/>
              </w:rPr>
            </w:pPr>
            <w:r>
              <w:rPr>
                <w:rFonts w:hint="eastAsia" w:ascii="宋体" w:hAnsi="宋体" w:cs="宋体"/>
                <w:color w:val="FF0000"/>
                <w:kern w:val="0"/>
                <w:sz w:val="24"/>
                <w:highlight w:val="none"/>
                <w:lang w:val="en-US" w:eastAsia="zh-CN"/>
              </w:rPr>
              <w:t>5</w:t>
            </w:r>
            <w:r>
              <w:rPr>
                <w:rFonts w:hint="eastAsia" w:ascii="宋体" w:hAnsi="宋体" w:cs="宋体"/>
                <w:color w:val="FF0000"/>
                <w:kern w:val="0"/>
                <w:sz w:val="24"/>
                <w:highlight w:val="none"/>
              </w:rPr>
              <w:t>台</w:t>
            </w:r>
          </w:p>
        </w:tc>
        <w:tc>
          <w:tcPr>
            <w:tcW w:w="2275" w:type="dxa"/>
            <w:vAlign w:val="center"/>
          </w:tcPr>
          <w:p>
            <w:pPr>
              <w:keepNext w:val="0"/>
              <w:keepLines w:val="0"/>
              <w:widowControl/>
              <w:suppressLineNumbers w:val="0"/>
              <w:spacing w:before="0" w:beforeAutospacing="0" w:after="0" w:afterAutospacing="0" w:line="360" w:lineRule="auto"/>
              <w:ind w:left="0" w:right="0"/>
              <w:jc w:val="center"/>
              <w:rPr>
                <w:rFonts w:hint="eastAsia" w:ascii="宋体" w:hAnsi="宋体" w:cs="宋体"/>
                <w:color w:val="FF0000"/>
                <w:kern w:val="0"/>
                <w:sz w:val="24"/>
                <w:highlight w:val="none"/>
              </w:rPr>
            </w:pPr>
            <w:r>
              <w:rPr>
                <w:rFonts w:hint="eastAsia" w:ascii="宋体" w:hAnsi="宋体" w:cs="宋体"/>
                <w:color w:val="FF0000"/>
                <w:kern w:val="0"/>
                <w:sz w:val="24"/>
                <w:highlight w:val="none"/>
              </w:rPr>
              <w:t>监控生产过程</w:t>
            </w:r>
          </w:p>
        </w:tc>
      </w:tr>
    </w:tbl>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（2）对全厂、主要风险源有巡查制度；</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（3）对污水站总排口设置在线自动监控设施，包括废水流量计等；</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（4）对于各工段车间、关键岗位设有应急处置措施标识牌；</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设置重要安全信号报警系统以及紧急切断按钮操作台，实现事故下各个生产区或整个装置区的紧急停车。一旦发生事故，生产过程的异常数据将送至中央控制室，控制室的警报装置会提醒操操作者对事故的发生发出应急反应，操作者立即启动控制中心操作台上的开关或按钮，打开事故停车系统自动关闭生产装置，随时可中断部分或整个系统的生产运行；</w:t>
      </w:r>
    </w:p>
    <w:p>
      <w:pPr>
        <w:spacing w:line="360" w:lineRule="auto"/>
        <w:ind w:firstLine="480" w:firstLineChars="200"/>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（6）建立完善的消防设施，包括火灾报警系统等</w:t>
      </w:r>
      <w:r>
        <w:rPr>
          <w:rFonts w:hint="eastAsia" w:ascii="宋体" w:hAnsi="宋体" w:cs="宋体"/>
          <w:color w:val="000000" w:themeColor="text1"/>
          <w:sz w:val="24"/>
          <w:highlight w:val="none"/>
          <w:lang w:eastAsia="zh-CN"/>
          <w14:textFill>
            <w14:solidFill>
              <w14:schemeClr w14:val="tx1"/>
            </w14:solidFill>
          </w14:textFill>
        </w:rPr>
        <w:t>。</w:t>
      </w:r>
    </w:p>
    <w:p>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7</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FF0000"/>
          <w:sz w:val="24"/>
          <w:highlight w:val="none"/>
        </w:rPr>
        <w:t>预警响铃设置在警卫室或保安室安排专人值守</w:t>
      </w:r>
      <w:r>
        <w:rPr>
          <w:rFonts w:hint="eastAsia" w:ascii="宋体" w:hAnsi="宋体" w:cs="宋体"/>
          <w:color w:val="000000" w:themeColor="text1"/>
          <w:sz w:val="24"/>
          <w:highlight w:val="none"/>
          <w14:textFill>
            <w14:solidFill>
              <w14:schemeClr w14:val="tx1"/>
            </w14:solidFill>
          </w14:textFill>
        </w:rPr>
        <w:t>。</w:t>
      </w:r>
    </w:p>
    <w:p>
      <w:pPr>
        <w:pStyle w:val="3"/>
        <w:rPr>
          <w:color w:val="000000" w:themeColor="text1"/>
          <w:highlight w:val="none"/>
          <w14:textFill>
            <w14:solidFill>
              <w14:schemeClr w14:val="tx1"/>
            </w14:solidFill>
          </w14:textFill>
        </w:rPr>
      </w:pPr>
      <w:bookmarkStart w:id="318" w:name="_Toc408503102"/>
      <w:bookmarkStart w:id="319" w:name="_Toc43202976"/>
      <w:bookmarkStart w:id="320" w:name="_Toc46857519"/>
      <w:bookmarkStart w:id="321" w:name="_Toc29450_WPSOffice_Level2"/>
      <w:bookmarkStart w:id="322" w:name="_Toc26986_WPSOffice_Level2"/>
      <w:bookmarkStart w:id="323" w:name="_Toc28800"/>
      <w:r>
        <w:rPr>
          <w:rFonts w:hint="eastAsia"/>
          <w:color w:val="000000" w:themeColor="text1"/>
          <w:highlight w:val="none"/>
          <w:lang w:val="en-US" w:eastAsia="zh-CN"/>
          <w14:textFill>
            <w14:solidFill>
              <w14:schemeClr w14:val="tx1"/>
            </w14:solidFill>
          </w14:textFill>
        </w:rPr>
        <w:t>4</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3</w:t>
      </w:r>
      <w:r>
        <w:rPr>
          <w:color w:val="000000" w:themeColor="text1"/>
          <w:highlight w:val="none"/>
          <w14:textFill>
            <w14:solidFill>
              <w14:schemeClr w14:val="tx1"/>
            </w14:solidFill>
          </w14:textFill>
        </w:rPr>
        <w:t>事故预防</w:t>
      </w:r>
      <w:bookmarkEnd w:id="309"/>
      <w:r>
        <w:rPr>
          <w:color w:val="000000" w:themeColor="text1"/>
          <w:highlight w:val="none"/>
          <w14:textFill>
            <w14:solidFill>
              <w14:schemeClr w14:val="tx1"/>
            </w14:solidFill>
          </w14:textFill>
        </w:rPr>
        <w:t>措施</w:t>
      </w:r>
      <w:bookmarkEnd w:id="318"/>
      <w:bookmarkEnd w:id="319"/>
      <w:bookmarkEnd w:id="320"/>
      <w:bookmarkEnd w:id="321"/>
      <w:bookmarkEnd w:id="322"/>
      <w:bookmarkEnd w:id="323"/>
    </w:p>
    <w:p>
      <w:pPr>
        <w:bidi w:val="0"/>
        <w:rPr>
          <w:rFonts w:ascii="宋体" w:hAnsi="宋体" w:cs="宋体"/>
          <w:b w:val="0"/>
          <w:bCs w:val="0"/>
          <w:color w:val="000000" w:themeColor="text1"/>
          <w:szCs w:val="24"/>
          <w:highlight w:val="none"/>
          <w14:textFill>
            <w14:solidFill>
              <w14:schemeClr w14:val="tx1"/>
            </w14:solidFill>
          </w14:textFill>
        </w:rPr>
      </w:pPr>
      <w:bookmarkStart w:id="324" w:name="_Toc43202977"/>
      <w:r>
        <w:rPr>
          <w:rFonts w:hint="eastAsia"/>
          <w:color w:val="000000" w:themeColor="text1"/>
          <w:sz w:val="24"/>
          <w:szCs w:val="24"/>
          <w:highlight w:val="none"/>
          <w14:textFill>
            <w14:solidFill>
              <w14:schemeClr w14:val="tx1"/>
            </w14:solidFill>
          </w14:textFill>
        </w:rPr>
        <w:t>各事故预防措施见下表。</w:t>
      </w:r>
    </w:p>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表</w:t>
      </w:r>
      <w:r>
        <w:rPr>
          <w:rFonts w:hint="eastAsia"/>
          <w:b/>
          <w:color w:val="000000" w:themeColor="text1"/>
          <w:sz w:val="24"/>
          <w:highlight w:val="none"/>
          <w:lang w:val="en-US" w:eastAsia="zh-CN"/>
          <w14:textFill>
            <w14:solidFill>
              <w14:schemeClr w14:val="tx1"/>
            </w14:solidFill>
          </w14:textFill>
        </w:rPr>
        <w:t>4</w:t>
      </w:r>
      <w:r>
        <w:rPr>
          <w:rFonts w:hint="eastAsia"/>
          <w:b/>
          <w:color w:val="000000" w:themeColor="text1"/>
          <w:sz w:val="24"/>
          <w:highlight w:val="none"/>
          <w14:textFill>
            <w14:solidFill>
              <w14:schemeClr w14:val="tx1"/>
            </w14:solidFill>
          </w14:textFill>
        </w:rPr>
        <w:t>.3-1 事故预防一览表</w:t>
      </w:r>
    </w:p>
    <w:bookmarkEnd w:id="324"/>
    <w:tbl>
      <w:tblPr>
        <w:tblStyle w:val="48"/>
        <w:tblW w:w="9288"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440"/>
        <w:gridCol w:w="7200"/>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648"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bookmarkStart w:id="325" w:name="_Toc43202982"/>
            <w:bookmarkStart w:id="326" w:name="_Toc7166_WPSOffice_Level2"/>
            <w:bookmarkStart w:id="327" w:name="_Toc28970_WPSOffice_Level2"/>
            <w:bookmarkStart w:id="328" w:name="_Toc408503108"/>
            <w:bookmarkStart w:id="329" w:name="_Toc342216091"/>
            <w:r>
              <w:rPr>
                <w:rFonts w:ascii="宋体" w:hAnsi="宋体"/>
                <w:color w:val="000000" w:themeColor="text1"/>
                <w:szCs w:val="21"/>
                <w:highlight w:val="none"/>
                <w14:textFill>
                  <w14:solidFill>
                    <w14:schemeClr w14:val="tx1"/>
                  </w14:solidFill>
                </w14:textFill>
              </w:rPr>
              <w:t>序号</w:t>
            </w:r>
          </w:p>
        </w:tc>
        <w:tc>
          <w:tcPr>
            <w:tcW w:w="144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环境风险源</w:t>
            </w:r>
          </w:p>
        </w:tc>
        <w:tc>
          <w:tcPr>
            <w:tcW w:w="7200" w:type="dxa"/>
            <w:tcBorders>
              <w:top w:val="single" w:color="auto" w:sz="4" w:space="0"/>
              <w:left w:val="single" w:color="auto" w:sz="4" w:space="0"/>
              <w:bottom w:val="single" w:color="auto" w:sz="4" w:space="0"/>
              <w:right w:val="nil"/>
            </w:tcBorders>
            <w:vAlign w:val="center"/>
          </w:tcPr>
          <w:p>
            <w:pPr>
              <w:keepNext w:val="0"/>
              <w:keepLines w:val="0"/>
              <w:suppressLineNumbers w:val="0"/>
              <w:spacing w:before="0" w:beforeAutospacing="0" w:after="0" w:afterAutospacing="0"/>
              <w:ind w:left="0" w:right="0" w:firstLine="64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防范措施</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648"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199" w:firstLineChars="95"/>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w:t>
            </w:r>
          </w:p>
        </w:tc>
        <w:tc>
          <w:tcPr>
            <w:tcW w:w="144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199" w:firstLineChars="95"/>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废气非正常排放</w:t>
            </w:r>
          </w:p>
        </w:tc>
        <w:tc>
          <w:tcPr>
            <w:tcW w:w="7200" w:type="dxa"/>
            <w:tcBorders>
              <w:top w:val="single" w:color="auto" w:sz="4" w:space="0"/>
              <w:left w:val="single" w:color="auto" w:sz="4" w:space="0"/>
              <w:bottom w:val="single" w:color="auto" w:sz="4" w:space="0"/>
              <w:right w:val="nil"/>
            </w:tcBorders>
            <w:vAlign w:val="center"/>
          </w:tcPr>
          <w:p>
            <w:pPr>
              <w:keepNext w:val="0"/>
              <w:keepLines w:val="0"/>
              <w:suppressLineNumbers w:val="0"/>
              <w:spacing w:before="0" w:beforeAutospacing="0" w:after="0" w:afterAutospacing="0"/>
              <w:ind w:left="0" w:right="0"/>
              <w:rPr>
                <w:rFonts w:ascii="宋体" w:hAnsi="宋体"/>
                <w:color w:val="000000" w:themeColor="text1"/>
                <w:szCs w:val="21"/>
                <w:highlight w:val="none"/>
                <w14:textFill>
                  <w14:solidFill>
                    <w14:schemeClr w14:val="tx1"/>
                  </w14:solidFill>
                </w14:textFill>
              </w:rPr>
            </w:pPr>
            <w:r>
              <w:rPr>
                <w:rFonts w:ascii="宋体" w:hAnsi="宋体" w:eastAsia="宋体" w:cs="Times New Roman"/>
                <w:color w:val="000000" w:themeColor="text1"/>
                <w:szCs w:val="21"/>
                <w:highlight w:val="none"/>
                <w14:textFill>
                  <w14:solidFill>
                    <w14:schemeClr w14:val="tx1"/>
                  </w14:solidFill>
                </w14:textFill>
              </w:rPr>
              <w:t>本项目主要废气为</w:t>
            </w:r>
            <w:r>
              <w:rPr>
                <w:rFonts w:hint="eastAsia" w:ascii="宋体" w:hAnsi="宋体" w:cs="Times New Roman"/>
                <w:color w:val="000000" w:themeColor="text1"/>
                <w:szCs w:val="21"/>
                <w:highlight w:val="none"/>
                <w:lang w:val="en-US" w:eastAsia="zh-CN"/>
                <w14:textFill>
                  <w14:solidFill>
                    <w14:schemeClr w14:val="tx1"/>
                  </w14:solidFill>
                </w14:textFill>
              </w:rPr>
              <w:t>焊接</w:t>
            </w:r>
            <w:r>
              <w:rPr>
                <w:rFonts w:hint="eastAsia" w:ascii="宋体" w:hAnsi="宋体" w:eastAsia="宋体" w:cs="Times New Roman"/>
                <w:color w:val="000000" w:themeColor="text1"/>
                <w:szCs w:val="21"/>
                <w:highlight w:val="none"/>
                <w:lang w:val="en-US" w:eastAsia="zh-CN"/>
                <w14:textFill>
                  <w14:solidFill>
                    <w14:schemeClr w14:val="tx1"/>
                  </w14:solidFill>
                </w14:textFill>
              </w:rPr>
              <w:t>烟尘、锡其化合物，</w:t>
            </w:r>
            <w:r>
              <w:rPr>
                <w:rFonts w:hint="eastAsia" w:ascii="宋体" w:hAnsi="宋体" w:cs="Times New Roman"/>
                <w:color w:val="000000" w:themeColor="text1"/>
                <w:szCs w:val="21"/>
                <w:highlight w:val="none"/>
                <w:lang w:val="en-US" w:eastAsia="zh-CN"/>
                <w14:textFill>
                  <w14:solidFill>
                    <w14:schemeClr w14:val="tx1"/>
                  </w14:solidFill>
                </w14:textFill>
              </w:rPr>
              <w:t>机贴点胶</w:t>
            </w:r>
            <w:r>
              <w:rPr>
                <w:rFonts w:hint="eastAsia" w:ascii="宋体" w:hAnsi="宋体" w:eastAsia="宋体" w:cs="Times New Roman"/>
                <w:color w:val="000000" w:themeColor="text1"/>
                <w:szCs w:val="21"/>
                <w:highlight w:val="none"/>
                <w:lang w:val="en-US" w:eastAsia="zh-CN"/>
                <w14:textFill>
                  <w14:solidFill>
                    <w14:schemeClr w14:val="tx1"/>
                  </w14:solidFill>
                </w14:textFill>
              </w:rPr>
              <w:t>有机废气。</w:t>
            </w:r>
            <w:r>
              <w:rPr>
                <w:rFonts w:ascii="宋体" w:hAnsi="宋体" w:eastAsia="宋体" w:cs="Times New Roman"/>
                <w:color w:val="000000" w:themeColor="text1"/>
                <w:szCs w:val="21"/>
                <w:highlight w:val="none"/>
                <w14:textFill>
                  <w14:solidFill>
                    <w14:schemeClr w14:val="tx1"/>
                  </w14:solidFill>
                </w14:textFill>
              </w:rPr>
              <w:t>项目废气均通过有组织排放达到排放标准减少对大气环境的影响。</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648"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199" w:firstLineChars="95"/>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w:t>
            </w:r>
          </w:p>
        </w:tc>
        <w:tc>
          <w:tcPr>
            <w:tcW w:w="144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199" w:firstLineChars="95"/>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废水泄露</w:t>
            </w:r>
          </w:p>
        </w:tc>
        <w:tc>
          <w:tcPr>
            <w:tcW w:w="7200" w:type="dxa"/>
            <w:tcBorders>
              <w:top w:val="single" w:color="auto" w:sz="4" w:space="0"/>
              <w:left w:val="single" w:color="auto" w:sz="4" w:space="0"/>
              <w:bottom w:val="single" w:color="auto" w:sz="4" w:space="0"/>
              <w:right w:val="nil"/>
            </w:tcBorders>
            <w:vAlign w:val="center"/>
          </w:tcPr>
          <w:p>
            <w:pPr>
              <w:keepNext w:val="0"/>
              <w:keepLines w:val="0"/>
              <w:suppressLineNumbers w:val="0"/>
              <w:adjustRightInd w:val="0"/>
              <w:snapToGrid w:val="0"/>
              <w:spacing w:before="0" w:beforeAutospacing="0" w:after="0" w:afterAutospacing="0"/>
              <w:ind w:left="0" w:right="0"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（1）车间、生产工段应制定严格的废水排放制度，确保清污分流，雨污分流，残液禁止冲入废水处理系统或直排，如检查发现应予以重罚。</w:t>
            </w:r>
          </w:p>
          <w:p>
            <w:pPr>
              <w:keepNext w:val="0"/>
              <w:keepLines w:val="0"/>
              <w:suppressLineNumbers w:val="0"/>
              <w:adjustRightInd w:val="0"/>
              <w:snapToGrid w:val="0"/>
              <w:spacing w:before="0" w:beforeAutospacing="0" w:after="0" w:afterAutospacing="0"/>
              <w:ind w:left="0" w:right="0"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（2）加强清下水的排放监测，若发现超标现象，应将超标清下水排入应急池中，经处理达标后外排，避免有害物随清下水排入水体。</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199" w:firstLineChars="95"/>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w:t>
            </w:r>
          </w:p>
        </w:tc>
        <w:tc>
          <w:tcPr>
            <w:tcW w:w="144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199" w:firstLineChars="95"/>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原料仓库化学品泄漏</w:t>
            </w:r>
          </w:p>
        </w:tc>
        <w:tc>
          <w:tcPr>
            <w:tcW w:w="7200" w:type="dxa"/>
            <w:tcBorders>
              <w:top w:val="single" w:color="auto" w:sz="4" w:space="0"/>
              <w:left w:val="single" w:color="auto" w:sz="4" w:space="0"/>
              <w:bottom w:val="single" w:color="auto" w:sz="4" w:space="0"/>
              <w:right w:val="nil"/>
            </w:tcBorders>
            <w:vAlign w:val="center"/>
          </w:tcPr>
          <w:p>
            <w:pPr>
              <w:pStyle w:val="25"/>
              <w:keepNext w:val="0"/>
              <w:keepLines w:val="0"/>
              <w:suppressLineNumbers w:val="0"/>
              <w:spacing w:before="0" w:beforeAutospacing="0" w:after="0" w:afterAutospacing="0" w:line="240" w:lineRule="auto"/>
              <w:ind w:left="0" w:right="0" w:firstLine="411" w:firstLineChars="196"/>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1、贮存要求</w:t>
            </w:r>
          </w:p>
          <w:p>
            <w:pPr>
              <w:pStyle w:val="25"/>
              <w:keepNext w:val="0"/>
              <w:keepLines w:val="0"/>
              <w:suppressLineNumbers w:val="0"/>
              <w:spacing w:before="0" w:beforeAutospacing="0" w:after="0" w:afterAutospacing="0" w:line="240" w:lineRule="auto"/>
              <w:ind w:left="0" w:right="0"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⑴严格按照规划设计布置物料储存区，危险化学品贮存的场所必须是经公安消防部门审查批准设置的专门危险化学品库房，液体储存区必须符合防漏要求。防火间距的设置以及消防器材的配备必须通过消防部门审查认可，并设置危险介质浓度报警探头。</w:t>
            </w:r>
          </w:p>
          <w:p>
            <w:pPr>
              <w:keepNext w:val="0"/>
              <w:keepLines w:val="0"/>
              <w:suppressLineNumbers w:val="0"/>
              <w:adjustRightInd w:val="0"/>
              <w:snapToGrid w:val="0"/>
              <w:spacing w:before="0" w:beforeAutospacing="0" w:after="0" w:afterAutospacing="0"/>
              <w:ind w:left="0" w:right="0"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⑵化学危险品储存过程中需与其对应的禁忌物分开储存，储存和运输过程中需注意化学危险品的毒害性。此外，库区或储罐区需安装避雷设施，库区内需加强通风，并根据库区内各化学危险品的特性，保持库区内一定的温度和湿度。危险化学品仓库严禁禁忌物混放和超量储存。仓库的通道、出入口应保持畅通，不得堆放任何物品。各种化学危险品需储存于阴凉、干燥、通风良好的库房。远离火种、热源。并且与各自相应的禁忌物分开、远离存放。采用防爆型照明、通风设施。禁止使用易产生火花的机械设备和工具。</w:t>
            </w:r>
          </w:p>
          <w:p>
            <w:pPr>
              <w:keepNext w:val="0"/>
              <w:keepLines w:val="0"/>
              <w:suppressLineNumbers w:val="0"/>
              <w:adjustRightInd w:val="0"/>
              <w:snapToGrid w:val="0"/>
              <w:spacing w:before="0" w:beforeAutospacing="0" w:after="0" w:afterAutospacing="0"/>
              <w:ind w:left="0" w:right="0"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⑶易燃物品仓库安装避雷装置；按国家有关的标准储存，保存危险化学品，严禁将互相禁忌的危化品混存混运。危化品仓库应有良好的通风，在充分利用自然通风的同时，增加机械通风设施；仓库应设温、湿度计并有高温季节的降温措施。</w:t>
            </w:r>
          </w:p>
          <w:p>
            <w:pPr>
              <w:keepNext w:val="0"/>
              <w:keepLines w:val="0"/>
              <w:suppressLineNumbers w:val="0"/>
              <w:adjustRightInd w:val="0"/>
              <w:snapToGrid w:val="0"/>
              <w:spacing w:before="0" w:beforeAutospacing="0" w:after="0" w:afterAutospacing="0"/>
              <w:ind w:left="0" w:right="0"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⑷原辅材料中应做好密封保存工作，分开存放，避免发生碰撞；主要化学物料输送管道应安装必要的安全附件。</w:t>
            </w:r>
          </w:p>
          <w:p>
            <w:pPr>
              <w:keepNext w:val="0"/>
              <w:keepLines w:val="0"/>
              <w:suppressLineNumbers w:val="0"/>
              <w:adjustRightInd w:val="0"/>
              <w:snapToGrid w:val="0"/>
              <w:spacing w:before="0" w:beforeAutospacing="0" w:after="0" w:afterAutospacing="0"/>
              <w:ind w:left="0" w:right="0"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2、管理要求</w:t>
            </w:r>
          </w:p>
          <w:p>
            <w:pPr>
              <w:pStyle w:val="25"/>
              <w:keepNext w:val="0"/>
              <w:keepLines w:val="0"/>
              <w:suppressLineNumbers w:val="0"/>
              <w:spacing w:before="0" w:beforeAutospacing="0" w:after="0" w:afterAutospacing="0" w:line="240" w:lineRule="auto"/>
              <w:ind w:left="0" w:right="0"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⑴贮存危险化学品的仓库管理人员，必须经过专业知识培训，熟悉贮存物品的特性，事故处理办法和防护知识，同时，必须配备有关的个人防护用品。</w:t>
            </w:r>
          </w:p>
          <w:p>
            <w:pPr>
              <w:pStyle w:val="25"/>
              <w:keepNext w:val="0"/>
              <w:keepLines w:val="0"/>
              <w:suppressLineNumbers w:val="0"/>
              <w:spacing w:before="0" w:beforeAutospacing="0" w:after="0" w:afterAutospacing="0" w:line="240" w:lineRule="auto"/>
              <w:ind w:left="0" w:right="0"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⑵贮存的危险化学品必须设有明显的标志，并按国家规定标准控制不同单位面积的最大贮存限量和垛距。</w:t>
            </w:r>
          </w:p>
          <w:p>
            <w:pPr>
              <w:pStyle w:val="25"/>
              <w:keepNext w:val="0"/>
              <w:keepLines w:val="0"/>
              <w:suppressLineNumbers w:val="0"/>
              <w:spacing w:before="0" w:beforeAutospacing="0" w:after="0" w:afterAutospacing="0" w:line="240" w:lineRule="auto"/>
              <w:ind w:left="0" w:right="0"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⑶贮存危险化学品的库房、场所的消防设施、用电设施、防雷防静电设施等必须符合国家规定的安全要求。</w:t>
            </w:r>
          </w:p>
          <w:p>
            <w:pPr>
              <w:pStyle w:val="25"/>
              <w:keepNext w:val="0"/>
              <w:keepLines w:val="0"/>
              <w:suppressLineNumbers w:val="0"/>
              <w:spacing w:before="0" w:beforeAutospacing="0" w:after="0" w:afterAutospacing="0" w:line="240" w:lineRule="auto"/>
              <w:ind w:left="0" w:right="0"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⑷危险化学品出入库必须检查验收登记，贮存期间定期养护，控制好贮存场所的温度和湿度；装卸、搬运时应轻装轻卸，注意自我防护。</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199" w:firstLineChars="95"/>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w:t>
            </w:r>
          </w:p>
        </w:tc>
        <w:tc>
          <w:tcPr>
            <w:tcW w:w="144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199" w:firstLineChars="95"/>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火灾事故</w:t>
            </w:r>
          </w:p>
        </w:tc>
        <w:tc>
          <w:tcPr>
            <w:tcW w:w="7200" w:type="dxa"/>
            <w:tcBorders>
              <w:top w:val="single" w:color="auto" w:sz="4" w:space="0"/>
              <w:left w:val="single" w:color="auto" w:sz="4" w:space="0"/>
              <w:bottom w:val="single" w:color="auto" w:sz="4" w:space="0"/>
              <w:right w:val="nil"/>
            </w:tcBorders>
            <w:vAlign w:val="center"/>
          </w:tcPr>
          <w:p>
            <w:pPr>
              <w:keepNext w:val="0"/>
              <w:keepLines w:val="0"/>
              <w:suppressLineNumbers w:val="0"/>
              <w:spacing w:before="0" w:beforeAutospacing="0" w:after="0" w:afterAutospacing="0"/>
              <w:ind w:left="0" w:right="0" w:firstLine="56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(1)严格按照国家规范的要求进行设计和投入使用</w:t>
            </w:r>
          </w:p>
          <w:p>
            <w:pPr>
              <w:keepNext w:val="0"/>
              <w:keepLines w:val="0"/>
              <w:suppressLineNumbers w:val="0"/>
              <w:spacing w:before="0" w:beforeAutospacing="0" w:after="0" w:afterAutospacing="0"/>
              <w:ind w:left="0" w:right="0" w:firstLine="56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在设计和建设过程中就要严格按照现行的消防技术规范和标准进行设计、施工。充分考虑建筑物的总体布局、耐火等级、防火间距、防火分区和防火分隔措施,根据仓库的使用性,质按规范要求设置火灾自动报警、自动灭火设施，落实消防水源和室内外消防给水系统,从本质上防止火灾发生和控制灾害的发展。在设计过程中</w:t>
            </w:r>
            <w:r>
              <w:rPr>
                <w:rFonts w:hint="eastAsia" w:ascii="宋体" w:hAnsi="宋体"/>
                <w:color w:val="000000" w:themeColor="text1"/>
                <w:szCs w:val="21"/>
                <w:highlight w:val="none"/>
                <w:lang w:eastAsia="zh-CN"/>
                <w14:textFill>
                  <w14:solidFill>
                    <w14:schemeClr w14:val="tx1"/>
                  </w14:solidFill>
                </w14:textFill>
              </w:rPr>
              <w:t>，</w:t>
            </w:r>
            <w:r>
              <w:rPr>
                <w:rFonts w:ascii="宋体" w:hAnsi="宋体"/>
                <w:color w:val="000000" w:themeColor="text1"/>
                <w:szCs w:val="21"/>
                <w:highlight w:val="none"/>
                <w14:textFill>
                  <w14:solidFill>
                    <w14:schemeClr w14:val="tx1"/>
                  </w14:solidFill>
                </w14:textFill>
              </w:rPr>
              <w:t>要着眼于物资储存量大、消防用水量大和一旦发生火灾就有发生重大火灾的可能，重点规划布置库区的防火间距、消防车道、消防水源、堆垛组距、垛距等。</w:t>
            </w:r>
          </w:p>
          <w:p>
            <w:pPr>
              <w:keepNext w:val="0"/>
              <w:keepLines w:val="0"/>
              <w:suppressLineNumbers w:val="0"/>
              <w:spacing w:before="0" w:beforeAutospacing="0" w:after="0" w:afterAutospacing="0"/>
              <w:ind w:left="0" w:right="0" w:firstLine="56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(2)严格按照国家规范的要求设置仓库的电气线路</w:t>
            </w:r>
          </w:p>
          <w:p>
            <w:pPr>
              <w:keepNext w:val="0"/>
              <w:keepLines w:val="0"/>
              <w:suppressLineNumbers w:val="0"/>
              <w:spacing w:before="0" w:beforeAutospacing="0" w:after="0" w:afterAutospacing="0"/>
              <w:ind w:left="0" w:right="0" w:firstLine="56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易燃易爆危险物品仓库应采用防爆电器和照明，电气线路必须按照防爆的要求进行敷设。普通丙类物资仓库的电气线路应穿金属管或不燃型的硬质塑料管固定敷设，按规范要求选用照明灯具。库房内不得设置移动照明、配电线路与货垛之间应按规范的要求保持足够的防火间距,不得在堆垛_上方架设临时线路，不得设置移动照明和配电板等。</w:t>
            </w:r>
          </w:p>
          <w:p>
            <w:pPr>
              <w:keepNext w:val="0"/>
              <w:keepLines w:val="0"/>
              <w:suppressLineNumbers w:val="0"/>
              <w:spacing w:before="0" w:beforeAutospacing="0" w:after="0" w:afterAutospacing="0"/>
              <w:ind w:left="0" w:right="0" w:firstLine="56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(3)加强消防设施的维护与保养</w:t>
            </w:r>
          </w:p>
          <w:p>
            <w:pPr>
              <w:keepNext w:val="0"/>
              <w:keepLines w:val="0"/>
              <w:suppressLineNumbers w:val="0"/>
              <w:spacing w:before="0" w:beforeAutospacing="0" w:after="0" w:afterAutospacing="0"/>
              <w:ind w:left="0" w:right="0" w:firstLine="56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要增加消防投入，不能重经济效益轻消防安全,忽略必要的消防资金投入，加强消防设施的日常维修保养,提高消防设施的合格率和完好率，使其保持在良好的性能状态。同时要按照国家规范的要求设置安装避雷装置，并在每年雷雨季节前测试</w:t>
            </w:r>
            <w:r>
              <w:rPr>
                <w:rFonts w:hint="eastAsia" w:ascii="宋体" w:hAnsi="宋体"/>
                <w:color w:val="000000" w:themeColor="text1"/>
                <w:szCs w:val="21"/>
                <w:highlight w:val="none"/>
                <w:lang w:val="en-US" w:eastAsia="zh-CN"/>
                <w14:textFill>
                  <w14:solidFill>
                    <w14:schemeClr w14:val="tx1"/>
                  </w14:solidFill>
                </w14:textFill>
              </w:rPr>
              <w:t>一</w:t>
            </w:r>
            <w:r>
              <w:rPr>
                <w:rFonts w:ascii="宋体" w:hAnsi="宋体"/>
                <w:color w:val="000000" w:themeColor="text1"/>
                <w:szCs w:val="21"/>
                <w:highlight w:val="none"/>
                <w14:textFill>
                  <w14:solidFill>
                    <w14:schemeClr w14:val="tx1"/>
                  </w14:solidFill>
                </w14:textFill>
              </w:rPr>
              <w:t>次， 保证完好。</w:t>
            </w:r>
          </w:p>
          <w:p>
            <w:pPr>
              <w:keepNext w:val="0"/>
              <w:keepLines w:val="0"/>
              <w:suppressLineNumbers w:val="0"/>
              <w:spacing w:before="0" w:beforeAutospacing="0" w:after="0" w:afterAutospacing="0"/>
              <w:ind w:left="0" w:right="0" w:firstLine="56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(4)加强危险物品仓库的消防安全评价</w:t>
            </w:r>
          </w:p>
          <w:p>
            <w:pPr>
              <w:keepNext w:val="0"/>
              <w:keepLines w:val="0"/>
              <w:suppressLineNumbers w:val="0"/>
              <w:spacing w:before="0" w:beforeAutospacing="0" w:after="0" w:afterAutospacing="0"/>
              <w:ind w:left="0" w:right="0" w:firstLine="56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通过消防安全评价,如实反映出危险物品仓库的消防安全所处状态，预先发现、识别可能导致事故发生的危害因素,以便在事故发生之前采取消防和控制措施,从而保障危险物品仓库的安全。应明确其责任部门，确立消防安全评估的法律地位，体现可行性和可操作性,充分发挥消防安全评价在强化社会消防安全意识和加强企业自身安全可靠性方面的效应。</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ind w:left="0" w:right="0" w:firstLine="199" w:firstLineChars="95"/>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5</w:t>
            </w:r>
          </w:p>
        </w:tc>
        <w:tc>
          <w:tcPr>
            <w:tcW w:w="144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运输泄漏、火灾事故</w:t>
            </w:r>
          </w:p>
        </w:tc>
        <w:tc>
          <w:tcPr>
            <w:tcW w:w="7200" w:type="dxa"/>
            <w:tcBorders>
              <w:top w:val="single" w:color="auto" w:sz="4" w:space="0"/>
              <w:left w:val="single" w:color="auto" w:sz="4" w:space="0"/>
              <w:bottom w:val="single" w:color="auto" w:sz="4" w:space="0"/>
              <w:right w:val="nil"/>
            </w:tcBorders>
            <w:vAlign w:val="center"/>
          </w:tcPr>
          <w:p>
            <w:pPr>
              <w:keepNext w:val="0"/>
              <w:keepLines w:val="0"/>
              <w:suppressLineNumbers w:val="0"/>
              <w:spacing w:before="0" w:beforeAutospacing="0" w:after="0" w:afterAutospacing="0"/>
              <w:ind w:left="0" w:right="0"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1.汽车罐车的使用、装卸单位，应根据本规程及省级劳动、公安、交通部门的有关规定，结合本单位的具体情况，制定相应的安全操作规程和管理制度，并对操作、运输和管理等有关人员进行安全技术教育。</w:t>
            </w:r>
          </w:p>
          <w:p>
            <w:pPr>
              <w:pStyle w:val="58"/>
              <w:keepNext w:val="0"/>
              <w:keepLines w:val="0"/>
              <w:suppressLineNumbers w:val="0"/>
              <w:spacing w:before="0" w:beforeAutospacing="0" w:after="0" w:afterAutospacing="0"/>
              <w:ind w:left="0" w:right="0" w:firstLine="420" w:firstLineChars="200"/>
              <w:rPr>
                <w:rFonts w:ascii="宋体" w:hAnsi="宋体" w:eastAsia="宋体" w:cs="Times New Roman"/>
                <w:color w:val="000000" w:themeColor="text1"/>
                <w:sz w:val="21"/>
                <w:szCs w:val="21"/>
                <w:highlight w:val="none"/>
                <w14:textFill>
                  <w14:solidFill>
                    <w14:schemeClr w14:val="tx1"/>
                  </w14:solidFill>
                </w14:textFill>
              </w:rPr>
            </w:pPr>
            <w:r>
              <w:rPr>
                <w:rFonts w:ascii="宋体" w:hAnsi="宋体" w:eastAsia="宋体" w:cs="Times New Roman"/>
                <w:color w:val="000000" w:themeColor="text1"/>
                <w:sz w:val="21"/>
                <w:szCs w:val="21"/>
                <w:highlight w:val="none"/>
                <w14:textFill>
                  <w14:solidFill>
                    <w14:schemeClr w14:val="tx1"/>
                  </w14:solidFill>
                </w14:textFill>
              </w:rPr>
              <w:t>2.押运员和驾驶员应熟悉其所运输介质的物理、化学性质和安全防护措施，了 解装卸的有关要求，具备处理故障和异常情况的能力。</w:t>
            </w:r>
          </w:p>
          <w:p>
            <w:pPr>
              <w:pStyle w:val="47"/>
              <w:keepNext w:val="0"/>
              <w:keepLines w:val="0"/>
              <w:suppressLineNumbers w:val="0"/>
              <w:spacing w:before="0" w:beforeAutospacing="0" w:afterAutospacing="0" w:line="240" w:lineRule="auto"/>
              <w:ind w:right="0" w:firstLine="42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3.聘用持证押运员和驾驶员，并为押运员、驾驶员配备专用的防护用具和工作服装，专用检修工具和必要的备品、备件等。</w:t>
            </w:r>
          </w:p>
          <w:p>
            <w:pPr>
              <w:pStyle w:val="47"/>
              <w:keepNext w:val="0"/>
              <w:keepLines w:val="0"/>
              <w:suppressLineNumbers w:val="0"/>
              <w:spacing w:before="0" w:beforeAutospacing="0" w:afterAutospacing="0" w:line="240" w:lineRule="auto"/>
              <w:ind w:right="0" w:firstLine="42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4.认真贯彻执行罐车使用说明书的要求，制定并认真贯彻执行汽车罐车日常检查和维护保养制度，经常检查安全附件，按汽车日常检修和保养要求对汽车底盘及其行走</w:t>
            </w:r>
          </w:p>
        </w:tc>
      </w:tr>
    </w:tbl>
    <w:p>
      <w:pPr>
        <w:pStyle w:val="3"/>
        <w:rPr>
          <w:color w:val="000000" w:themeColor="text1"/>
          <w:highlight w:val="none"/>
          <w14:textFill>
            <w14:solidFill>
              <w14:schemeClr w14:val="tx1"/>
            </w14:solidFill>
          </w14:textFill>
        </w:rPr>
      </w:pPr>
      <w:bookmarkStart w:id="330" w:name="_Toc30591"/>
      <w:bookmarkStart w:id="331" w:name="_Toc46857520"/>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14:textFill>
            <w14:solidFill>
              <w14:schemeClr w14:val="tx1"/>
            </w14:solidFill>
          </w14:textFill>
        </w:rPr>
        <w:t>.4预警</w:t>
      </w:r>
      <w:bookmarkEnd w:id="325"/>
      <w:bookmarkEnd w:id="326"/>
      <w:bookmarkEnd w:id="327"/>
      <w:bookmarkEnd w:id="328"/>
      <w:bookmarkEnd w:id="329"/>
      <w:bookmarkEnd w:id="330"/>
      <w:bookmarkEnd w:id="331"/>
    </w:p>
    <w:p>
      <w:pPr>
        <w:pStyle w:val="4"/>
        <w:rPr>
          <w:color w:val="000000" w:themeColor="text1"/>
          <w:highlight w:val="none"/>
          <w14:textFill>
            <w14:solidFill>
              <w14:schemeClr w14:val="tx1"/>
            </w14:solidFill>
          </w14:textFill>
        </w:rPr>
      </w:pPr>
      <w:bookmarkStart w:id="332" w:name="_Toc408503111"/>
      <w:bookmarkStart w:id="333" w:name="_Toc43202983"/>
      <w:bookmarkStart w:id="334" w:name="_Toc342216094"/>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14:textFill>
            <w14:solidFill>
              <w14:schemeClr w14:val="tx1"/>
            </w14:solidFill>
          </w14:textFill>
        </w:rPr>
        <w:t>.4.1 预警程序</w:t>
      </w:r>
      <w:bookmarkEnd w:id="332"/>
      <w:bookmarkEnd w:id="333"/>
      <w:bookmarkEnd w:id="334"/>
    </w:p>
    <w:p>
      <w:pPr>
        <w:adjustRightInd w:val="0"/>
        <w:snapToGrid w:val="0"/>
        <w:spacing w:line="360" w:lineRule="auto"/>
        <w:ind w:firstLine="482" w:firstLineChars="200"/>
        <w:rPr>
          <w:rStyle w:val="234"/>
          <w:rFonts w:ascii="宋体" w:hAnsi="宋体" w:cs="宋体"/>
          <w:b/>
          <w:color w:val="000000" w:themeColor="text1"/>
          <w:sz w:val="24"/>
          <w:highlight w:val="none"/>
          <w14:textFill>
            <w14:solidFill>
              <w14:schemeClr w14:val="tx1"/>
            </w14:solidFill>
          </w14:textFill>
        </w:rPr>
      </w:pPr>
      <w:bookmarkStart w:id="335" w:name="_Toc335058751"/>
      <w:bookmarkStart w:id="336" w:name="_Toc332728782"/>
      <w:bookmarkStart w:id="337" w:name="_Toc329451677"/>
      <w:r>
        <w:rPr>
          <w:rStyle w:val="234"/>
          <w:rFonts w:hint="eastAsia" w:ascii="宋体" w:hAnsi="宋体" w:cs="宋体"/>
          <w:b/>
          <w:color w:val="000000" w:themeColor="text1"/>
          <w:sz w:val="24"/>
          <w:highlight w:val="none"/>
          <w14:textFill>
            <w14:solidFill>
              <w14:schemeClr w14:val="tx1"/>
            </w14:solidFill>
          </w14:textFill>
        </w:rPr>
        <w:t>1、预警分级指标</w:t>
      </w:r>
      <w:bookmarkEnd w:id="335"/>
      <w:bookmarkEnd w:id="336"/>
      <w:bookmarkEnd w:id="337"/>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按照企业突发事故严重性、紧急程度和可能波及的范围，环境污染事件分为环境污染事件（Ⅰ级）、环境污染事件（Ⅱ级）和环境污染事件（Ⅲ级）。预警级别相应地由高到低依次用橙色、黄色和蓝色预警，根据事态的发展和采取措施的效果，预警可以升级、降级或解除。</w:t>
      </w:r>
    </w:p>
    <w:p>
      <w:pPr>
        <w:adjustRightInd w:val="0"/>
        <w:snapToGrid w:val="0"/>
        <w:spacing w:line="360" w:lineRule="auto"/>
        <w:ind w:firstLine="482" w:firstLineChars="200"/>
        <w:rPr>
          <w:rStyle w:val="234"/>
          <w:rFonts w:ascii="宋体" w:hAnsi="宋体" w:cs="宋体"/>
          <w:b/>
          <w:color w:val="000000" w:themeColor="text1"/>
          <w:sz w:val="24"/>
          <w:highlight w:val="none"/>
          <w14:textFill>
            <w14:solidFill>
              <w14:schemeClr w14:val="tx1"/>
            </w14:solidFill>
          </w14:textFill>
        </w:rPr>
      </w:pPr>
      <w:bookmarkStart w:id="338" w:name="_Toc335058752"/>
      <w:bookmarkStart w:id="339" w:name="_Toc332728783"/>
      <w:bookmarkStart w:id="340" w:name="_Toc329451678"/>
      <w:r>
        <w:rPr>
          <w:rStyle w:val="234"/>
          <w:rFonts w:hint="eastAsia" w:ascii="宋体" w:hAnsi="宋体" w:cs="宋体"/>
          <w:b/>
          <w:color w:val="000000" w:themeColor="text1"/>
          <w:sz w:val="24"/>
          <w:highlight w:val="none"/>
          <w14:textFill>
            <w14:solidFill>
              <w14:schemeClr w14:val="tx1"/>
            </w14:solidFill>
          </w14:textFill>
        </w:rPr>
        <w:t>2、预警内容</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向企业内部发布预警，报告事故内容。事故内容包括地点、事故类型、撤离地点等。应急指挥部根据预警内容和事故严重程度，确定相应应急程序</w:t>
      </w:r>
      <w:r>
        <w:rPr>
          <w:rFonts w:hint="eastAsia" w:ascii="宋体" w:hAnsi="宋体" w:cs="宋体"/>
          <w:bCs/>
          <w:color w:val="000000" w:themeColor="text1"/>
          <w:sz w:val="24"/>
          <w:highlight w:val="none"/>
          <w:lang w:eastAsia="zh-CN"/>
          <w14:textFill>
            <w14:solidFill>
              <w14:schemeClr w14:val="tx1"/>
            </w14:solidFill>
          </w14:textFill>
        </w:rPr>
        <w:t>；</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现场预警信息报告人员要以最快的方式使用无线内部电话或有线电话在最近的地点预警信息。</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监测监控系统发出声光报警信号，或采取了自动断电措施，报警区域作业单位的当班负责人要立即报告接警中心（值班室）核实情况，要征求并听取接警中心（值班室）下达的预防与预警处置意见；</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报警区域作业单位的当班负责人要立即落实接警中心（值班室）下达的处置措施，并根据情况的变化继续报告预警信息。</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电话形式的预警报告要做好电话记录，力求记录准确、完善。相关人员要填写详细的报告，如泄漏量、浓度、风速等当班记录表。监测监控系统的报告以监测系统记录的数据为准，不得对数据进行修改。</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预警预防措施以相关领导签发的调度通知形式下令。紧急情况时可先执行电话或口头通知，电话或口头通知必须得到相关负责人的授权，事后需补签书面调度通知。</w:t>
      </w:r>
    </w:p>
    <w:p>
      <w:pPr>
        <w:adjustRightInd w:val="0"/>
        <w:snapToGrid w:val="0"/>
        <w:spacing w:line="360" w:lineRule="auto"/>
        <w:ind w:firstLine="480" w:firstLineChars="200"/>
        <w:rPr>
          <w:rFonts w:ascii="宋体" w:hAnsi="宋体" w:cs="宋体"/>
          <w:b/>
          <w:color w:val="000000" w:themeColor="text1"/>
          <w:sz w:val="24"/>
          <w:highlight w:val="none"/>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公司内突发环境污染事件报警方式采用内部电话和外部电话线路进行报警，由指挥部根据事态情况通过企业广播向企业内部发布事件消息，做出紧急疏散和撤离等警报。事态严重紧急时，由指挥部向</w:t>
      </w:r>
      <w:r>
        <w:rPr>
          <w:rFonts w:hint="eastAsia" w:cs="Times New Roman"/>
          <w:b w:val="0"/>
          <w:bCs w:val="0"/>
          <w:color w:val="000000" w:themeColor="text1"/>
          <w:kern w:val="2"/>
          <w:sz w:val="24"/>
          <w:szCs w:val="24"/>
          <w:highlight w:val="none"/>
          <w:lang w:val="en-US" w:eastAsia="zh-CN" w:bidi="ar-SA"/>
          <w14:textFill>
            <w14:solidFill>
              <w14:schemeClr w14:val="tx1"/>
            </w14:solidFill>
          </w14:textFill>
        </w:rPr>
        <w:t>宜春经济技术开发区</w:t>
      </w:r>
      <w:r>
        <w:rPr>
          <w:rFonts w:hint="eastAsia" w:ascii="Times New Roman" w:hAnsi="Times New Roman" w:cs="Times New Roman"/>
          <w:b w:val="0"/>
          <w:bCs w:val="0"/>
          <w:color w:val="000000" w:themeColor="text1"/>
          <w:kern w:val="2"/>
          <w:sz w:val="24"/>
          <w:szCs w:val="24"/>
          <w:highlight w:val="none"/>
          <w:lang w:val="en-US" w:eastAsia="zh-CN" w:bidi="ar-SA"/>
          <w14:textFill>
            <w14:solidFill>
              <w14:schemeClr w14:val="tx1"/>
            </w14:solidFill>
          </w14:textFill>
        </w:rPr>
        <w:t>应急管理局</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及宜春市生态环境局报告情况，提出要求组织撤离或者请求援助，随时保持电话联系</w:t>
      </w:r>
      <w:r>
        <w:rPr>
          <w:rFonts w:hint="eastAsia" w:ascii="宋体" w:hAnsi="宋体" w:cs="宋体"/>
          <w:bCs/>
          <w:color w:val="000000" w:themeColor="text1"/>
          <w:sz w:val="24"/>
          <w:highlight w:val="none"/>
          <w14:textFill>
            <w14:solidFill>
              <w14:schemeClr w14:val="tx1"/>
            </w14:solidFill>
          </w14:textFill>
        </w:rPr>
        <w:t>。</w:t>
      </w:r>
    </w:p>
    <w:p>
      <w:pPr>
        <w:adjustRightInd w:val="0"/>
        <w:snapToGrid w:val="0"/>
        <w:spacing w:line="360" w:lineRule="auto"/>
        <w:ind w:firstLine="482" w:firstLineChars="200"/>
        <w:rPr>
          <w:rStyle w:val="234"/>
          <w:rFonts w:ascii="宋体" w:hAnsi="宋体" w:cs="宋体"/>
          <w:b/>
          <w:color w:val="000000" w:themeColor="text1"/>
          <w:sz w:val="24"/>
          <w:highlight w:val="none"/>
          <w14:textFill>
            <w14:solidFill>
              <w14:schemeClr w14:val="tx1"/>
            </w14:solidFill>
          </w14:textFill>
        </w:rPr>
      </w:pPr>
      <w:r>
        <w:rPr>
          <w:rStyle w:val="234"/>
          <w:rFonts w:hint="eastAsia" w:ascii="宋体" w:hAnsi="宋体" w:cs="宋体"/>
          <w:b/>
          <w:color w:val="000000" w:themeColor="text1"/>
          <w:sz w:val="24"/>
          <w:highlight w:val="none"/>
          <w14:textFill>
            <w14:solidFill>
              <w14:schemeClr w14:val="tx1"/>
            </w14:solidFill>
          </w14:textFill>
        </w:rPr>
        <w:t>3、外部报送</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根据厂内事故预警等级，向上级部门报送。</w:t>
      </w:r>
      <w:r>
        <w:rPr>
          <w:rFonts w:hint="eastAsia" w:ascii="宋体" w:hAnsi="宋体" w:cs="宋体"/>
          <w:bCs/>
          <w:color w:val="000000" w:themeColor="text1"/>
          <w:sz w:val="24"/>
          <w:highlight w:val="none"/>
          <w14:textFill>
            <w14:solidFill>
              <w14:schemeClr w14:val="tx1"/>
            </w14:solidFill>
          </w14:textFill>
        </w:rPr>
        <w:t>突发事件责任单位根据事故严重程度，向相应管理部门报送。突发环境污染事件的报告分为初报、续报和处理结果报告三类。报告可采用电话、网络和书面报告等方式，包括事故发生原因、事故发生过程、应急处理措施、造成的人员伤害、事故造成的经济损失和社会影响等。</w:t>
      </w:r>
    </w:p>
    <w:p>
      <w:pPr>
        <w:adjustRightInd w:val="0"/>
        <w:snapToGrid w:val="0"/>
        <w:spacing w:line="360" w:lineRule="auto"/>
        <w:ind w:firstLine="482" w:firstLineChars="200"/>
        <w:rPr>
          <w:rStyle w:val="234"/>
          <w:rFonts w:ascii="宋体" w:hAnsi="宋体" w:cs="宋体"/>
          <w:b/>
          <w:color w:val="000000" w:themeColor="text1"/>
          <w:sz w:val="24"/>
          <w:highlight w:val="none"/>
          <w14:textFill>
            <w14:solidFill>
              <w14:schemeClr w14:val="tx1"/>
            </w14:solidFill>
          </w14:textFill>
        </w:rPr>
      </w:pPr>
      <w:r>
        <w:rPr>
          <w:rStyle w:val="234"/>
          <w:rFonts w:hint="eastAsia" w:ascii="宋体" w:hAnsi="宋体" w:cs="宋体"/>
          <w:b/>
          <w:color w:val="000000" w:themeColor="text1"/>
          <w:sz w:val="24"/>
          <w:highlight w:val="none"/>
          <w14:textFill>
            <w14:solidFill>
              <w14:schemeClr w14:val="tx1"/>
            </w14:solidFill>
          </w14:textFill>
        </w:rPr>
        <w:t>4、预警响应</w:t>
      </w:r>
      <w:bookmarkEnd w:id="338"/>
      <w:bookmarkEnd w:id="339"/>
      <w:bookmarkEnd w:id="340"/>
    </w:p>
    <w:p>
      <w:pPr>
        <w:adjustRightInd w:val="0"/>
        <w:snapToGrid w:val="0"/>
        <w:spacing w:line="360" w:lineRule="auto"/>
        <w:ind w:firstLine="600" w:firstLineChars="25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企业厂内发生火灾爆炸等突发环境事件时，在收集有关信息证明突发环境事件可能性增大时，按照应急预案立即采取措施。进入预警状态后，企业应采取以下预警措施：</w:t>
      </w:r>
    </w:p>
    <w:p>
      <w:pPr>
        <w:adjustRightInd w:val="0"/>
        <w:snapToGrid w:val="0"/>
        <w:spacing w:line="360" w:lineRule="auto"/>
        <w:ind w:left="6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⑴立即启动应急预案。</w:t>
      </w:r>
    </w:p>
    <w:p>
      <w:pPr>
        <w:adjustRightInd w:val="0"/>
        <w:snapToGrid w:val="0"/>
        <w:spacing w:line="360" w:lineRule="auto"/>
        <w:ind w:left="6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⑵在厂内发布预警公告。</w:t>
      </w:r>
    </w:p>
    <w:p>
      <w:pPr>
        <w:adjustRightInd w:val="0"/>
        <w:snapToGrid w:val="0"/>
        <w:spacing w:line="360" w:lineRule="auto"/>
        <w:ind w:left="6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⑶转移、撤离或者疏散厂内可能受到危害的人员，并进行妥善安置。</w:t>
      </w:r>
    </w:p>
    <w:p>
      <w:pPr>
        <w:adjustRightInd w:val="0"/>
        <w:snapToGrid w:val="0"/>
        <w:spacing w:line="360" w:lineRule="auto"/>
        <w:ind w:firstLine="600" w:firstLineChars="25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⑷指令各环境应急救援队伍进入应急状态，控制事故源，处理泄漏物质，开展应急监测，随时掌握并报告事态进展情况。</w:t>
      </w:r>
    </w:p>
    <w:p>
      <w:pPr>
        <w:adjustRightInd w:val="0"/>
        <w:snapToGrid w:val="0"/>
        <w:spacing w:line="360" w:lineRule="auto"/>
        <w:ind w:firstLine="600" w:firstLineChars="25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⑸针对突发事故可能造成的危害，封闭、隔离或者限制使用事发场所，中止可能导致危害扩大的行为和活动。</w:t>
      </w:r>
    </w:p>
    <w:p>
      <w:pPr>
        <w:adjustRightInd w:val="0"/>
        <w:snapToGrid w:val="0"/>
        <w:spacing w:line="360" w:lineRule="auto"/>
        <w:ind w:firstLine="600" w:firstLineChars="25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⑹调集厂内应急所需的物资和设备，确保应急保障工作。</w:t>
      </w:r>
    </w:p>
    <w:bookmarkEnd w:id="201"/>
    <w:p>
      <w:pPr>
        <w:pStyle w:val="4"/>
        <w:rPr>
          <w:color w:val="000000" w:themeColor="text1"/>
          <w:highlight w:val="none"/>
          <w14:textFill>
            <w14:solidFill>
              <w14:schemeClr w14:val="tx1"/>
            </w14:solidFill>
          </w14:textFill>
        </w:rPr>
      </w:pPr>
      <w:bookmarkStart w:id="341" w:name="_Toc43202984"/>
      <w:r>
        <w:rPr>
          <w:rFonts w:hint="eastAsia"/>
          <w:color w:val="000000" w:themeColor="text1"/>
          <w:highlight w:val="none"/>
          <w14:textFill>
            <w14:solidFill>
              <w14:schemeClr w14:val="tx1"/>
            </w14:solidFill>
          </w14:textFill>
        </w:rPr>
        <w:t>3.4.2</w:t>
      </w:r>
      <w:r>
        <w:rPr>
          <w:color w:val="000000" w:themeColor="text1"/>
          <w:highlight w:val="none"/>
          <w14:textFill>
            <w14:solidFill>
              <w14:schemeClr w14:val="tx1"/>
            </w14:solidFill>
          </w14:textFill>
        </w:rPr>
        <w:t>预警方法</w:t>
      </w:r>
      <w:bookmarkEnd w:id="341"/>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在确认进入预警状态之后，根据预警相应级别环境应急小组按照相关程序可采取以下行动：（1）立即启动相应事件的应急预案。</w:t>
      </w:r>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按照环境污染事故发布预警的等级，向全公司以及附近居民发布预警等级。一级预警：现场人员报告值班调度，调度核实情况后立即报告公司，公司应急指挥中心依据现场情况决定是否通知相关机构协助应急救援。若可能发生的环境污染事件严重，应当及时向</w:t>
      </w:r>
      <w:r>
        <w:rPr>
          <w:rFonts w:hint="eastAsia"/>
          <w:color w:val="000000" w:themeColor="text1"/>
          <w:sz w:val="24"/>
          <w:highlight w:val="none"/>
          <w:lang w:eastAsia="zh-CN"/>
          <w14:textFill>
            <w14:solidFill>
              <w14:schemeClr w14:val="tx1"/>
            </w14:solidFill>
          </w14:textFill>
        </w:rPr>
        <w:t>宜春市生态环境局宜春经济技术开发区分局</w:t>
      </w:r>
      <w:r>
        <w:rPr>
          <w:color w:val="000000" w:themeColor="text1"/>
          <w:sz w:val="24"/>
          <w:highlight w:val="none"/>
          <w14:textFill>
            <w14:solidFill>
              <w14:schemeClr w14:val="tx1"/>
            </w14:solidFill>
          </w14:textFill>
        </w:rPr>
        <w:t>、市政府有关部门报告，由</w:t>
      </w:r>
      <w:r>
        <w:rPr>
          <w:rFonts w:hint="eastAsia"/>
          <w:color w:val="000000" w:themeColor="text1"/>
          <w:sz w:val="24"/>
          <w:highlight w:val="none"/>
          <w:lang w:eastAsia="zh-CN"/>
          <w14:textFill>
            <w14:solidFill>
              <w14:schemeClr w14:val="tx1"/>
            </w14:solidFill>
          </w14:textFill>
        </w:rPr>
        <w:t>宜春市生态环境局宜春经济技术开发区分局</w:t>
      </w:r>
      <w:r>
        <w:rPr>
          <w:color w:val="000000" w:themeColor="text1"/>
          <w:sz w:val="24"/>
          <w:highlight w:val="none"/>
          <w14:textFill>
            <w14:solidFill>
              <w14:schemeClr w14:val="tx1"/>
            </w14:solidFill>
          </w14:textFill>
        </w:rPr>
        <w:t>、市领导决定后发布预警等级。二级预警：现场人员或调度向安全或环保部门报告，由安全或环保部门负责上报事故情况，公司应急指挥中心宣布启动预案。三级预警：现场人员立即报告部门负责人和值班调度并通知安全或环保部门，部门负责人或调度视现场情况组织现场处置，安全或环保部门视情况协调相关部门进行现场处置，落实巡查、监控措施；如隐患未消除，应通知相关应急部门、人员作好应急准备。遇非工作日时，通知值班调度和总值班人员，并及时报告应急指挥中心总指挥和有关人员。</w:t>
      </w:r>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（3）根据预警级别准备转移、撤离或者疏散可能受到危害的人员，进行妥善安置。</w:t>
      </w:r>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（4）指令各应急专业队伍进入应急状态，环境监测人员立即开展应急监测，随时掌握并报告事态进展情况。</w:t>
      </w:r>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（5）针对突发事件可能造成的危害，封闭、隔离或者限制有关场所，中止可能导致危害扩大的行为和活动。</w:t>
      </w:r>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（6）调集应急处置所需物资和设备，做好其他应急保障工作。</w:t>
      </w:r>
    </w:p>
    <w:p>
      <w:pPr>
        <w:pStyle w:val="2"/>
        <w:jc w:val="center"/>
        <w:rPr>
          <w:color w:val="000000" w:themeColor="text1"/>
          <w:highlight w:val="none"/>
          <w14:textFill>
            <w14:solidFill>
              <w14:schemeClr w14:val="tx1"/>
            </w14:solidFill>
          </w14:textFill>
        </w:rPr>
      </w:pPr>
      <w:bookmarkStart w:id="342" w:name="_Toc43202985"/>
      <w:bookmarkStart w:id="343" w:name="_Toc408503112"/>
      <w:bookmarkStart w:id="344" w:name="_Toc19542_WPSOffice_Level1"/>
      <w:bookmarkStart w:id="345" w:name="_Toc15380_WPSOffice_Level1"/>
      <w:r>
        <w:rPr>
          <w:color w:val="000000" w:themeColor="text1"/>
          <w:highlight w:val="none"/>
          <w14:textFill>
            <w14:solidFill>
              <w14:schemeClr w14:val="tx1"/>
            </w14:solidFill>
          </w14:textFill>
        </w:rPr>
        <w:br w:type="page"/>
      </w:r>
      <w:bookmarkStart w:id="346" w:name="_Toc46857521"/>
      <w:bookmarkStart w:id="347" w:name="_Toc24482"/>
      <w:r>
        <w:rPr>
          <w:rFonts w:hint="eastAsia"/>
          <w:color w:val="000000" w:themeColor="text1"/>
          <w:highlight w:val="none"/>
          <w14:textFill>
            <w14:solidFill>
              <w14:schemeClr w14:val="tx1"/>
            </w14:solidFill>
          </w14:textFill>
        </w:rPr>
        <w:t>第</w:t>
      </w:r>
      <w:r>
        <w:rPr>
          <w:rFonts w:hint="eastAsia"/>
          <w:color w:val="000000" w:themeColor="text1"/>
          <w:highlight w:val="none"/>
          <w:lang w:val="en-US" w:eastAsia="zh-CN"/>
          <w14:textFill>
            <w14:solidFill>
              <w14:schemeClr w14:val="tx1"/>
            </w14:solidFill>
          </w14:textFill>
        </w:rPr>
        <w:t>五</w:t>
      </w:r>
      <w:r>
        <w:rPr>
          <w:rFonts w:hint="eastAsia"/>
          <w:color w:val="000000" w:themeColor="text1"/>
          <w:highlight w:val="none"/>
          <w14:textFill>
            <w14:solidFill>
              <w14:schemeClr w14:val="tx1"/>
            </w14:solidFill>
          </w14:textFill>
        </w:rPr>
        <w:t>章</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应急响应</w:t>
      </w:r>
      <w:bookmarkEnd w:id="342"/>
      <w:bookmarkEnd w:id="343"/>
      <w:bookmarkEnd w:id="344"/>
      <w:bookmarkEnd w:id="345"/>
      <w:bookmarkEnd w:id="346"/>
      <w:bookmarkEnd w:id="347"/>
    </w:p>
    <w:p>
      <w:pPr>
        <w:rPr>
          <w:color w:val="000000" w:themeColor="text1"/>
          <w:highlight w:val="none"/>
          <w14:textFill>
            <w14:solidFill>
              <w14:schemeClr w14:val="tx1"/>
            </w14:solidFill>
          </w14:textFill>
        </w:rPr>
      </w:pPr>
      <w:bookmarkStart w:id="348" w:name="_Toc408503113"/>
      <w:bookmarkStart w:id="349" w:name="_Toc354489545"/>
    </w:p>
    <w:p>
      <w:pPr>
        <w:pStyle w:val="3"/>
        <w:rPr>
          <w:color w:val="000000" w:themeColor="text1"/>
          <w:highlight w:val="none"/>
          <w14:textFill>
            <w14:solidFill>
              <w14:schemeClr w14:val="tx1"/>
            </w14:solidFill>
          </w14:textFill>
        </w:rPr>
      </w:pPr>
      <w:bookmarkStart w:id="350" w:name="_Toc46857522"/>
      <w:bookmarkStart w:id="351" w:name="_Toc17174_WPSOffice_Level2"/>
      <w:bookmarkStart w:id="352" w:name="_Toc22811_WPSOffice_Level2"/>
      <w:bookmarkStart w:id="353" w:name="_Toc43202986"/>
      <w:bookmarkStart w:id="354" w:name="_Toc20938"/>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.1应急响应流程</w:t>
      </w:r>
      <w:bookmarkEnd w:id="348"/>
      <w:bookmarkEnd w:id="349"/>
      <w:bookmarkEnd w:id="350"/>
      <w:bookmarkEnd w:id="351"/>
      <w:bookmarkEnd w:id="352"/>
      <w:bookmarkEnd w:id="353"/>
      <w:bookmarkEnd w:id="354"/>
    </w:p>
    <w:p>
      <w:pPr>
        <w:adjustRightInd w:val="0"/>
        <w:snapToGrid w:val="0"/>
        <w:spacing w:line="360" w:lineRule="auto"/>
        <w:ind w:firstLine="615"/>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企业突发环境事件应急响应流程详见图</w:t>
      </w:r>
      <w:r>
        <w:rPr>
          <w:rFonts w:hint="eastAsia" w:ascii="宋体" w:hAnsi="宋体" w:cs="宋体"/>
          <w:bCs/>
          <w:color w:val="000000" w:themeColor="text1"/>
          <w:sz w:val="24"/>
          <w:highlight w:val="none"/>
          <w:lang w:val="en-US" w:eastAsia="zh-CN"/>
          <w14:textFill>
            <w14:solidFill>
              <w14:schemeClr w14:val="tx1"/>
            </w14:solidFill>
          </w14:textFill>
        </w:rPr>
        <w:t>5</w:t>
      </w:r>
      <w:r>
        <w:rPr>
          <w:rFonts w:hint="eastAsia" w:ascii="宋体" w:hAnsi="宋体" w:cs="宋体"/>
          <w:bCs/>
          <w:color w:val="000000" w:themeColor="text1"/>
          <w:sz w:val="24"/>
          <w:highlight w:val="none"/>
          <w14:textFill>
            <w14:solidFill>
              <w14:schemeClr w14:val="tx1"/>
            </w14:solidFill>
          </w14:textFill>
        </w:rPr>
        <w:t>.1-1。</w:t>
      </w:r>
    </w:p>
    <w:p>
      <w:pPr>
        <w:adjustRightInd w:val="0"/>
        <w:snapToGrid w:val="0"/>
        <w:spacing w:line="360" w:lineRule="auto"/>
        <w:rPr>
          <w:rFonts w:eastAsia="仿宋_GB2312"/>
          <w:bCs/>
          <w:color w:val="000000" w:themeColor="text1"/>
          <w:sz w:val="24"/>
          <w:highlight w:val="none"/>
          <w14:textFill>
            <w14:solidFill>
              <w14:schemeClr w14:val="tx1"/>
            </w14:solidFill>
          </w14:textFill>
        </w:rPr>
      </w:pPr>
      <w:r>
        <w:rPr>
          <w:rFonts w:hint="eastAsia" w:eastAsia="仿宋_GB2312"/>
          <w:bCs/>
          <w:color w:val="000000" w:themeColor="text1"/>
          <w:sz w:val="24"/>
          <w:highlight w:val="none"/>
          <w14:textFill>
            <w14:solidFill>
              <w14:schemeClr w14:val="tx1"/>
            </w14:solidFill>
          </w14:textFill>
        </w:rPr>
        <w:drawing>
          <wp:inline distT="0" distB="0" distL="0" distR="0">
            <wp:extent cx="5727700" cy="5279390"/>
            <wp:effectExtent l="19050" t="0" r="635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5727700" cy="5279390"/>
                    </a:xfrm>
                    <a:prstGeom prst="rect">
                      <a:avLst/>
                    </a:prstGeom>
                    <a:noFill/>
                    <a:ln w="9525">
                      <a:noFill/>
                      <a:miter lim="800000"/>
                      <a:headEnd/>
                      <a:tailEnd/>
                    </a:ln>
                  </pic:spPr>
                </pic:pic>
              </a:graphicData>
            </a:graphic>
          </wp:inline>
        </w:drawing>
      </w:r>
    </w:p>
    <w:p>
      <w:pPr>
        <w:adjustRightInd w:val="0"/>
        <w:snapToGrid w:val="0"/>
        <w:spacing w:line="360" w:lineRule="auto"/>
        <w:jc w:val="center"/>
        <w:rPr>
          <w:rFonts w:ascii="宋体" w:hAnsi="宋体" w:cs="宋体"/>
          <w:b/>
          <w:bCs/>
          <w:color w:val="000000" w:themeColor="text1"/>
          <w:sz w:val="24"/>
          <w:highlight w:val="none"/>
          <w14:textFill>
            <w14:solidFill>
              <w14:schemeClr w14:val="tx1"/>
            </w14:solidFill>
          </w14:textFill>
        </w:rPr>
      </w:pPr>
      <w:bookmarkStart w:id="355" w:name="_Toc31003_WPSOffice_Level2"/>
      <w:r>
        <w:rPr>
          <w:rFonts w:hint="eastAsia" w:ascii="宋体" w:hAnsi="宋体" w:cs="宋体"/>
          <w:b/>
          <w:bCs/>
          <w:color w:val="000000" w:themeColor="text1"/>
          <w:sz w:val="24"/>
          <w:highlight w:val="none"/>
          <w14:textFill>
            <w14:solidFill>
              <w14:schemeClr w14:val="tx1"/>
            </w14:solidFill>
          </w14:textFill>
        </w:rPr>
        <w:t>图</w:t>
      </w:r>
      <w:r>
        <w:rPr>
          <w:rFonts w:hint="eastAsia" w:ascii="宋体" w:hAnsi="宋体" w:cs="宋体"/>
          <w:b/>
          <w:bCs/>
          <w:color w:val="000000" w:themeColor="text1"/>
          <w:sz w:val="24"/>
          <w:highlight w:val="none"/>
          <w:lang w:val="en-US" w:eastAsia="zh-CN"/>
          <w14:textFill>
            <w14:solidFill>
              <w14:schemeClr w14:val="tx1"/>
            </w14:solidFill>
          </w14:textFill>
        </w:rPr>
        <w:t>5</w:t>
      </w:r>
      <w:r>
        <w:rPr>
          <w:rFonts w:hint="eastAsia" w:ascii="宋体" w:hAnsi="宋体" w:cs="宋体"/>
          <w:b/>
          <w:bCs/>
          <w:color w:val="000000" w:themeColor="text1"/>
          <w:sz w:val="24"/>
          <w:highlight w:val="none"/>
          <w14:textFill>
            <w14:solidFill>
              <w14:schemeClr w14:val="tx1"/>
            </w14:solidFill>
          </w14:textFill>
        </w:rPr>
        <w:t>.1-1  突发环境污染事故应急响应流程图</w:t>
      </w:r>
      <w:bookmarkEnd w:id="355"/>
    </w:p>
    <w:p>
      <w:pPr>
        <w:pStyle w:val="3"/>
        <w:rPr>
          <w:color w:val="000000" w:themeColor="text1"/>
          <w:highlight w:val="none"/>
          <w14:textFill>
            <w14:solidFill>
              <w14:schemeClr w14:val="tx1"/>
            </w14:solidFill>
          </w14:textFill>
        </w:rPr>
      </w:pPr>
      <w:bookmarkStart w:id="356" w:name="_Toc43202987"/>
      <w:bookmarkStart w:id="357" w:name="_Toc336166318"/>
      <w:bookmarkStart w:id="358" w:name="_Toc334558347"/>
      <w:bookmarkStart w:id="359" w:name="_Toc24988_WPSOffice_Level2"/>
      <w:bookmarkStart w:id="360" w:name="_Toc21967"/>
      <w:bookmarkStart w:id="361" w:name="_Toc46857523"/>
      <w:bookmarkStart w:id="362" w:name="_Toc408503117"/>
      <w:bookmarkStart w:id="363" w:name="_Toc339203007"/>
      <w:bookmarkStart w:id="364" w:name="_Toc12903_WPSOffice_Level2"/>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.2 应急分级响应机制</w:t>
      </w:r>
      <w:bookmarkEnd w:id="356"/>
      <w:bookmarkEnd w:id="357"/>
      <w:bookmarkEnd w:id="358"/>
      <w:bookmarkEnd w:id="359"/>
      <w:bookmarkEnd w:id="360"/>
      <w:bookmarkEnd w:id="361"/>
      <w:bookmarkEnd w:id="362"/>
      <w:bookmarkEnd w:id="363"/>
      <w:bookmarkEnd w:id="364"/>
    </w:p>
    <w:p>
      <w:pPr>
        <w:adjustRightInd w:val="0"/>
        <w:snapToGrid w:val="0"/>
        <w:spacing w:line="360" w:lineRule="auto"/>
        <w:ind w:firstLine="615"/>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根据《国家突发环境事件应急预案》中的“突发环境事件分级标准”、《突发环境事件信息报告办法》（环保部令第 17 号），结合企业生产实际情况，环境风险对周围环境影响程度和单位控制事态的能力，本公司的事故应急响应分为三级应急状态、二级应急状态、一级应急状态，分别对应三级预警、二级预警、一级预警，一级为最高级别，且根据事件的后续发展，预警可升级、降级或者解除。总指挥应当根据收集到的信息对突发环境事件进行预判，启动应急响应。</w:t>
      </w:r>
    </w:p>
    <w:p>
      <w:pPr>
        <w:pStyle w:val="4"/>
        <w:rPr>
          <w:color w:val="000000" w:themeColor="text1"/>
          <w:highlight w:val="none"/>
          <w14:textFill>
            <w14:solidFill>
              <w14:schemeClr w14:val="tx1"/>
            </w14:solidFill>
          </w14:textFill>
        </w:rPr>
      </w:pPr>
      <w:bookmarkStart w:id="365" w:name="_Toc43202988"/>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.2.1  三级响应</w:t>
      </w:r>
      <w:bookmarkEnd w:id="365"/>
    </w:p>
    <w:p>
      <w:pPr>
        <w:adjustRightInd w:val="0"/>
        <w:snapToGrid w:val="0"/>
        <w:spacing w:line="360" w:lineRule="auto"/>
        <w:ind w:firstLine="615"/>
        <w:rPr>
          <w:rFonts w:ascii="宋体" w:hAnsi="宋体" w:cs="宋体"/>
          <w:bCs/>
          <w:color w:val="FF0000"/>
          <w:sz w:val="24"/>
          <w:highlight w:val="none"/>
        </w:rPr>
      </w:pPr>
      <w:r>
        <w:rPr>
          <w:rFonts w:hint="eastAsia" w:ascii="宋体" w:hAnsi="宋体" w:cs="宋体"/>
          <w:bCs/>
          <w:color w:val="FF0000"/>
          <w:sz w:val="24"/>
          <w:highlight w:val="none"/>
          <w:lang w:val="en-US" w:eastAsia="zh-CN"/>
        </w:rPr>
        <w:t>本项目产生</w:t>
      </w:r>
      <w:r>
        <w:rPr>
          <w:rFonts w:hint="eastAsia" w:ascii="宋体" w:hAnsi="宋体" w:cs="宋体"/>
          <w:bCs/>
          <w:color w:val="FF0000"/>
          <w:sz w:val="24"/>
          <w:highlight w:val="none"/>
        </w:rPr>
        <w:t>生产废水收集系统故障，造成生产废水无法及时进入处理站处理；截水沟和雨水导排系统堵塞，导致雨水无法外排，在厂区内集积。发布三级预警信号，启动三级预警。</w:t>
      </w:r>
    </w:p>
    <w:p>
      <w:pPr>
        <w:adjustRightInd w:val="0"/>
        <w:snapToGrid w:val="0"/>
        <w:spacing w:line="360" w:lineRule="auto"/>
        <w:ind w:firstLine="615"/>
        <w:rPr>
          <w:rFonts w:ascii="宋体" w:hAnsi="宋体" w:cs="宋体"/>
          <w:bCs/>
          <w:color w:val="FF0000"/>
          <w:sz w:val="24"/>
          <w:szCs w:val="24"/>
          <w:highlight w:val="none"/>
        </w:rPr>
      </w:pPr>
      <w:r>
        <w:rPr>
          <w:rFonts w:hint="eastAsia" w:ascii="宋体" w:hAnsi="宋体" w:cs="宋体"/>
          <w:bCs/>
          <w:color w:val="FF0000"/>
          <w:sz w:val="24"/>
          <w:szCs w:val="24"/>
          <w:highlight w:val="none"/>
        </w:rPr>
        <w:t>三级应急指挥由</w:t>
      </w:r>
      <w:r>
        <w:rPr>
          <w:rFonts w:hint="eastAsia" w:ascii="宋体" w:hAnsi="宋体" w:eastAsia="宋体" w:cs="宋体"/>
          <w:bCs/>
          <w:color w:val="FF0000"/>
          <w:sz w:val="24"/>
          <w:szCs w:val="24"/>
          <w:highlight w:val="none"/>
          <w:lang w:val="en-US" w:eastAsia="zh-CN"/>
        </w:rPr>
        <w:t>周德亮</w:t>
      </w:r>
      <w:r>
        <w:rPr>
          <w:rFonts w:hint="eastAsia" w:ascii="宋体" w:hAnsi="宋体" w:cs="宋体"/>
          <w:bCs/>
          <w:color w:val="FF0000"/>
          <w:sz w:val="24"/>
          <w:szCs w:val="24"/>
          <w:highlight w:val="none"/>
        </w:rPr>
        <w:t>组织指挥应急处理。</w:t>
      </w:r>
    </w:p>
    <w:p>
      <w:pPr>
        <w:pStyle w:val="4"/>
        <w:rPr>
          <w:color w:val="000000" w:themeColor="text1"/>
          <w:highlight w:val="none"/>
          <w14:textFill>
            <w14:solidFill>
              <w14:schemeClr w14:val="tx1"/>
            </w14:solidFill>
          </w14:textFill>
        </w:rPr>
      </w:pPr>
      <w:bookmarkStart w:id="366" w:name="_Toc43202989"/>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.2.2  二级响应</w:t>
      </w:r>
      <w:bookmarkEnd w:id="366"/>
    </w:p>
    <w:p>
      <w:pPr>
        <w:adjustRightInd w:val="0"/>
        <w:snapToGrid w:val="0"/>
        <w:spacing w:line="360" w:lineRule="auto"/>
        <w:ind w:firstLine="615"/>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FF0000"/>
          <w:sz w:val="24"/>
          <w:highlight w:val="none"/>
        </w:rPr>
        <w:t>中毒和窒息导致人员受伤；因为内因或者外因引发局部火灾，由此产生的消防水外排。发布二级预警信号，启动二级响应。二级应急指挥由</w:t>
      </w:r>
      <w:r>
        <w:rPr>
          <w:rFonts w:hint="eastAsia" w:ascii="宋体" w:hAnsi="宋体" w:eastAsia="宋体" w:cs="宋体"/>
          <w:bCs/>
          <w:color w:val="FF0000"/>
          <w:sz w:val="24"/>
          <w:szCs w:val="24"/>
          <w:highlight w:val="none"/>
          <w:lang w:val="en-US" w:eastAsia="zh-CN"/>
        </w:rPr>
        <w:t>甘月军</w:t>
      </w:r>
      <w:r>
        <w:rPr>
          <w:rFonts w:hint="eastAsia" w:ascii="宋体" w:hAnsi="宋体" w:cs="宋体"/>
          <w:bCs/>
          <w:color w:val="FF0000"/>
          <w:sz w:val="24"/>
          <w:highlight w:val="none"/>
        </w:rPr>
        <w:t>组织指挥应急处理。</w:t>
      </w:r>
    </w:p>
    <w:p>
      <w:pPr>
        <w:pStyle w:val="4"/>
        <w:rPr>
          <w:color w:val="000000" w:themeColor="text1"/>
          <w:highlight w:val="none"/>
          <w14:textFill>
            <w14:solidFill>
              <w14:schemeClr w14:val="tx1"/>
            </w14:solidFill>
          </w14:textFill>
        </w:rPr>
      </w:pPr>
      <w:bookmarkStart w:id="367" w:name="_Toc43202990"/>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.2.3  一级响应</w:t>
      </w:r>
      <w:bookmarkEnd w:id="367"/>
    </w:p>
    <w:p>
      <w:pPr>
        <w:adjustRightInd w:val="0"/>
        <w:snapToGrid w:val="0"/>
        <w:spacing w:line="360" w:lineRule="auto"/>
        <w:ind w:firstLine="615"/>
        <w:rPr>
          <w:rFonts w:ascii="宋体" w:hAnsi="宋体" w:cs="宋体"/>
          <w:bCs/>
          <w:color w:val="FF0000"/>
          <w:sz w:val="24"/>
          <w:highlight w:val="none"/>
        </w:rPr>
      </w:pPr>
      <w:r>
        <w:rPr>
          <w:rFonts w:hint="eastAsia" w:ascii="宋体" w:hAnsi="宋体" w:cs="宋体"/>
          <w:bCs/>
          <w:color w:val="FF0000"/>
          <w:sz w:val="24"/>
          <w:highlight w:val="none"/>
        </w:rPr>
        <w:t>火灾、爆炸造成重大人员伤亡；因为内因或者外因引发大面积火灾及其他事故影响及处理超出本公司可控制范围的事件。发布一级预警信号，启动一级响应。</w:t>
      </w:r>
    </w:p>
    <w:p>
      <w:pPr>
        <w:adjustRightInd w:val="0"/>
        <w:snapToGrid w:val="0"/>
        <w:spacing w:line="360" w:lineRule="auto"/>
        <w:ind w:firstLine="615"/>
        <w:rPr>
          <w:rFonts w:ascii="宋体" w:hAnsi="宋体" w:cs="宋体"/>
          <w:bCs/>
          <w:color w:val="FF0000"/>
          <w:sz w:val="24"/>
          <w:highlight w:val="none"/>
        </w:rPr>
      </w:pPr>
      <w:r>
        <w:rPr>
          <w:rFonts w:hint="eastAsia" w:ascii="宋体" w:hAnsi="宋体" w:cs="宋体"/>
          <w:bCs/>
          <w:color w:val="FF0000"/>
          <w:sz w:val="24"/>
          <w:highlight w:val="none"/>
        </w:rPr>
        <w:t>一级应急响应</w:t>
      </w:r>
      <w:r>
        <w:rPr>
          <w:rFonts w:hint="eastAsia" w:ascii="宋体" w:hAnsi="宋体" w:cs="宋体"/>
          <w:bCs/>
          <w:color w:val="FF0000"/>
          <w:sz w:val="24"/>
          <w:szCs w:val="24"/>
          <w:highlight w:val="none"/>
        </w:rPr>
        <w:t>指挥由</w:t>
      </w:r>
      <w:r>
        <w:rPr>
          <w:rFonts w:hint="eastAsia" w:ascii="宋体" w:hAnsi="宋体" w:eastAsia="宋体" w:cs="宋体"/>
          <w:bCs/>
          <w:color w:val="FF0000"/>
          <w:sz w:val="24"/>
          <w:szCs w:val="24"/>
          <w:highlight w:val="none"/>
          <w:lang w:val="en-US" w:eastAsia="zh-CN"/>
        </w:rPr>
        <w:t>俞刚</w:t>
      </w:r>
      <w:r>
        <w:rPr>
          <w:rFonts w:hint="eastAsia" w:ascii="宋体" w:hAnsi="宋体" w:cs="宋体"/>
          <w:bCs/>
          <w:color w:val="FF0000"/>
          <w:sz w:val="24"/>
          <w:szCs w:val="24"/>
          <w:highlight w:val="none"/>
        </w:rPr>
        <w:t>执行，总指挥</w:t>
      </w:r>
      <w:r>
        <w:rPr>
          <w:rFonts w:hint="eastAsia" w:ascii="宋体" w:hAnsi="宋体" w:cs="宋体"/>
          <w:bCs/>
          <w:color w:val="FF0000"/>
          <w:sz w:val="24"/>
          <w:highlight w:val="none"/>
        </w:rPr>
        <w:t>不在时</w:t>
      </w:r>
      <w:r>
        <w:rPr>
          <w:rFonts w:hint="eastAsia" w:ascii="宋体" w:hAnsi="宋体" w:cs="宋体"/>
          <w:bCs/>
          <w:color w:val="FF0000"/>
          <w:sz w:val="24"/>
          <w:szCs w:val="24"/>
          <w:highlight w:val="none"/>
        </w:rPr>
        <w:t>，依序由</w:t>
      </w:r>
      <w:r>
        <w:rPr>
          <w:rFonts w:hint="eastAsia" w:ascii="宋体" w:hAnsi="宋体" w:eastAsia="宋体" w:cs="宋体"/>
          <w:bCs/>
          <w:color w:val="FF0000"/>
          <w:sz w:val="24"/>
          <w:szCs w:val="24"/>
          <w:highlight w:val="none"/>
          <w:lang w:val="en-US" w:eastAsia="zh-CN"/>
        </w:rPr>
        <w:t>甘月军</w:t>
      </w:r>
      <w:r>
        <w:rPr>
          <w:rFonts w:hint="eastAsia" w:ascii="宋体" w:hAnsi="宋体" w:cs="宋体"/>
          <w:bCs/>
          <w:color w:val="FF0000"/>
          <w:sz w:val="24"/>
          <w:szCs w:val="24"/>
          <w:highlight w:val="none"/>
        </w:rPr>
        <w:t>挥执行</w:t>
      </w:r>
      <w:r>
        <w:rPr>
          <w:rFonts w:hint="eastAsia" w:ascii="宋体" w:hAnsi="宋体" w:cs="宋体"/>
          <w:bCs/>
          <w:color w:val="FF0000"/>
          <w:sz w:val="24"/>
          <w:highlight w:val="none"/>
        </w:rPr>
        <w:t>；</w:t>
      </w:r>
    </w:p>
    <w:p>
      <w:pPr>
        <w:adjustRightInd w:val="0"/>
        <w:snapToGrid w:val="0"/>
        <w:spacing w:line="360" w:lineRule="auto"/>
        <w:ind w:firstLine="615"/>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FF0000"/>
          <w:sz w:val="24"/>
          <w:highlight w:val="none"/>
        </w:rPr>
        <w:t>当政府应急人员到达现场时，移交政府指挥部人员指挥，火灾时在消防部门到场后移交消防部门指挥，并介绍事故情况和已采取的应急措施，配合协助应急指挥与处置。对于不同级别的环境污染事件，企业进行不同应急救援响应，制定不同的应急措施，并采取不同级别的汇报工作。</w:t>
      </w:r>
    </w:p>
    <w:p>
      <w:pPr>
        <w:pStyle w:val="4"/>
        <w:rPr>
          <w:color w:val="000000" w:themeColor="text1"/>
          <w:highlight w:val="none"/>
          <w14:textFill>
            <w14:solidFill>
              <w14:schemeClr w14:val="tx1"/>
            </w14:solidFill>
          </w14:textFill>
        </w:rPr>
      </w:pPr>
      <w:bookmarkStart w:id="368" w:name="_Toc408503118"/>
      <w:bookmarkStart w:id="369" w:name="_Toc336166319"/>
      <w:bookmarkStart w:id="370" w:name="_Toc339203008"/>
      <w:bookmarkStart w:id="371" w:name="_Toc335810256"/>
      <w:bookmarkStart w:id="372" w:name="_Toc43202991"/>
      <w:r>
        <w:rPr>
          <w:rFonts w:hint="eastAsia"/>
          <w:color w:val="000000" w:themeColor="text1"/>
          <w:highlight w:val="none"/>
          <w:lang w:val="en-US" w:eastAsia="zh-CN"/>
          <w14:textFill>
            <w14:solidFill>
              <w14:schemeClr w14:val="tx1"/>
            </w14:solidFill>
          </w14:textFill>
        </w:rPr>
        <w:t>5</w:t>
      </w: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4一</w:t>
      </w:r>
      <w:r>
        <w:rPr>
          <w:color w:val="000000" w:themeColor="text1"/>
          <w:highlight w:val="none"/>
          <w14:textFill>
            <w14:solidFill>
              <w14:schemeClr w14:val="tx1"/>
            </w14:solidFill>
          </w14:textFill>
        </w:rPr>
        <w:t>级突发环境</w:t>
      </w:r>
      <w:r>
        <w:rPr>
          <w:rFonts w:hint="eastAsia"/>
          <w:color w:val="000000" w:themeColor="text1"/>
          <w:highlight w:val="none"/>
          <w14:textFill>
            <w14:solidFill>
              <w14:schemeClr w14:val="tx1"/>
            </w14:solidFill>
          </w14:textFill>
        </w:rPr>
        <w:t>污染</w:t>
      </w:r>
      <w:r>
        <w:rPr>
          <w:color w:val="000000" w:themeColor="text1"/>
          <w:highlight w:val="none"/>
          <w14:textFill>
            <w14:solidFill>
              <w14:schemeClr w14:val="tx1"/>
            </w14:solidFill>
          </w14:textFill>
        </w:rPr>
        <w:t>事件应急响应</w:t>
      </w:r>
      <w:bookmarkEnd w:id="368"/>
      <w:bookmarkEnd w:id="369"/>
      <w:bookmarkEnd w:id="370"/>
      <w:bookmarkEnd w:id="371"/>
      <w:bookmarkEnd w:id="372"/>
    </w:p>
    <w:p>
      <w:pPr>
        <w:adjustRightInd w:val="0"/>
        <w:snapToGrid w:val="0"/>
        <w:spacing w:line="360" w:lineRule="auto"/>
        <w:ind w:firstLine="420"/>
        <w:jc w:val="left"/>
        <w:rPr>
          <w:rFonts w:ascii="宋体" w:hAnsi="宋体" w:cs="宋体"/>
          <w:bCs/>
          <w:color w:val="FF0000"/>
          <w:sz w:val="24"/>
          <w:highlight w:val="none"/>
        </w:rPr>
      </w:pPr>
      <w:r>
        <w:rPr>
          <w:rFonts w:hint="eastAsia" w:ascii="宋体" w:hAnsi="宋体" w:cs="宋体"/>
          <w:bCs/>
          <w:color w:val="000000" w:themeColor="text1"/>
          <w:sz w:val="24"/>
          <w:highlight w:val="none"/>
          <w14:textFill>
            <w14:solidFill>
              <w14:schemeClr w14:val="tx1"/>
            </w14:solidFill>
          </w14:textFill>
        </w:rPr>
        <w:t>一级</w:t>
      </w:r>
      <w:r>
        <w:rPr>
          <w:rFonts w:hint="eastAsia" w:ascii="宋体" w:hAnsi="宋体" w:cs="宋体"/>
          <w:color w:val="000000" w:themeColor="text1"/>
          <w:sz w:val="24"/>
          <w:highlight w:val="none"/>
          <w14:textFill>
            <w14:solidFill>
              <w14:schemeClr w14:val="tx1"/>
            </w14:solidFill>
          </w14:textFill>
        </w:rPr>
        <w:t>环境污染事件是对企业的生产和人员安全造成重大危害和威胁，严重影响到周围环境和人员安全，造成或可能造成人员伤亡、财产损失和环境破坏，</w:t>
      </w:r>
      <w:r>
        <w:rPr>
          <w:rFonts w:hint="eastAsia" w:ascii="宋体" w:hAnsi="宋体" w:cs="宋体"/>
          <w:bCs/>
          <w:color w:val="000000" w:themeColor="text1"/>
          <w:sz w:val="24"/>
          <w:highlight w:val="none"/>
          <w14:textFill>
            <w14:solidFill>
              <w14:schemeClr w14:val="tx1"/>
            </w14:solidFill>
          </w14:textFill>
        </w:rPr>
        <w:t>需要动用外部应急救援力量和资源进行应急处置的环境污染事件。当发生重大环境污染</w:t>
      </w:r>
      <w:r>
        <w:rPr>
          <w:rFonts w:hint="eastAsia" w:ascii="宋体" w:hAnsi="宋体" w:cs="宋体"/>
          <w:color w:val="000000" w:themeColor="text1"/>
          <w:sz w:val="24"/>
          <w:highlight w:val="none"/>
          <w14:textFill>
            <w14:solidFill>
              <w14:schemeClr w14:val="tx1"/>
            </w14:solidFill>
          </w14:textFill>
        </w:rPr>
        <w:t>事件</w:t>
      </w:r>
      <w:r>
        <w:rPr>
          <w:rFonts w:hint="eastAsia" w:ascii="宋体" w:hAnsi="宋体" w:cs="宋体"/>
          <w:bCs/>
          <w:color w:val="000000" w:themeColor="text1"/>
          <w:sz w:val="24"/>
          <w:highlight w:val="none"/>
          <w14:textFill>
            <w14:solidFill>
              <w14:schemeClr w14:val="tx1"/>
            </w14:solidFill>
          </w14:textFill>
        </w:rPr>
        <w:t>时，企业内部应急力量予以先期处置，并由应急指挥部第一时间请求市环保、消防、公安和医疗等相关力量协助。待外部应急力量到达现场后，与企业内部应急力量共同处置事故。</w:t>
      </w:r>
      <w:r>
        <w:rPr>
          <w:rFonts w:hint="eastAsia" w:ascii="宋体" w:hAnsi="宋体" w:cs="宋体"/>
          <w:bCs/>
          <w:color w:val="FF0000"/>
          <w:sz w:val="24"/>
          <w:highlight w:val="none"/>
        </w:rPr>
        <w:t>具体应急响应措施如下：</w:t>
      </w:r>
    </w:p>
    <w:p>
      <w:pPr>
        <w:adjustRightInd w:val="0"/>
        <w:snapToGrid w:val="0"/>
        <w:spacing w:line="360" w:lineRule="auto"/>
        <w:ind w:firstLine="482"/>
        <w:rPr>
          <w:rFonts w:ascii="宋体" w:hAnsi="宋体" w:cs="宋体"/>
          <w:bCs/>
          <w:color w:val="FF0000"/>
          <w:sz w:val="24"/>
          <w:highlight w:val="none"/>
        </w:rPr>
      </w:pPr>
      <w:r>
        <w:rPr>
          <w:rFonts w:hint="eastAsia" w:ascii="宋体" w:hAnsi="宋体" w:cs="宋体"/>
          <w:bCs/>
          <w:color w:val="FF0000"/>
          <w:sz w:val="24"/>
          <w:highlight w:val="none"/>
        </w:rPr>
        <w:t>1、启动一级应急响应程序，企业内部应急力量予以先期处置，控制事故危险源，及时进行人员疏散和转移，同时开展抢险救援，防止扩大事故范围和事故程度；</w:t>
      </w:r>
    </w:p>
    <w:p>
      <w:pPr>
        <w:adjustRightInd w:val="0"/>
        <w:snapToGrid w:val="0"/>
        <w:spacing w:line="360" w:lineRule="auto"/>
        <w:ind w:firstLine="482"/>
        <w:rPr>
          <w:rFonts w:ascii="宋体" w:hAnsi="宋体" w:cs="宋体"/>
          <w:bCs/>
          <w:color w:val="FF0000"/>
          <w:sz w:val="24"/>
          <w:highlight w:val="none"/>
        </w:rPr>
      </w:pPr>
      <w:r>
        <w:rPr>
          <w:rFonts w:hint="eastAsia" w:ascii="宋体" w:hAnsi="宋体" w:cs="宋体"/>
          <w:bCs/>
          <w:color w:val="FF0000"/>
          <w:sz w:val="24"/>
          <w:highlight w:val="none"/>
        </w:rPr>
        <w:t>2、立即联系</w:t>
      </w:r>
      <w:r>
        <w:rPr>
          <w:rFonts w:hint="eastAsia" w:ascii="宋体" w:hAnsi="宋体" w:cs="宋体"/>
          <w:bCs/>
          <w:color w:val="FF0000"/>
          <w:sz w:val="24"/>
          <w:highlight w:val="none"/>
          <w:lang w:eastAsia="zh-CN"/>
        </w:rPr>
        <w:t>宜春市生态环境局宜春经济技术开发区分局</w:t>
      </w:r>
      <w:r>
        <w:rPr>
          <w:rFonts w:hint="eastAsia" w:ascii="宋体" w:hAnsi="宋体" w:cs="宋体"/>
          <w:bCs/>
          <w:color w:val="FF0000"/>
          <w:sz w:val="24"/>
          <w:highlight w:val="none"/>
        </w:rPr>
        <w:t>，视事件变化情况，联系消防、公安和医疗等，并接应外部应急求援力量，配合其进行全力抢救抢险；</w:t>
      </w:r>
    </w:p>
    <w:p>
      <w:pPr>
        <w:adjustRightInd w:val="0"/>
        <w:snapToGrid w:val="0"/>
        <w:spacing w:line="360" w:lineRule="auto"/>
        <w:ind w:firstLine="482"/>
        <w:rPr>
          <w:rFonts w:ascii="宋体" w:hAnsi="宋体" w:cs="宋体"/>
          <w:bCs/>
          <w:color w:val="FF0000"/>
          <w:sz w:val="24"/>
          <w:highlight w:val="none"/>
        </w:rPr>
      </w:pPr>
      <w:r>
        <w:rPr>
          <w:rFonts w:hint="eastAsia" w:ascii="宋体" w:hAnsi="宋体" w:cs="宋体"/>
          <w:bCs/>
          <w:color w:val="FF0000"/>
          <w:sz w:val="24"/>
          <w:highlight w:val="none"/>
        </w:rPr>
        <w:t>3、事故后现场恢复和清理，洗消废水收集至污水站处理后外排；</w:t>
      </w:r>
    </w:p>
    <w:p>
      <w:pPr>
        <w:adjustRightInd w:val="0"/>
        <w:snapToGrid w:val="0"/>
        <w:spacing w:line="360" w:lineRule="auto"/>
        <w:ind w:firstLine="482"/>
        <w:rPr>
          <w:rFonts w:ascii="宋体" w:hAnsi="宋体" w:cs="宋体"/>
          <w:bCs/>
          <w:color w:val="FF0000"/>
          <w:sz w:val="24"/>
          <w:highlight w:val="none"/>
        </w:rPr>
      </w:pPr>
      <w:r>
        <w:rPr>
          <w:rFonts w:hint="eastAsia" w:ascii="宋体" w:hAnsi="宋体" w:cs="宋体"/>
          <w:bCs/>
          <w:color w:val="FF0000"/>
          <w:sz w:val="24"/>
          <w:highlight w:val="none"/>
        </w:rPr>
        <w:t>4、事故原因调查、事故总结，事故信息最终报告市政府、</w:t>
      </w:r>
      <w:r>
        <w:rPr>
          <w:rFonts w:hint="eastAsia" w:ascii="宋体" w:hAnsi="宋体" w:cs="宋体"/>
          <w:bCs/>
          <w:color w:val="FF0000"/>
          <w:sz w:val="24"/>
          <w:highlight w:val="none"/>
          <w:lang w:eastAsia="zh-CN"/>
        </w:rPr>
        <w:t>生态环境局</w:t>
      </w:r>
      <w:r>
        <w:rPr>
          <w:rFonts w:hint="eastAsia" w:ascii="宋体" w:hAnsi="宋体" w:cs="宋体"/>
          <w:bCs/>
          <w:color w:val="FF0000"/>
          <w:sz w:val="24"/>
          <w:highlight w:val="none"/>
        </w:rPr>
        <w:t>和</w:t>
      </w:r>
      <w:r>
        <w:rPr>
          <w:rFonts w:hint="eastAsia" w:ascii="宋体" w:hAnsi="宋体" w:cs="宋体"/>
          <w:bCs/>
          <w:color w:val="FF0000"/>
          <w:sz w:val="24"/>
          <w:highlight w:val="none"/>
          <w:lang w:eastAsia="zh-CN"/>
        </w:rPr>
        <w:t>应急管理局</w:t>
      </w:r>
      <w:r>
        <w:rPr>
          <w:rFonts w:hint="eastAsia" w:ascii="宋体" w:hAnsi="宋体" w:cs="宋体"/>
          <w:bCs/>
          <w:color w:val="FF0000"/>
          <w:sz w:val="24"/>
          <w:highlight w:val="none"/>
        </w:rPr>
        <w:t>；</w:t>
      </w:r>
    </w:p>
    <w:p>
      <w:pPr>
        <w:adjustRightInd w:val="0"/>
        <w:snapToGrid w:val="0"/>
        <w:spacing w:line="360" w:lineRule="auto"/>
        <w:ind w:firstLine="480"/>
        <w:rPr>
          <w:rFonts w:eastAsia="仿宋_GB2312"/>
          <w:bCs/>
          <w:color w:val="FF0000"/>
          <w:sz w:val="24"/>
          <w:highlight w:val="none"/>
        </w:rPr>
      </w:pPr>
      <w:r>
        <w:rPr>
          <w:rFonts w:hint="eastAsia" w:ascii="宋体" w:hAnsi="宋体" w:cs="宋体"/>
          <w:bCs/>
          <w:color w:val="FF0000"/>
          <w:sz w:val="24"/>
          <w:highlight w:val="none"/>
        </w:rPr>
        <w:t>5、针对事故原因，进行生产、储存环节改进，加强事故预防，并对应急预案进行改进完善，提高应急效率。</w:t>
      </w:r>
    </w:p>
    <w:p>
      <w:pPr>
        <w:pStyle w:val="4"/>
        <w:rPr>
          <w:color w:val="000000" w:themeColor="text1"/>
          <w:highlight w:val="none"/>
          <w14:textFill>
            <w14:solidFill>
              <w14:schemeClr w14:val="tx1"/>
            </w14:solidFill>
          </w14:textFill>
        </w:rPr>
      </w:pPr>
      <w:bookmarkStart w:id="373" w:name="_Toc43202992"/>
      <w:bookmarkStart w:id="374" w:name="_Toc336166320"/>
      <w:bookmarkStart w:id="375" w:name="_Toc339203009"/>
      <w:bookmarkStart w:id="376" w:name="_Toc408503119"/>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.2.5 二级突发环境污染事件应急响应</w:t>
      </w:r>
      <w:bookmarkEnd w:id="373"/>
      <w:bookmarkEnd w:id="374"/>
      <w:bookmarkEnd w:id="375"/>
      <w:bookmarkEnd w:id="376"/>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级环境污染事件是对企业生产和人员安全造成较大危害和威胁，造成或者可能造成人员伤亡、财产损失和环境破坏，事故控制及其对生产、社会、环境产生的影响依靠车间内自身力量不能控制，需要上级或相关方面救援力量进行应急处置的环境污染事件。</w:t>
      </w:r>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当发生</w:t>
      </w:r>
      <w:r>
        <w:rPr>
          <w:rFonts w:hint="eastAsia" w:ascii="宋体" w:hAnsi="宋体" w:cs="宋体"/>
          <w:color w:val="000000" w:themeColor="text1"/>
          <w:sz w:val="24"/>
          <w:highlight w:val="none"/>
          <w14:textFill>
            <w14:solidFill>
              <w14:schemeClr w14:val="tx1"/>
            </w14:solidFill>
          </w14:textFill>
        </w:rPr>
        <w:t>一般环境污染事件</w:t>
      </w:r>
      <w:r>
        <w:rPr>
          <w:rFonts w:hint="eastAsia" w:ascii="宋体" w:hAnsi="宋体" w:cs="宋体"/>
          <w:bCs/>
          <w:color w:val="000000" w:themeColor="text1"/>
          <w:sz w:val="24"/>
          <w:highlight w:val="none"/>
          <w14:textFill>
            <w14:solidFill>
              <w14:schemeClr w14:val="tx1"/>
            </w14:solidFill>
          </w14:textFill>
        </w:rPr>
        <w:t>时，原则上由企业内部组织应急救援力量处置，应急指挥部视</w:t>
      </w:r>
      <w:r>
        <w:rPr>
          <w:rFonts w:hint="eastAsia" w:ascii="宋体" w:hAnsi="宋体" w:cs="宋体"/>
          <w:color w:val="000000" w:themeColor="text1"/>
          <w:sz w:val="24"/>
          <w:highlight w:val="none"/>
          <w14:textFill>
            <w14:solidFill>
              <w14:schemeClr w14:val="tx1"/>
            </w14:solidFill>
          </w14:textFill>
        </w:rPr>
        <w:t>事故态势变化</w:t>
      </w:r>
      <w:r>
        <w:rPr>
          <w:rFonts w:hint="eastAsia" w:ascii="宋体" w:hAnsi="宋体" w:cs="宋体"/>
          <w:bCs/>
          <w:color w:val="000000" w:themeColor="text1"/>
          <w:sz w:val="24"/>
          <w:highlight w:val="none"/>
          <w14:textFill>
            <w14:solidFill>
              <w14:schemeClr w14:val="tx1"/>
            </w14:solidFill>
          </w14:textFill>
        </w:rPr>
        <w:t>请求市环保、消防、公安和医疗等相关力量协助，协助进行应急监测以及事故处置。具体应急响应措施如下：</w:t>
      </w:r>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1、启动二级应急响应程序，控制并消除事故危险源，同时进行人员疏散与转移；</w:t>
      </w:r>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2、联系</w:t>
      </w:r>
      <w:r>
        <w:rPr>
          <w:rFonts w:hint="eastAsia" w:ascii="宋体" w:hAnsi="宋体" w:cs="宋体"/>
          <w:bCs/>
          <w:color w:val="FF0000"/>
          <w:sz w:val="24"/>
          <w:highlight w:val="none"/>
          <w:lang w:eastAsia="zh-CN"/>
        </w:rPr>
        <w:t>宜春市生态环境局宜春经济技术开发区分局</w:t>
      </w:r>
      <w:r>
        <w:rPr>
          <w:rFonts w:hint="eastAsia" w:ascii="宋体" w:hAnsi="宋体" w:cs="宋体"/>
          <w:bCs/>
          <w:color w:val="000000" w:themeColor="text1"/>
          <w:sz w:val="24"/>
          <w:highlight w:val="none"/>
          <w14:textFill>
            <w14:solidFill>
              <w14:schemeClr w14:val="tx1"/>
            </w14:solidFill>
          </w14:textFill>
        </w:rPr>
        <w:t>，视</w:t>
      </w:r>
      <w:r>
        <w:rPr>
          <w:rFonts w:hint="eastAsia" w:ascii="宋体" w:hAnsi="宋体" w:cs="宋体"/>
          <w:color w:val="000000" w:themeColor="text1"/>
          <w:sz w:val="24"/>
          <w:highlight w:val="none"/>
          <w14:textFill>
            <w14:solidFill>
              <w14:schemeClr w14:val="tx1"/>
            </w14:solidFill>
          </w14:textFill>
        </w:rPr>
        <w:t>事故态势变化</w:t>
      </w:r>
      <w:r>
        <w:rPr>
          <w:rFonts w:hint="eastAsia" w:ascii="宋体" w:hAnsi="宋体" w:cs="宋体"/>
          <w:bCs/>
          <w:color w:val="000000" w:themeColor="text1"/>
          <w:sz w:val="24"/>
          <w:highlight w:val="none"/>
          <w14:textFill>
            <w14:solidFill>
              <w14:schemeClr w14:val="tx1"/>
            </w14:solidFill>
          </w14:textFill>
        </w:rPr>
        <w:t>联系消防、公安和医疗等相关力量协助；</w:t>
      </w:r>
    </w:p>
    <w:p>
      <w:pPr>
        <w:adjustRightInd w:val="0"/>
        <w:snapToGrid w:val="0"/>
        <w:spacing w:line="360" w:lineRule="auto"/>
        <w:ind w:firstLine="436" w:firstLineChars="182"/>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3、事故后现场恢复和清理；</w:t>
      </w:r>
    </w:p>
    <w:p>
      <w:pPr>
        <w:adjustRightInd w:val="0"/>
        <w:snapToGrid w:val="0"/>
        <w:spacing w:line="360" w:lineRule="auto"/>
        <w:ind w:firstLine="436" w:firstLineChars="182"/>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4、事故原因调查、事故总结、事故信息最终报告</w:t>
      </w:r>
      <w:r>
        <w:rPr>
          <w:rFonts w:hint="eastAsia" w:ascii="宋体" w:hAnsi="宋体" w:cs="宋体"/>
          <w:bCs/>
          <w:color w:val="000000" w:themeColor="text1"/>
          <w:sz w:val="24"/>
          <w:highlight w:val="none"/>
          <w:lang w:eastAsia="zh-CN"/>
          <w14:textFill>
            <w14:solidFill>
              <w14:schemeClr w14:val="tx1"/>
            </w14:solidFill>
          </w14:textFill>
        </w:rPr>
        <w:t>生态环境局</w:t>
      </w:r>
      <w:r>
        <w:rPr>
          <w:rFonts w:hint="eastAsia" w:ascii="宋体" w:hAnsi="宋体" w:cs="宋体"/>
          <w:bCs/>
          <w:color w:val="000000" w:themeColor="text1"/>
          <w:sz w:val="24"/>
          <w:highlight w:val="none"/>
          <w14:textFill>
            <w14:solidFill>
              <w14:schemeClr w14:val="tx1"/>
            </w14:solidFill>
          </w14:textFill>
        </w:rPr>
        <w:t>、</w:t>
      </w:r>
      <w:r>
        <w:rPr>
          <w:rFonts w:hint="eastAsia" w:ascii="宋体" w:hAnsi="宋体" w:cs="宋体"/>
          <w:bCs/>
          <w:color w:val="000000" w:themeColor="text1"/>
          <w:sz w:val="24"/>
          <w:highlight w:val="none"/>
          <w:lang w:eastAsia="zh-CN"/>
          <w14:textFill>
            <w14:solidFill>
              <w14:schemeClr w14:val="tx1"/>
            </w14:solidFill>
          </w14:textFill>
        </w:rPr>
        <w:t>应急管理局</w:t>
      </w:r>
      <w:r>
        <w:rPr>
          <w:rFonts w:hint="eastAsia" w:ascii="宋体" w:hAnsi="宋体" w:cs="宋体"/>
          <w:bCs/>
          <w:color w:val="000000" w:themeColor="text1"/>
          <w:sz w:val="24"/>
          <w:highlight w:val="none"/>
          <w14:textFill>
            <w14:solidFill>
              <w14:schemeClr w14:val="tx1"/>
            </w14:solidFill>
          </w14:textFill>
        </w:rPr>
        <w:t>；</w:t>
      </w:r>
    </w:p>
    <w:p>
      <w:pPr>
        <w:adjustRightInd w:val="0"/>
        <w:snapToGrid w:val="0"/>
        <w:spacing w:line="360" w:lineRule="auto"/>
        <w:ind w:firstLine="480" w:firstLineChars="200"/>
        <w:rPr>
          <w:rFonts w:hint="eastAsia" w:ascii="宋体" w:hAnsi="宋体" w:eastAsia="宋体" w:cs="宋体"/>
          <w:bCs/>
          <w:color w:val="000000" w:themeColor="text1"/>
          <w:sz w:val="24"/>
          <w:highlight w:val="none"/>
          <w:lang w:eastAsia="zh-CN"/>
          <w14:textFill>
            <w14:solidFill>
              <w14:schemeClr w14:val="tx1"/>
            </w14:solidFill>
          </w14:textFill>
        </w:rPr>
        <w:sectPr>
          <w:footerReference r:id="rId14" w:type="default"/>
          <w:pgSz w:w="11906" w:h="16838"/>
          <w:pgMar w:top="1418" w:right="1418" w:bottom="1418" w:left="1418" w:header="851" w:footer="992" w:gutter="0"/>
          <w:pgNumType w:start="1"/>
          <w:cols w:space="720" w:num="1"/>
          <w:docGrid w:type="lines" w:linePitch="312" w:charSpace="0"/>
        </w:sectPr>
      </w:pPr>
      <w:r>
        <w:rPr>
          <w:rFonts w:hint="eastAsia" w:ascii="宋体" w:hAnsi="宋体" w:cs="宋体"/>
          <w:bCs/>
          <w:color w:val="000000" w:themeColor="text1"/>
          <w:sz w:val="24"/>
          <w:highlight w:val="none"/>
          <w14:textFill>
            <w14:solidFill>
              <w14:schemeClr w14:val="tx1"/>
            </w14:solidFill>
          </w14:textFill>
        </w:rPr>
        <w:t>5、针对事故原因，进行生产、储存环节改进，加强事故预防，并对应急预案进行改进完善，提高应急效</w:t>
      </w:r>
      <w:r>
        <w:rPr>
          <w:rFonts w:hint="eastAsia" w:ascii="宋体" w:hAnsi="宋体" w:cs="宋体"/>
          <w:bCs/>
          <w:color w:val="000000" w:themeColor="text1"/>
          <w:sz w:val="24"/>
          <w:highlight w:val="none"/>
          <w:lang w:eastAsia="zh-CN"/>
          <w14:textFill>
            <w14:solidFill>
              <w14:schemeClr w14:val="tx1"/>
            </w14:solidFill>
          </w14:textFill>
        </w:rPr>
        <w:t>。</w:t>
      </w:r>
    </w:p>
    <w:p>
      <w:pPr>
        <w:pStyle w:val="4"/>
        <w:rPr>
          <w:color w:val="000000" w:themeColor="text1"/>
          <w:highlight w:val="none"/>
          <w14:textFill>
            <w14:solidFill>
              <w14:schemeClr w14:val="tx1"/>
            </w14:solidFill>
          </w14:textFill>
        </w:rPr>
      </w:pPr>
      <w:bookmarkStart w:id="377" w:name="_Toc336166321"/>
      <w:bookmarkStart w:id="378" w:name="_Toc339203010"/>
      <w:bookmarkStart w:id="379" w:name="_Toc408503120"/>
      <w:bookmarkStart w:id="380" w:name="_Toc43202993"/>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.2.6 三级突发环境污染事件应急响应</w:t>
      </w:r>
      <w:bookmarkEnd w:id="377"/>
      <w:bookmarkEnd w:id="378"/>
      <w:bookmarkEnd w:id="379"/>
      <w:bookmarkEnd w:id="380"/>
    </w:p>
    <w:p>
      <w:pPr>
        <w:adjustRightInd w:val="0"/>
        <w:snapToGrid w:val="0"/>
        <w:spacing w:line="360" w:lineRule="auto"/>
        <w:ind w:firstLine="480" w:firstLineChars="200"/>
        <w:rPr>
          <w:rFonts w:ascii="宋体" w:hAnsi="宋体" w:cs="宋体"/>
          <w:bCs/>
          <w:color w:val="FF0000"/>
          <w:sz w:val="24"/>
          <w:highlight w:val="none"/>
        </w:rPr>
      </w:pPr>
      <w:r>
        <w:rPr>
          <w:rFonts w:hint="eastAsia" w:ascii="宋体" w:hAnsi="宋体" w:cs="宋体"/>
          <w:color w:val="FF0000"/>
          <w:kern w:val="0"/>
          <w:sz w:val="24"/>
          <w:highlight w:val="none"/>
        </w:rPr>
        <w:t>厂区</w:t>
      </w:r>
      <w:r>
        <w:rPr>
          <w:rFonts w:hint="eastAsia" w:ascii="宋体" w:hAnsi="宋体" w:cs="宋体"/>
          <w:color w:val="FF0000"/>
          <w:sz w:val="24"/>
          <w:highlight w:val="none"/>
        </w:rPr>
        <w:t>内生产车间或车间范围的发生的环境污染事件由于对周边环境造成的危害较小，是</w:t>
      </w:r>
      <w:r>
        <w:rPr>
          <w:rFonts w:hint="eastAsia" w:ascii="宋体" w:hAnsi="宋体" w:cs="宋体"/>
          <w:bCs/>
          <w:color w:val="FF0000"/>
          <w:sz w:val="24"/>
          <w:highlight w:val="none"/>
        </w:rPr>
        <w:t>轻微</w:t>
      </w:r>
      <w:r>
        <w:rPr>
          <w:rFonts w:hint="eastAsia" w:ascii="宋体" w:hAnsi="宋体" w:cs="宋体"/>
          <w:color w:val="FF0000"/>
          <w:sz w:val="24"/>
          <w:highlight w:val="none"/>
        </w:rPr>
        <w:t>环境污染事件。事故发生后，启动三</w:t>
      </w:r>
      <w:r>
        <w:rPr>
          <w:rFonts w:hint="eastAsia" w:ascii="宋体" w:hAnsi="宋体" w:cs="宋体"/>
          <w:bCs/>
          <w:color w:val="FF0000"/>
          <w:sz w:val="24"/>
          <w:highlight w:val="none"/>
        </w:rPr>
        <w:t>级</w:t>
      </w:r>
      <w:r>
        <w:rPr>
          <w:rFonts w:hint="eastAsia" w:ascii="宋体" w:hAnsi="宋体" w:cs="宋体"/>
          <w:color w:val="FF0000"/>
          <w:sz w:val="24"/>
          <w:highlight w:val="none"/>
        </w:rPr>
        <w:t>应急预案，由车间或现场操作人员组织救援力量展开救援。</w:t>
      </w:r>
      <w:r>
        <w:rPr>
          <w:rFonts w:hint="eastAsia" w:ascii="宋体" w:hAnsi="宋体" w:cs="宋体"/>
          <w:bCs/>
          <w:color w:val="FF0000"/>
          <w:sz w:val="24"/>
          <w:highlight w:val="none"/>
        </w:rPr>
        <w:t>具体应急响应措施如下：</w:t>
      </w:r>
    </w:p>
    <w:p>
      <w:pPr>
        <w:adjustRightInd w:val="0"/>
        <w:snapToGrid w:val="0"/>
        <w:spacing w:line="360" w:lineRule="auto"/>
        <w:ind w:firstLine="480"/>
        <w:rPr>
          <w:rFonts w:ascii="宋体" w:hAnsi="宋体" w:cs="宋体"/>
          <w:bCs/>
          <w:color w:val="FF0000"/>
          <w:sz w:val="24"/>
          <w:highlight w:val="none"/>
        </w:rPr>
      </w:pPr>
      <w:r>
        <w:rPr>
          <w:rFonts w:hint="eastAsia" w:ascii="宋体" w:hAnsi="宋体" w:cs="宋体"/>
          <w:bCs/>
          <w:color w:val="FF0000"/>
          <w:sz w:val="24"/>
          <w:highlight w:val="none"/>
        </w:rPr>
        <w:t>1、启动三级应急响应程序，开展应急救援；</w:t>
      </w:r>
    </w:p>
    <w:p>
      <w:pPr>
        <w:adjustRightInd w:val="0"/>
        <w:snapToGrid w:val="0"/>
        <w:spacing w:line="360" w:lineRule="auto"/>
        <w:ind w:firstLine="480"/>
        <w:rPr>
          <w:rFonts w:ascii="宋体" w:hAnsi="宋体" w:cs="宋体"/>
          <w:bCs/>
          <w:color w:val="FF0000"/>
          <w:sz w:val="24"/>
          <w:highlight w:val="none"/>
        </w:rPr>
      </w:pPr>
      <w:r>
        <w:rPr>
          <w:rFonts w:hint="eastAsia" w:ascii="宋体" w:hAnsi="宋体" w:cs="宋体"/>
          <w:bCs/>
          <w:color w:val="FF0000"/>
          <w:sz w:val="24"/>
          <w:highlight w:val="none"/>
        </w:rPr>
        <w:t>2、事故后现场恢复和清理；</w:t>
      </w:r>
    </w:p>
    <w:p>
      <w:pPr>
        <w:adjustRightInd w:val="0"/>
        <w:snapToGrid w:val="0"/>
        <w:spacing w:line="360" w:lineRule="auto"/>
        <w:ind w:firstLine="480"/>
        <w:rPr>
          <w:rFonts w:ascii="宋体" w:hAnsi="宋体" w:cs="宋体"/>
          <w:bCs/>
          <w:color w:val="FF0000"/>
          <w:sz w:val="24"/>
          <w:highlight w:val="none"/>
        </w:rPr>
      </w:pPr>
      <w:r>
        <w:rPr>
          <w:rFonts w:hint="eastAsia" w:ascii="宋体" w:hAnsi="宋体" w:cs="宋体"/>
          <w:bCs/>
          <w:color w:val="FF0000"/>
          <w:sz w:val="24"/>
          <w:highlight w:val="none"/>
        </w:rPr>
        <w:t>3、事故原因调查、事故总结，事故处理后报告应急指挥部；</w:t>
      </w:r>
    </w:p>
    <w:p>
      <w:pPr>
        <w:adjustRightInd w:val="0"/>
        <w:snapToGrid w:val="0"/>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FF0000"/>
          <w:sz w:val="24"/>
          <w:highlight w:val="none"/>
        </w:rPr>
        <w:t>4、针对事故原因，进行生产、储存环节改进，加强事故预防，并对应急预案进行改进完善，提高应急效率。</w:t>
      </w:r>
    </w:p>
    <w:p>
      <w:pPr>
        <w:pStyle w:val="3"/>
        <w:rPr>
          <w:color w:val="000000" w:themeColor="text1"/>
          <w:highlight w:val="none"/>
          <w14:textFill>
            <w14:solidFill>
              <w14:schemeClr w14:val="tx1"/>
            </w14:solidFill>
          </w14:textFill>
        </w:rPr>
      </w:pPr>
      <w:bookmarkStart w:id="381" w:name="_Toc1805_WPSOffice_Level2"/>
      <w:bookmarkStart w:id="382" w:name="_Toc342216101"/>
      <w:bookmarkStart w:id="383" w:name="_Toc46857524"/>
      <w:bookmarkStart w:id="384" w:name="_Toc341884142"/>
      <w:bookmarkStart w:id="385" w:name="_Toc408503121"/>
      <w:bookmarkStart w:id="386" w:name="_Toc7834_WPSOffice_Level2"/>
      <w:bookmarkStart w:id="387" w:name="_Toc43202994"/>
      <w:bookmarkStart w:id="388" w:name="_Toc27573"/>
      <w:bookmarkStart w:id="389" w:name="_Toc336166322"/>
      <w:bookmarkStart w:id="390" w:name="_Toc339203011"/>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.3 启动条件</w:t>
      </w:r>
      <w:bookmarkEnd w:id="381"/>
      <w:bookmarkEnd w:id="382"/>
      <w:bookmarkEnd w:id="383"/>
      <w:bookmarkEnd w:id="384"/>
      <w:bookmarkEnd w:id="385"/>
      <w:bookmarkEnd w:id="386"/>
      <w:bookmarkEnd w:id="387"/>
      <w:bookmarkEnd w:id="388"/>
    </w:p>
    <w:p>
      <w:pPr>
        <w:adjustRightInd w:val="0"/>
        <w:snapToGrid w:val="0"/>
        <w:spacing w:line="360" w:lineRule="auto"/>
        <w:ind w:firstLine="615"/>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对于不同级别的环境事件，企业进行不同应急救援响应，制定不同的应急措施，并采取不同级别的汇报工作。</w:t>
      </w:r>
    </w:p>
    <w:p>
      <w:pPr>
        <w:adjustRightInd w:val="0"/>
        <w:snapToGrid w:val="0"/>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突发环境事件应急等级判定条件见表4.3-1。</w:t>
      </w:r>
    </w:p>
    <w:p>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表</w:t>
      </w:r>
      <w:r>
        <w:rPr>
          <w:rFonts w:hint="eastAsia" w:ascii="宋体" w:hAnsi="宋体" w:cs="宋体"/>
          <w:b/>
          <w:bCs/>
          <w:color w:val="000000" w:themeColor="text1"/>
          <w:sz w:val="24"/>
          <w:highlight w:val="none"/>
          <w:lang w:val="en-US" w:eastAsia="zh-CN"/>
          <w14:textFill>
            <w14:solidFill>
              <w14:schemeClr w14:val="tx1"/>
            </w14:solidFill>
          </w14:textFill>
        </w:rPr>
        <w:t>5</w:t>
      </w:r>
      <w:r>
        <w:rPr>
          <w:rFonts w:hint="eastAsia" w:ascii="宋体" w:hAnsi="宋体" w:cs="宋体"/>
          <w:b/>
          <w:bCs/>
          <w:color w:val="000000" w:themeColor="text1"/>
          <w:sz w:val="24"/>
          <w:highlight w:val="none"/>
          <w14:textFill>
            <w14:solidFill>
              <w14:schemeClr w14:val="tx1"/>
            </w14:solidFill>
          </w14:textFill>
        </w:rPr>
        <w:t>.3-1 突发环境事件应急等级判定条件</w:t>
      </w:r>
    </w:p>
    <w:tbl>
      <w:tblPr>
        <w:tblStyle w:val="48"/>
        <w:tblW w:w="9286"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501"/>
        <w:gridCol w:w="7785"/>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1501" w:type="dxa"/>
            <w:tcBorders>
              <w:tl2br w:val="nil"/>
              <w:tr2bl w:val="nil"/>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ascii="宋体" w:hAnsi="宋体" w:cs="宋体"/>
                <w:bCs/>
                <w:color w:val="000000" w:themeColor="text1"/>
                <w:sz w:val="18"/>
                <w:szCs w:val="18"/>
                <w:highlight w:val="none"/>
                <w14:textFill>
                  <w14:solidFill>
                    <w14:schemeClr w14:val="tx1"/>
                  </w14:solidFill>
                </w14:textFill>
              </w:rPr>
            </w:pPr>
            <w:r>
              <w:rPr>
                <w:rFonts w:hint="eastAsia" w:ascii="宋体" w:hAnsi="宋体" w:cs="宋体"/>
                <w:bCs/>
                <w:color w:val="000000" w:themeColor="text1"/>
                <w:sz w:val="18"/>
                <w:szCs w:val="18"/>
                <w:highlight w:val="none"/>
                <w14:textFill>
                  <w14:solidFill>
                    <w14:schemeClr w14:val="tx1"/>
                  </w14:solidFill>
                </w14:textFill>
              </w:rPr>
              <w:t>应急等级</w:t>
            </w:r>
          </w:p>
        </w:tc>
        <w:tc>
          <w:tcPr>
            <w:tcW w:w="7785" w:type="dxa"/>
            <w:tcBorders>
              <w:tl2br w:val="nil"/>
              <w:tr2bl w:val="nil"/>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ascii="宋体" w:hAnsi="宋体" w:cs="宋体"/>
                <w:bCs/>
                <w:color w:val="000000" w:themeColor="text1"/>
                <w:sz w:val="18"/>
                <w:szCs w:val="18"/>
                <w:highlight w:val="none"/>
                <w14:textFill>
                  <w14:solidFill>
                    <w14:schemeClr w14:val="tx1"/>
                  </w14:solidFill>
                </w14:textFill>
              </w:rPr>
            </w:pPr>
            <w:r>
              <w:rPr>
                <w:rFonts w:hint="eastAsia" w:ascii="宋体" w:hAnsi="宋体" w:cs="宋体"/>
                <w:bCs/>
                <w:color w:val="000000" w:themeColor="text1"/>
                <w:sz w:val="18"/>
                <w:szCs w:val="18"/>
                <w:highlight w:val="none"/>
                <w14:textFill>
                  <w14:solidFill>
                    <w14:schemeClr w14:val="tx1"/>
                  </w14:solidFill>
                </w14:textFill>
              </w:rPr>
              <w:t>判定条件</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1501" w:type="dxa"/>
            <w:tcBorders>
              <w:tl2br w:val="nil"/>
              <w:tr2bl w:val="nil"/>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ascii="宋体" w:hAnsi="宋体" w:cs="宋体"/>
                <w:bCs/>
                <w:color w:val="000000" w:themeColor="text1"/>
                <w:sz w:val="18"/>
                <w:szCs w:val="18"/>
                <w:highlight w:val="none"/>
                <w14:textFill>
                  <w14:solidFill>
                    <w14:schemeClr w14:val="tx1"/>
                  </w14:solidFill>
                </w14:textFill>
              </w:rPr>
            </w:pPr>
            <w:r>
              <w:rPr>
                <w:rFonts w:hint="eastAsia" w:ascii="宋体" w:hAnsi="宋体" w:cs="宋体"/>
                <w:bCs/>
                <w:color w:val="000000" w:themeColor="text1"/>
                <w:sz w:val="18"/>
                <w:szCs w:val="18"/>
                <w:highlight w:val="none"/>
                <w14:textFill>
                  <w14:solidFill>
                    <w14:schemeClr w14:val="tx1"/>
                  </w14:solidFill>
                </w14:textFill>
              </w:rPr>
              <w:t>一级</w:t>
            </w:r>
          </w:p>
          <w:p>
            <w:pPr>
              <w:keepNext w:val="0"/>
              <w:keepLines w:val="0"/>
              <w:suppressLineNumbers w:val="0"/>
              <w:adjustRightInd w:val="0"/>
              <w:snapToGrid w:val="0"/>
              <w:spacing w:before="0" w:beforeAutospacing="0" w:after="0" w:afterAutospacing="0" w:line="360" w:lineRule="auto"/>
              <w:ind w:left="0" w:right="0"/>
              <w:jc w:val="center"/>
              <w:rPr>
                <w:rFonts w:ascii="宋体" w:hAnsi="宋体" w:cs="宋体"/>
                <w:bCs/>
                <w:color w:val="000000" w:themeColor="text1"/>
                <w:sz w:val="18"/>
                <w:szCs w:val="18"/>
                <w:highlight w:val="none"/>
                <w14:textFill>
                  <w14:solidFill>
                    <w14:schemeClr w14:val="tx1"/>
                  </w14:solidFill>
                </w14:textFill>
              </w:rPr>
            </w:pPr>
          </w:p>
        </w:tc>
        <w:tc>
          <w:tcPr>
            <w:tcW w:w="7785" w:type="dxa"/>
            <w:tcBorders>
              <w:tl2br w:val="nil"/>
              <w:tr2bl w:val="nil"/>
            </w:tcBorders>
            <w:vAlign w:val="center"/>
          </w:tcPr>
          <w:p>
            <w:pPr>
              <w:keepNext w:val="0"/>
              <w:keepLines w:val="0"/>
              <w:numPr>
                <w:ilvl w:val="0"/>
                <w:numId w:val="9"/>
              </w:numPr>
              <w:suppressLineNumbers w:val="0"/>
              <w:adjustRightInd w:val="0"/>
              <w:snapToGrid w:val="0"/>
              <w:spacing w:before="0" w:beforeAutospacing="0" w:after="0" w:afterAutospacing="0" w:line="360" w:lineRule="auto"/>
              <w:ind w:right="0"/>
              <w:rPr>
                <w:rFonts w:ascii="宋体" w:hAnsi="宋体" w:cs="宋体"/>
                <w:bCs/>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大面积起火且火势已蔓延扩散，需要厂外救援人员；因火灾造成受伤人员3人以上，需外送医院治疗的；因火灾发生人员死亡的</w:t>
            </w:r>
          </w:p>
          <w:p>
            <w:pPr>
              <w:keepNext w:val="0"/>
              <w:keepLines w:val="0"/>
              <w:numPr>
                <w:ilvl w:val="0"/>
                <w:numId w:val="9"/>
              </w:numPr>
              <w:suppressLineNumbers w:val="0"/>
              <w:adjustRightInd w:val="0"/>
              <w:snapToGrid w:val="0"/>
              <w:spacing w:before="0" w:beforeAutospacing="0" w:after="0" w:afterAutospacing="0" w:line="360" w:lineRule="auto"/>
              <w:ind w:right="0"/>
              <w:rPr>
                <w:rFonts w:ascii="宋体" w:hAnsi="宋体" w:cs="宋体"/>
                <w:bCs/>
                <w:color w:val="000000" w:themeColor="text1"/>
                <w:sz w:val="18"/>
                <w:szCs w:val="18"/>
                <w:highlight w:val="none"/>
                <w14:textFill>
                  <w14:solidFill>
                    <w14:schemeClr w14:val="tx1"/>
                  </w14:solidFill>
                </w14:textFill>
              </w:rPr>
            </w:pPr>
            <w:r>
              <w:rPr>
                <w:rFonts w:hint="eastAsia" w:ascii="宋体" w:hAnsi="宋体" w:cs="宋体"/>
                <w:bCs/>
                <w:color w:val="000000" w:themeColor="text1"/>
                <w:sz w:val="18"/>
                <w:szCs w:val="18"/>
                <w:highlight w:val="none"/>
                <w14:textFill>
                  <w14:solidFill>
                    <w14:schemeClr w14:val="tx1"/>
                  </w14:solidFill>
                </w14:textFill>
              </w:rPr>
              <w:t>危险化学品大量泄漏，无法在企业内控制，生产中断，并有扩大倾向</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1501" w:type="dxa"/>
            <w:tcBorders>
              <w:tl2br w:val="nil"/>
              <w:tr2bl w:val="nil"/>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ascii="宋体" w:hAnsi="宋体" w:cs="宋体"/>
                <w:bCs/>
                <w:color w:val="000000" w:themeColor="text1"/>
                <w:sz w:val="18"/>
                <w:szCs w:val="18"/>
                <w:highlight w:val="none"/>
                <w14:textFill>
                  <w14:solidFill>
                    <w14:schemeClr w14:val="tx1"/>
                  </w14:solidFill>
                </w14:textFill>
              </w:rPr>
            </w:pPr>
            <w:r>
              <w:rPr>
                <w:rFonts w:hint="eastAsia" w:ascii="宋体" w:hAnsi="宋体" w:cs="宋体"/>
                <w:bCs/>
                <w:color w:val="000000" w:themeColor="text1"/>
                <w:sz w:val="18"/>
                <w:szCs w:val="18"/>
                <w:highlight w:val="none"/>
                <w14:textFill>
                  <w14:solidFill>
                    <w14:schemeClr w14:val="tx1"/>
                  </w14:solidFill>
                </w14:textFill>
              </w:rPr>
              <w:t>二级</w:t>
            </w:r>
          </w:p>
          <w:p>
            <w:pPr>
              <w:keepNext w:val="0"/>
              <w:keepLines w:val="0"/>
              <w:suppressLineNumbers w:val="0"/>
              <w:adjustRightInd w:val="0"/>
              <w:snapToGrid w:val="0"/>
              <w:spacing w:before="0" w:beforeAutospacing="0" w:after="0" w:afterAutospacing="0" w:line="360" w:lineRule="auto"/>
              <w:ind w:left="0" w:right="0"/>
              <w:jc w:val="center"/>
              <w:rPr>
                <w:rFonts w:ascii="宋体" w:hAnsi="宋体" w:cs="宋体"/>
                <w:bCs/>
                <w:color w:val="000000" w:themeColor="text1"/>
                <w:sz w:val="18"/>
                <w:szCs w:val="18"/>
                <w:highlight w:val="none"/>
                <w14:textFill>
                  <w14:solidFill>
                    <w14:schemeClr w14:val="tx1"/>
                  </w14:solidFill>
                </w14:textFill>
              </w:rPr>
            </w:pPr>
          </w:p>
        </w:tc>
        <w:tc>
          <w:tcPr>
            <w:tcW w:w="7785" w:type="dxa"/>
            <w:tcBorders>
              <w:tl2br w:val="nil"/>
              <w:tr2bl w:val="nil"/>
            </w:tcBorders>
            <w:vAlign w:val="center"/>
          </w:tcPr>
          <w:p>
            <w:pPr>
              <w:keepNext w:val="0"/>
              <w:keepLines w:val="0"/>
              <w:numPr>
                <w:ilvl w:val="0"/>
                <w:numId w:val="9"/>
              </w:numPr>
              <w:suppressLineNumbers w:val="0"/>
              <w:adjustRightInd w:val="0"/>
              <w:snapToGrid w:val="0"/>
              <w:spacing w:before="0" w:beforeAutospacing="0" w:after="0" w:afterAutospacing="0" w:line="360" w:lineRule="auto"/>
              <w:ind w:right="0"/>
              <w:rPr>
                <w:rFonts w:ascii="宋体" w:hAnsi="宋体" w:cs="宋体"/>
                <w:bCs/>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单一车间或设备起火，且所产生的烟和热在员工穿防护服的情况下，冒烟起火且初判可以在短时间（＜1h）内控制</w:t>
            </w:r>
          </w:p>
          <w:p>
            <w:pPr>
              <w:keepNext w:val="0"/>
              <w:keepLines w:val="0"/>
              <w:numPr>
                <w:ilvl w:val="0"/>
                <w:numId w:val="9"/>
              </w:numPr>
              <w:suppressLineNumbers w:val="0"/>
              <w:adjustRightInd w:val="0"/>
              <w:snapToGrid w:val="0"/>
              <w:spacing w:before="0" w:beforeAutospacing="0" w:after="0" w:afterAutospacing="0" w:line="360" w:lineRule="auto"/>
              <w:ind w:right="0"/>
              <w:rPr>
                <w:rFonts w:ascii="宋体" w:hAnsi="宋体" w:cs="宋体"/>
                <w:bCs/>
                <w:color w:val="000000" w:themeColor="text1"/>
                <w:sz w:val="18"/>
                <w:szCs w:val="18"/>
                <w:highlight w:val="none"/>
                <w14:textFill>
                  <w14:solidFill>
                    <w14:schemeClr w14:val="tx1"/>
                  </w14:solidFill>
                </w14:textFill>
              </w:rPr>
            </w:pPr>
            <w:r>
              <w:rPr>
                <w:rFonts w:hint="eastAsia" w:ascii="宋体" w:hAnsi="宋体" w:cs="宋体"/>
                <w:bCs/>
                <w:color w:val="000000" w:themeColor="text1"/>
                <w:sz w:val="18"/>
                <w:szCs w:val="18"/>
                <w:highlight w:val="none"/>
                <w14:textFill>
                  <w14:solidFill>
                    <w14:schemeClr w14:val="tx1"/>
                  </w14:solidFill>
                </w14:textFill>
              </w:rPr>
              <w:t>危险化学品大量泄漏，造成生产中断，但1h内可有效控制泄漏源</w:t>
            </w:r>
          </w:p>
          <w:p>
            <w:pPr>
              <w:keepNext w:val="0"/>
              <w:keepLines w:val="0"/>
              <w:numPr>
                <w:ilvl w:val="0"/>
                <w:numId w:val="9"/>
              </w:numPr>
              <w:suppressLineNumbers w:val="0"/>
              <w:adjustRightInd w:val="0"/>
              <w:snapToGrid w:val="0"/>
              <w:spacing w:before="0" w:beforeAutospacing="0" w:after="0" w:afterAutospacing="0" w:line="360" w:lineRule="auto"/>
              <w:ind w:right="0"/>
              <w:rPr>
                <w:rFonts w:ascii="宋体" w:hAnsi="宋体" w:cs="宋体"/>
                <w:bCs/>
                <w:color w:val="000000" w:themeColor="text1"/>
                <w:sz w:val="18"/>
                <w:szCs w:val="18"/>
                <w:highlight w:val="none"/>
                <w14:textFill>
                  <w14:solidFill>
                    <w14:schemeClr w14:val="tx1"/>
                  </w14:solidFill>
                </w14:textFill>
              </w:rPr>
            </w:pPr>
            <w:r>
              <w:rPr>
                <w:rFonts w:hint="eastAsia" w:ascii="宋体" w:hAnsi="宋体" w:cs="宋体"/>
                <w:bCs/>
                <w:color w:val="000000" w:themeColor="text1"/>
                <w:sz w:val="18"/>
                <w:szCs w:val="18"/>
                <w:highlight w:val="none"/>
                <w14:textFill>
                  <w14:solidFill>
                    <w14:schemeClr w14:val="tx1"/>
                  </w14:solidFill>
                </w14:textFill>
              </w:rPr>
              <w:t>废水或废气治理设施非正常运行，无法在企业内控制，且造成大量废水或废气超标排放</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1501" w:type="dxa"/>
            <w:tcBorders>
              <w:tl2br w:val="nil"/>
              <w:tr2bl w:val="nil"/>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ascii="宋体" w:hAnsi="宋体" w:cs="宋体"/>
                <w:bCs/>
                <w:color w:val="000000" w:themeColor="text1"/>
                <w:sz w:val="18"/>
                <w:szCs w:val="18"/>
                <w:highlight w:val="none"/>
                <w14:textFill>
                  <w14:solidFill>
                    <w14:schemeClr w14:val="tx1"/>
                  </w14:solidFill>
                </w14:textFill>
              </w:rPr>
            </w:pPr>
            <w:r>
              <w:rPr>
                <w:rFonts w:hint="eastAsia" w:ascii="宋体" w:hAnsi="宋体" w:cs="宋体"/>
                <w:bCs/>
                <w:color w:val="000000" w:themeColor="text1"/>
                <w:sz w:val="18"/>
                <w:szCs w:val="18"/>
                <w:highlight w:val="none"/>
                <w14:textFill>
                  <w14:solidFill>
                    <w14:schemeClr w14:val="tx1"/>
                  </w14:solidFill>
                </w14:textFill>
              </w:rPr>
              <w:t>三级</w:t>
            </w:r>
          </w:p>
          <w:p>
            <w:pPr>
              <w:keepNext w:val="0"/>
              <w:keepLines w:val="0"/>
              <w:suppressLineNumbers w:val="0"/>
              <w:adjustRightInd w:val="0"/>
              <w:snapToGrid w:val="0"/>
              <w:spacing w:before="0" w:beforeAutospacing="0" w:after="0" w:afterAutospacing="0" w:line="360" w:lineRule="auto"/>
              <w:ind w:left="0" w:right="0"/>
              <w:jc w:val="center"/>
              <w:rPr>
                <w:rFonts w:ascii="宋体" w:hAnsi="宋体" w:cs="宋体"/>
                <w:bCs/>
                <w:color w:val="000000" w:themeColor="text1"/>
                <w:sz w:val="18"/>
                <w:szCs w:val="18"/>
                <w:highlight w:val="none"/>
                <w14:textFill>
                  <w14:solidFill>
                    <w14:schemeClr w14:val="tx1"/>
                  </w14:solidFill>
                </w14:textFill>
              </w:rPr>
            </w:pPr>
          </w:p>
        </w:tc>
        <w:tc>
          <w:tcPr>
            <w:tcW w:w="7785" w:type="dxa"/>
            <w:tcBorders>
              <w:tl2br w:val="nil"/>
              <w:tr2bl w:val="nil"/>
            </w:tcBorders>
            <w:vAlign w:val="center"/>
          </w:tcPr>
          <w:p>
            <w:pPr>
              <w:keepNext w:val="0"/>
              <w:keepLines w:val="0"/>
              <w:numPr>
                <w:ilvl w:val="0"/>
                <w:numId w:val="9"/>
              </w:numPr>
              <w:suppressLineNumbers w:val="0"/>
              <w:adjustRightInd w:val="0"/>
              <w:snapToGrid w:val="0"/>
              <w:spacing w:before="0" w:beforeAutospacing="0" w:after="0" w:afterAutospacing="0" w:line="360" w:lineRule="auto"/>
              <w:ind w:right="0"/>
              <w:rPr>
                <w:rFonts w:ascii="宋体" w:hAnsi="宋体" w:cs="宋体"/>
                <w:bCs/>
                <w:color w:val="000000" w:themeColor="text1"/>
                <w:sz w:val="18"/>
                <w:szCs w:val="18"/>
                <w:highlight w:val="none"/>
                <w14:textFill>
                  <w14:solidFill>
                    <w14:schemeClr w14:val="tx1"/>
                  </w14:solidFill>
                </w14:textFill>
              </w:rPr>
            </w:pPr>
            <w:r>
              <w:rPr>
                <w:rFonts w:hint="eastAsia" w:ascii="宋体" w:hAnsi="宋体" w:cs="宋体"/>
                <w:bCs/>
                <w:color w:val="000000" w:themeColor="text1"/>
                <w:sz w:val="18"/>
                <w:szCs w:val="18"/>
                <w:highlight w:val="none"/>
                <w14:textFill>
                  <w14:solidFill>
                    <w14:schemeClr w14:val="tx1"/>
                  </w14:solidFill>
                </w14:textFill>
              </w:rPr>
              <w:t>单一车间或设备冒烟起火，且产生的烟和热，应急人员在未穿防护服情况下，可在短时间（&lt; 5min）内控制</w:t>
            </w:r>
          </w:p>
          <w:p>
            <w:pPr>
              <w:keepNext w:val="0"/>
              <w:keepLines w:val="0"/>
              <w:numPr>
                <w:ilvl w:val="0"/>
                <w:numId w:val="9"/>
              </w:numPr>
              <w:suppressLineNumbers w:val="0"/>
              <w:adjustRightInd w:val="0"/>
              <w:snapToGrid w:val="0"/>
              <w:spacing w:before="0" w:beforeAutospacing="0" w:after="0" w:afterAutospacing="0" w:line="360" w:lineRule="auto"/>
              <w:ind w:right="0"/>
              <w:rPr>
                <w:rFonts w:ascii="宋体" w:hAnsi="宋体" w:cs="宋体"/>
                <w:bCs/>
                <w:color w:val="000000" w:themeColor="text1"/>
                <w:sz w:val="18"/>
                <w:szCs w:val="18"/>
                <w:highlight w:val="none"/>
                <w14:textFill>
                  <w14:solidFill>
                    <w14:schemeClr w14:val="tx1"/>
                  </w14:solidFill>
                </w14:textFill>
              </w:rPr>
            </w:pPr>
            <w:r>
              <w:rPr>
                <w:rFonts w:hint="eastAsia" w:ascii="宋体" w:hAnsi="宋体" w:cs="宋体"/>
                <w:bCs/>
                <w:color w:val="000000" w:themeColor="text1"/>
                <w:sz w:val="18"/>
                <w:szCs w:val="18"/>
                <w:highlight w:val="none"/>
                <w14:textFill>
                  <w14:solidFill>
                    <w14:schemeClr w14:val="tx1"/>
                  </w14:solidFill>
                </w14:textFill>
              </w:rPr>
              <w:t>危险化学品少量泄漏或翻洒，未造成生产中断及人员受伤</w:t>
            </w:r>
          </w:p>
          <w:p>
            <w:pPr>
              <w:keepNext w:val="0"/>
              <w:keepLines w:val="0"/>
              <w:numPr>
                <w:ilvl w:val="0"/>
                <w:numId w:val="9"/>
              </w:numPr>
              <w:suppressLineNumbers w:val="0"/>
              <w:adjustRightInd w:val="0"/>
              <w:snapToGrid w:val="0"/>
              <w:spacing w:before="0" w:beforeAutospacing="0" w:after="0" w:afterAutospacing="0" w:line="360" w:lineRule="auto"/>
              <w:ind w:right="0"/>
              <w:rPr>
                <w:rFonts w:ascii="宋体" w:hAnsi="宋体" w:cs="宋体"/>
                <w:bCs/>
                <w:color w:val="000000" w:themeColor="text1"/>
                <w:sz w:val="18"/>
                <w:szCs w:val="18"/>
                <w:highlight w:val="none"/>
                <w14:textFill>
                  <w14:solidFill>
                    <w14:schemeClr w14:val="tx1"/>
                  </w14:solidFill>
                </w14:textFill>
              </w:rPr>
            </w:pPr>
            <w:r>
              <w:rPr>
                <w:rFonts w:hint="eastAsia" w:ascii="宋体" w:hAnsi="宋体" w:cs="宋体"/>
                <w:bCs/>
                <w:color w:val="000000" w:themeColor="text1"/>
                <w:sz w:val="18"/>
                <w:szCs w:val="18"/>
                <w:highlight w:val="none"/>
                <w14:textFill>
                  <w14:solidFill>
                    <w14:schemeClr w14:val="tx1"/>
                  </w14:solidFill>
                </w14:textFill>
              </w:rPr>
              <w:t>废水治理设施非正常运行，但启用事故应急池，12h内能恢复正常运行；废气治理设施非正常运行，12h内能恢复正常运行，不影响厂区外企业及敏感点</w:t>
            </w:r>
          </w:p>
        </w:tc>
      </w:tr>
    </w:tbl>
    <w:p>
      <w:pPr>
        <w:pStyle w:val="3"/>
        <w:rPr>
          <w:color w:val="000000" w:themeColor="text1"/>
          <w:highlight w:val="none"/>
          <w14:textFill>
            <w14:solidFill>
              <w14:schemeClr w14:val="tx1"/>
            </w14:solidFill>
          </w14:textFill>
        </w:rPr>
      </w:pPr>
      <w:bookmarkStart w:id="391" w:name="_Toc43202995"/>
      <w:bookmarkStart w:id="392" w:name="_Toc28714_WPSOffice_Level2"/>
      <w:bookmarkStart w:id="393" w:name="_Toc400_WPSOffice_Level2"/>
      <w:bookmarkStart w:id="394" w:name="_Toc28623"/>
      <w:bookmarkStart w:id="395" w:name="_Toc408503122"/>
      <w:bookmarkStart w:id="396" w:name="_Toc46857525"/>
      <w:bookmarkStart w:id="397" w:name="_Toc342328514"/>
      <w:bookmarkStart w:id="398" w:name="_Toc341884143"/>
      <w:bookmarkStart w:id="399" w:name="_Toc342165902"/>
      <w:bookmarkStart w:id="400" w:name="_Toc342216102"/>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.4信息报告与通报</w:t>
      </w:r>
      <w:bookmarkEnd w:id="391"/>
      <w:bookmarkEnd w:id="392"/>
      <w:bookmarkEnd w:id="393"/>
      <w:bookmarkEnd w:id="394"/>
      <w:bookmarkEnd w:id="395"/>
      <w:bookmarkEnd w:id="396"/>
    </w:p>
    <w:p>
      <w:pPr>
        <w:bidi w:val="0"/>
        <w:rPr>
          <w:rFonts w:hint="default"/>
          <w:b/>
          <w:bCs/>
          <w:color w:val="000000" w:themeColor="text1"/>
          <w:sz w:val="24"/>
          <w:szCs w:val="24"/>
          <w:highlight w:val="none"/>
          <w14:textFill>
            <w14:solidFill>
              <w14:schemeClr w14:val="tx1"/>
            </w14:solidFill>
          </w14:textFill>
        </w:rPr>
      </w:pPr>
      <w:bookmarkStart w:id="401" w:name="_Toc10277"/>
      <w:r>
        <w:rPr>
          <w:rFonts w:hint="eastAsia"/>
          <w:b/>
          <w:bCs/>
          <w:color w:val="000000" w:themeColor="text1"/>
          <w:sz w:val="24"/>
          <w:szCs w:val="24"/>
          <w:highlight w:val="none"/>
          <w:lang w:val="en-US" w:eastAsia="zh-CN"/>
          <w14:textFill>
            <w14:solidFill>
              <w14:schemeClr w14:val="tx1"/>
            </w14:solidFill>
          </w14:textFill>
        </w:rPr>
        <w:t>1、</w:t>
      </w:r>
      <w:r>
        <w:rPr>
          <w:rFonts w:hint="default"/>
          <w:b/>
          <w:bCs/>
          <w:color w:val="000000" w:themeColor="text1"/>
          <w:sz w:val="24"/>
          <w:szCs w:val="24"/>
          <w:highlight w:val="none"/>
          <w14:textFill>
            <w14:solidFill>
              <w14:schemeClr w14:val="tx1"/>
            </w14:solidFill>
          </w14:textFill>
        </w:rPr>
        <w:t>内部报告</w:t>
      </w:r>
      <w:bookmarkEnd w:id="401"/>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发生突发环境事件时，事件现场人员要立即向本部门领导报告，责任单位要立即向接警中心（值班室）报告，接警中心（值班室）及时报告应急救援指挥部，应急救援指挥部视情况决定是否启动突发环境事件应急预案。</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cs="Times New Roman"/>
          <w:b w:val="0"/>
          <w:bCs w:val="0"/>
          <w:color w:val="000000" w:themeColor="text1"/>
          <w:kern w:val="2"/>
          <w:sz w:val="24"/>
          <w:szCs w:val="24"/>
          <w:highlight w:val="none"/>
          <w:lang w:val="en-US" w:eastAsia="zh-CN" w:bidi="ar-SA"/>
          <w14:textFill>
            <w14:solidFill>
              <w14:schemeClr w14:val="tx1"/>
            </w14:solidFill>
          </w14:textFill>
        </w:rPr>
        <w:t>（1）</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报告程序</w:t>
      </w:r>
      <w:r>
        <w:rPr>
          <w:rFonts w:hint="default" w:ascii="Times New Roman" w:hAnsi="Times New Roman" w:cs="Times New Roman"/>
          <w:b w:val="0"/>
          <w:bCs w:val="0"/>
          <w:color w:val="000000" w:themeColor="text1"/>
          <w:kern w:val="2"/>
          <w:sz w:val="24"/>
          <w:szCs w:val="24"/>
          <w:highlight w:val="none"/>
          <w:lang w:val="en-US" w:eastAsia="zh-CN" w:bidi="ar-SA"/>
          <w14:textFill>
            <w14:solidFill>
              <w14:schemeClr w14:val="tx1"/>
            </w14:solidFill>
          </w14:textFill>
        </w:rPr>
        <w:t>如下：</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事件现场人员→责任单位领导→接警中心（值班室）→应急救援指挥部→ 启动突发环境事件应急预案。</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cs="Times New Roman"/>
          <w:b w:val="0"/>
          <w:bCs w:val="0"/>
          <w:color w:val="000000" w:themeColor="text1"/>
          <w:kern w:val="2"/>
          <w:sz w:val="24"/>
          <w:szCs w:val="24"/>
          <w:highlight w:val="none"/>
          <w:lang w:val="en-US" w:eastAsia="zh-CN" w:bidi="ar-SA"/>
          <w14:textFill>
            <w14:solidFill>
              <w14:schemeClr w14:val="tx1"/>
            </w14:solidFill>
          </w14:textFill>
        </w:rPr>
        <w:t>（2）</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报告内容</w:t>
      </w:r>
      <w:r>
        <w:rPr>
          <w:rFonts w:hint="default" w:ascii="Times New Roman" w:hAnsi="Times New Roman" w:cs="Times New Roman"/>
          <w:b w:val="0"/>
          <w:bCs w:val="0"/>
          <w:color w:val="000000" w:themeColor="text1"/>
          <w:kern w:val="2"/>
          <w:sz w:val="24"/>
          <w:szCs w:val="24"/>
          <w:highlight w:val="none"/>
          <w:lang w:val="en-US" w:eastAsia="zh-CN" w:bidi="ar-SA"/>
          <w14:textFill>
            <w14:solidFill>
              <w14:schemeClr w14:val="tx1"/>
            </w14:solidFill>
          </w14:textFill>
        </w:rPr>
        <w:t>如下：</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报告内容包括发生的环境事件类型、地点、人员情况及事件原因初步判断等。</w:t>
      </w:r>
    </w:p>
    <w:p>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360" w:lineRule="auto"/>
        <w:ind w:leftChars="200" w:right="0" w:rightChars="0"/>
        <w:jc w:val="both"/>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cs="Times New Roman"/>
          <w:b w:val="0"/>
          <w:bCs w:val="0"/>
          <w:color w:val="000000" w:themeColor="text1"/>
          <w:kern w:val="2"/>
          <w:sz w:val="24"/>
          <w:szCs w:val="24"/>
          <w:highlight w:val="none"/>
          <w:lang w:val="en-US" w:eastAsia="zh-CN" w:bidi="ar-SA"/>
          <w14:textFill>
            <w14:solidFill>
              <w14:schemeClr w14:val="tx1"/>
            </w14:solidFill>
          </w14:textFill>
        </w:rPr>
        <w:t>（3）</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 xml:space="preserve">接警中心 </w:t>
      </w:r>
    </w:p>
    <w:p>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24 小时值班电话：18679550212（24 小时）</w:t>
      </w:r>
    </w:p>
    <w:p>
      <w:pPr>
        <w:bidi w:val="0"/>
        <w:rPr>
          <w:rFonts w:hint="default"/>
          <w:b/>
          <w:bCs/>
          <w:color w:val="000000" w:themeColor="text1"/>
          <w:sz w:val="24"/>
          <w:szCs w:val="24"/>
          <w:highlight w:val="none"/>
          <w:lang w:val="en-US" w:eastAsia="zh-CN"/>
          <w14:textFill>
            <w14:solidFill>
              <w14:schemeClr w14:val="tx1"/>
            </w14:solidFill>
          </w14:textFill>
        </w:rPr>
      </w:pPr>
      <w:bookmarkStart w:id="402" w:name="_Toc30210"/>
      <w:r>
        <w:rPr>
          <w:rFonts w:hint="eastAsia"/>
          <w:b/>
          <w:bCs/>
          <w:color w:val="000000" w:themeColor="text1"/>
          <w:sz w:val="24"/>
          <w:szCs w:val="24"/>
          <w:highlight w:val="none"/>
          <w:lang w:val="en-US" w:eastAsia="zh-CN"/>
          <w14:textFill>
            <w14:solidFill>
              <w14:schemeClr w14:val="tx1"/>
            </w14:solidFill>
          </w14:textFill>
        </w:rPr>
        <w:t>2、</w:t>
      </w:r>
      <w:r>
        <w:rPr>
          <w:rFonts w:hint="default"/>
          <w:b/>
          <w:bCs/>
          <w:color w:val="000000" w:themeColor="text1"/>
          <w:sz w:val="24"/>
          <w:szCs w:val="24"/>
          <w:highlight w:val="none"/>
          <w:lang w:val="en-US" w:eastAsia="zh-CN"/>
          <w14:textFill>
            <w14:solidFill>
              <w14:schemeClr w14:val="tx1"/>
            </w14:solidFill>
          </w14:textFill>
        </w:rPr>
        <w:t>外部报告</w:t>
      </w:r>
      <w:bookmarkEnd w:id="402"/>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当突发环境事件发生后，可能对外环境造成影响时，应急救援指挥部必须立即向可能受影响的区域进行通报，并在发生事件后 1 小时内上报</w:t>
      </w:r>
      <w:r>
        <w:rPr>
          <w:rFonts w:hint="eastAsia" w:cs="Times New Roman"/>
          <w:b w:val="0"/>
          <w:bCs w:val="0"/>
          <w:color w:val="000000" w:themeColor="text1"/>
          <w:kern w:val="2"/>
          <w:sz w:val="24"/>
          <w:szCs w:val="24"/>
          <w:highlight w:val="none"/>
          <w:lang w:val="en-US" w:eastAsia="zh-CN" w:bidi="ar-SA"/>
          <w14:textFill>
            <w14:solidFill>
              <w14:schemeClr w14:val="tx1"/>
            </w14:solidFill>
          </w14:textFill>
        </w:rPr>
        <w:t>宜春经济技术开发区</w:t>
      </w:r>
      <w:r>
        <w:rPr>
          <w:rFonts w:hint="eastAsia" w:ascii="Times New Roman" w:hAnsi="Times New Roman" w:cs="Times New Roman"/>
          <w:b w:val="0"/>
          <w:bCs w:val="0"/>
          <w:color w:val="000000" w:themeColor="text1"/>
          <w:kern w:val="2"/>
          <w:sz w:val="24"/>
          <w:szCs w:val="24"/>
          <w:highlight w:val="none"/>
          <w:lang w:val="en-US" w:eastAsia="zh-CN" w:bidi="ar-SA"/>
          <w14:textFill>
            <w14:solidFill>
              <w14:schemeClr w14:val="tx1"/>
            </w14:solidFill>
          </w14:textFill>
        </w:rPr>
        <w:t>应急管理局</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w:t>
      </w:r>
      <w:r>
        <w:rPr>
          <w:rFonts w:hint="eastAsia" w:ascii="Times New Roman" w:hAnsi="Times New Roman" w:cs="Times New Roman"/>
          <w:b w:val="0"/>
          <w:bCs w:val="0"/>
          <w:color w:val="000000" w:themeColor="text1"/>
          <w:kern w:val="2"/>
          <w:sz w:val="24"/>
          <w:szCs w:val="24"/>
          <w:highlight w:val="none"/>
          <w:lang w:val="en-US" w:eastAsia="zh-CN" w:bidi="ar-SA"/>
          <w14:textFill>
            <w14:solidFill>
              <w14:schemeClr w14:val="tx1"/>
            </w14:solidFill>
          </w14:textFill>
        </w:rPr>
        <w:t>宜春市生态环境局宜春经济技术开发区分局</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w:t>
      </w:r>
      <w:bookmarkStart w:id="403" w:name="_Toc3277"/>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right="0"/>
        <w:jc w:val="both"/>
        <w:textAlignment w:val="auto"/>
        <w:rPr>
          <w:rFonts w:hint="default"/>
          <w:b/>
          <w:bCs/>
          <w:color w:val="000000" w:themeColor="text1"/>
          <w:sz w:val="24"/>
          <w:szCs w:val="24"/>
          <w:highlight w:val="none"/>
          <w:lang w:val="en-US" w:eastAsia="zh-CN"/>
          <w14:textFill>
            <w14:solidFill>
              <w14:schemeClr w14:val="tx1"/>
            </w14:solidFill>
          </w14:textFill>
        </w:rPr>
      </w:pPr>
      <w:r>
        <w:rPr>
          <w:rFonts w:hint="eastAsia" w:cs="Times New Roman"/>
          <w:b/>
          <w:bCs/>
          <w:color w:val="000000" w:themeColor="text1"/>
          <w:kern w:val="2"/>
          <w:sz w:val="24"/>
          <w:szCs w:val="24"/>
          <w:highlight w:val="none"/>
          <w:lang w:val="en-US" w:eastAsia="zh-CN" w:bidi="ar-SA"/>
          <w14:textFill>
            <w14:solidFill>
              <w14:schemeClr w14:val="tx1"/>
            </w14:solidFill>
          </w14:textFill>
        </w:rPr>
        <w:t>3、</w:t>
      </w:r>
      <w:r>
        <w:rPr>
          <w:rFonts w:hint="default"/>
          <w:b/>
          <w:bCs/>
          <w:color w:val="000000" w:themeColor="text1"/>
          <w:sz w:val="24"/>
          <w:szCs w:val="24"/>
          <w:highlight w:val="none"/>
          <w:lang w:val="en-US" w:eastAsia="zh-CN"/>
          <w14:textFill>
            <w14:solidFill>
              <w14:schemeClr w14:val="tx1"/>
            </w14:solidFill>
          </w14:textFill>
        </w:rPr>
        <w:t>报告内容</w:t>
      </w:r>
      <w:bookmarkEnd w:id="403"/>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突发环境事件的报告分为初报（或速报）、续报和处理结果报告三类。</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初报（或速报）从发生事件后 1h 内上报，为了保证上报的时限，采用电话等现代化通讯手段，必要时要安排人员直接报告。</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应急救援指挥部向</w:t>
      </w:r>
      <w:r>
        <w:rPr>
          <w:rFonts w:hint="eastAsia" w:cs="Times New Roman"/>
          <w:b w:val="0"/>
          <w:bCs w:val="0"/>
          <w:color w:val="000000" w:themeColor="text1"/>
          <w:kern w:val="2"/>
          <w:sz w:val="24"/>
          <w:szCs w:val="24"/>
          <w:highlight w:val="none"/>
          <w:lang w:val="en-US" w:eastAsia="zh-CN" w:bidi="ar-SA"/>
          <w14:textFill>
            <w14:solidFill>
              <w14:schemeClr w14:val="tx1"/>
            </w14:solidFill>
          </w14:textFill>
        </w:rPr>
        <w:t>宜春经济技术开发区</w:t>
      </w:r>
      <w:r>
        <w:rPr>
          <w:rFonts w:hint="eastAsia" w:ascii="Times New Roman" w:hAnsi="Times New Roman" w:cs="Times New Roman"/>
          <w:b w:val="0"/>
          <w:bCs w:val="0"/>
          <w:color w:val="000000" w:themeColor="text1"/>
          <w:kern w:val="2"/>
          <w:sz w:val="24"/>
          <w:szCs w:val="24"/>
          <w:highlight w:val="none"/>
          <w:lang w:val="en-US" w:eastAsia="zh-CN" w:bidi="ar-SA"/>
          <w14:textFill>
            <w14:solidFill>
              <w14:schemeClr w14:val="tx1"/>
            </w14:solidFill>
          </w14:textFill>
        </w:rPr>
        <w:t>应急管理局</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及</w:t>
      </w:r>
      <w:r>
        <w:rPr>
          <w:rFonts w:hint="eastAsia" w:ascii="Times New Roman" w:hAnsi="Times New Roman" w:cs="Times New Roman"/>
          <w:b w:val="0"/>
          <w:bCs w:val="0"/>
          <w:color w:val="000000" w:themeColor="text1"/>
          <w:kern w:val="2"/>
          <w:sz w:val="24"/>
          <w:szCs w:val="24"/>
          <w:highlight w:val="none"/>
          <w:lang w:val="en-US" w:eastAsia="zh-CN" w:bidi="ar-SA"/>
          <w14:textFill>
            <w14:solidFill>
              <w14:schemeClr w14:val="tx1"/>
            </w14:solidFill>
          </w14:textFill>
        </w:rPr>
        <w:t>宜春市生态环境局宜春经济技术开发区分局</w:t>
      </w: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报告环境污染事件时，主要内容包括：企业名称、详细地址、电话、环境事件类型、发生时间、地点、污染源、排放污染物的种类、主要污染物质、数量人员受害情况、已采取的应急措施、已污染的范围、潜在的危害程度、转化趋向、当地气象条件或水流情况、进一步处理措施和建议等。</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续报是在初报的基础上报告相关确切数据、事件发生的原因、过程及采取的应急措施等基本情况。续报可通过网络或书面报告，在初报的基础上报告有关确切数据，事件发生的原因过程、进展情况及采取的应急措施等基本情况。</w:t>
      </w:r>
    </w:p>
    <w:p>
      <w:pPr>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处理结果报告采取书面报告，是在事件处理完毕后在确报的基础上，报告处理事件的措施、过程和结果，事件潜在或间接的危害、社会影响、处理后的遗留问题、参加处理工作的有关部门和工作内容，出具有关危害和损失的证明文件等详细情况。</w:t>
      </w:r>
    </w:p>
    <w:p>
      <w:pPr>
        <w:adjustRightInd w:val="0"/>
        <w:snapToGrid w:val="0"/>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t>处理结果报告在事件处理完毕后立即上报</w:t>
      </w:r>
      <w:r>
        <w:rPr>
          <w:rFonts w:hint="eastAsia" w:ascii="宋体" w:hAnsi="宋体" w:cs="宋体"/>
          <w:bCs/>
          <w:color w:val="000000" w:themeColor="text1"/>
          <w:sz w:val="24"/>
          <w:highlight w:val="none"/>
          <w14:textFill>
            <w14:solidFill>
              <w14:schemeClr w14:val="tx1"/>
            </w14:solidFill>
          </w14:textFill>
        </w:rPr>
        <w:t>。</w:t>
      </w:r>
    </w:p>
    <w:p>
      <w:pPr>
        <w:pStyle w:val="3"/>
        <w:rPr>
          <w:color w:val="000000" w:themeColor="text1"/>
          <w:highlight w:val="none"/>
          <w14:textFill>
            <w14:solidFill>
              <w14:schemeClr w14:val="tx1"/>
            </w14:solidFill>
          </w14:textFill>
        </w:rPr>
      </w:pPr>
      <w:bookmarkStart w:id="404" w:name="_Toc43202996"/>
      <w:bookmarkStart w:id="405" w:name="_Toc20242"/>
      <w:bookmarkStart w:id="406" w:name="_Toc9618_WPSOffice_Level2"/>
      <w:bookmarkStart w:id="407" w:name="_Toc408503123"/>
      <w:bookmarkStart w:id="408" w:name="_Toc21139_WPSOffice_Level2"/>
      <w:bookmarkStart w:id="409" w:name="_Toc46857526"/>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.5 应急准备</w:t>
      </w:r>
      <w:bookmarkEnd w:id="397"/>
      <w:bookmarkEnd w:id="398"/>
      <w:bookmarkEnd w:id="404"/>
      <w:bookmarkEnd w:id="405"/>
      <w:bookmarkEnd w:id="406"/>
      <w:bookmarkEnd w:id="407"/>
      <w:bookmarkEnd w:id="408"/>
      <w:bookmarkEnd w:id="409"/>
    </w:p>
    <w:p>
      <w:pPr>
        <w:adjustRightInd w:val="0"/>
        <w:snapToGrid w:val="0"/>
        <w:spacing w:line="360" w:lineRule="auto"/>
        <w:ind w:firstLine="482"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1、命令启动</w:t>
      </w:r>
    </w:p>
    <w:p>
      <w:pPr>
        <w:adjustRightInd w:val="0"/>
        <w:snapToGrid w:val="0"/>
        <w:spacing w:line="360" w:lineRule="auto"/>
        <w:ind w:firstLine="480"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发现人员应迅速报告值班人员（必要时申请外部救助），同时采取措施控制事态扩大。应急指挥部根据事故严重程度，启动相应程序应急预案。</w:t>
      </w:r>
    </w:p>
    <w:p>
      <w:pPr>
        <w:adjustRightInd w:val="0"/>
        <w:snapToGrid w:val="0"/>
        <w:spacing w:line="360" w:lineRule="auto"/>
        <w:ind w:firstLine="482"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2、人员召集</w:t>
      </w:r>
    </w:p>
    <w:p>
      <w:pPr>
        <w:adjustRightInd w:val="0"/>
        <w:snapToGrid w:val="0"/>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相关应急小组成员保证通讯通畅，服从指挥部应急调配，确保应急有效性。</w:t>
      </w:r>
    </w:p>
    <w:p>
      <w:pPr>
        <w:adjustRightInd w:val="0"/>
        <w:snapToGrid w:val="0"/>
        <w:spacing w:line="360" w:lineRule="auto"/>
        <w:ind w:firstLine="482"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3、应急会议</w:t>
      </w:r>
    </w:p>
    <w:p>
      <w:pPr>
        <w:adjustRightInd w:val="0"/>
        <w:snapToGrid w:val="0"/>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发生事故后，由发现者报告应急指挥部。应急指挥部接到报警后，相关成员第一时间到达事故现场，根据实际情况依据应急预案演练方案进行抢险救援的具体工作。</w:t>
      </w:r>
    </w:p>
    <w:p>
      <w:pPr>
        <w:pStyle w:val="3"/>
        <w:rPr>
          <w:color w:val="000000" w:themeColor="text1"/>
          <w:highlight w:val="none"/>
          <w14:textFill>
            <w14:solidFill>
              <w14:schemeClr w14:val="tx1"/>
            </w14:solidFill>
          </w14:textFill>
        </w:rPr>
      </w:pPr>
      <w:bookmarkStart w:id="410" w:name="_Toc23239_WPSOffice_Level2"/>
      <w:bookmarkStart w:id="411" w:name="_Toc408503124"/>
      <w:bookmarkStart w:id="412" w:name="_Toc30662"/>
      <w:bookmarkStart w:id="413" w:name="_Toc337_WPSOffice_Level2"/>
      <w:bookmarkStart w:id="414" w:name="_Toc46857527"/>
      <w:bookmarkStart w:id="415" w:name="_Toc43202997"/>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.6 现场应急措施</w:t>
      </w:r>
      <w:bookmarkEnd w:id="399"/>
      <w:bookmarkEnd w:id="400"/>
      <w:bookmarkEnd w:id="410"/>
      <w:bookmarkEnd w:id="411"/>
      <w:bookmarkEnd w:id="412"/>
      <w:bookmarkEnd w:id="413"/>
      <w:bookmarkEnd w:id="414"/>
      <w:bookmarkEnd w:id="415"/>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当发生突发环境事件时需及时进行事故源控制及处理，应急人员需在第一时间赶赴现场应急。在应急过程中，应急人员须做好个人防护措施，并根据应急指挥组的应急指令开展相应的应急停车、灭火及堵漏等工作，迅速切断污染源。</w:t>
      </w:r>
    </w:p>
    <w:p>
      <w:pPr>
        <w:pStyle w:val="47"/>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现场应急处置卡如下：</w:t>
      </w:r>
    </w:p>
    <w:p>
      <w:pPr>
        <w:widowControl/>
        <w:jc w:val="left"/>
        <w:rPr>
          <w:color w:val="000000" w:themeColor="text1"/>
          <w:sz w:val="24"/>
          <w:highlight w:val="none"/>
          <w14:textFill>
            <w14:solidFill>
              <w14:schemeClr w14:val="tx1"/>
            </w14:solidFill>
          </w14:textFill>
        </w:rPr>
      </w:pPr>
      <w:r>
        <w:rPr>
          <w:color w:val="000000" w:themeColor="text1"/>
          <w:highlight w:val="none"/>
          <w14:textFill>
            <w14:solidFill>
              <w14:schemeClr w14:val="tx1"/>
            </w14:solidFill>
          </w14:textFill>
        </w:rPr>
        <w:br w:type="page"/>
      </w:r>
    </w:p>
    <w:p>
      <w:pPr>
        <w:pStyle w:val="47"/>
        <w:ind w:firstLine="482"/>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表</w:t>
      </w:r>
      <w:r>
        <w:rPr>
          <w:rFonts w:hint="eastAsia"/>
          <w:b/>
          <w:color w:val="000000" w:themeColor="text1"/>
          <w:highlight w:val="none"/>
          <w:lang w:val="en-US" w:eastAsia="zh-CN"/>
          <w14:textFill>
            <w14:solidFill>
              <w14:schemeClr w14:val="tx1"/>
            </w14:solidFill>
          </w14:textFill>
        </w:rPr>
        <w:t>5</w:t>
      </w:r>
      <w:r>
        <w:rPr>
          <w:b/>
          <w:color w:val="000000" w:themeColor="text1"/>
          <w:highlight w:val="none"/>
          <w14:textFill>
            <w14:solidFill>
              <w14:schemeClr w14:val="tx1"/>
            </w14:solidFill>
          </w14:textFill>
        </w:rPr>
        <w:t xml:space="preserve">.6-1 </w:t>
      </w:r>
      <w:r>
        <w:rPr>
          <w:rFonts w:hint="eastAsia"/>
          <w:b/>
          <w:color w:val="000000" w:themeColor="text1"/>
          <w:highlight w:val="none"/>
          <w14:textFill>
            <w14:solidFill>
              <w14:schemeClr w14:val="tx1"/>
            </w14:solidFill>
          </w14:textFill>
        </w:rPr>
        <w:t>废气非正常排放应急处置卡</w:t>
      </w:r>
    </w:p>
    <w:tbl>
      <w:tblPr>
        <w:tblStyle w:val="49"/>
        <w:tblW w:w="0" w:type="auto"/>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951"/>
        <w:gridCol w:w="7335"/>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事故类型</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1.涉及的风险物质：含锡废气、TVOC</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2.事故可能发生的地点：生产车间</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3.事故类型：废气非正常排放</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应急预警与相应程序</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1.发生事故后，根据事故现场情况，现场人员应立即自救或疏散撤离</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2.根据公司成立的现场应急处置小组根据实际情况进行应急处置，并根据事故的大小分级及发展态势向应急办公室、应急领导小组报告，根据事故情况启动相应的应急响应，并根据实际情况及时向</w:t>
            </w:r>
            <w:r>
              <w:rPr>
                <w:rFonts w:hint="eastAsia" w:ascii="宋体" w:hAnsi="宋体"/>
                <w:color w:val="000000" w:themeColor="text1"/>
                <w:sz w:val="21"/>
                <w:szCs w:val="21"/>
                <w:highlight w:val="none"/>
                <w:lang w:eastAsia="zh-CN"/>
                <w14:textFill>
                  <w14:solidFill>
                    <w14:schemeClr w14:val="tx1"/>
                  </w14:solidFill>
                </w14:textFill>
              </w:rPr>
              <w:t>宜春经济技术开发区管委会</w:t>
            </w:r>
            <w:r>
              <w:rPr>
                <w:rFonts w:hint="eastAsia"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lang w:eastAsia="zh-CN"/>
                <w14:textFill>
                  <w14:solidFill>
                    <w14:schemeClr w14:val="tx1"/>
                  </w14:solidFill>
                </w14:textFill>
              </w:rPr>
              <w:t>宜春市生态环境局宜春经济技术开发区分局</w:t>
            </w:r>
            <w:r>
              <w:rPr>
                <w:rFonts w:hint="eastAsia" w:ascii="宋体" w:hAnsi="宋体"/>
                <w:color w:val="000000" w:themeColor="text1"/>
                <w:sz w:val="21"/>
                <w:szCs w:val="21"/>
                <w:highlight w:val="none"/>
                <w14:textFill>
                  <w14:solidFill>
                    <w14:schemeClr w14:val="tx1"/>
                  </w14:solidFill>
                </w14:textFill>
              </w:rPr>
              <w:t>等应急办报告</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3.及时请求外部支援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应急报告</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报告内容：事件类型、地点、时间、性质、周边环境等基本情况</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向公司领导报告，相关部门的领导联系方式：</w:t>
            </w:r>
          </w:p>
          <w:p>
            <w:pPr>
              <w:pStyle w:val="47"/>
              <w:keepNext w:val="0"/>
              <w:keepLines w:val="0"/>
              <w:suppressLineNumbers w:val="0"/>
              <w:spacing w:before="0" w:beforeAutospacing="0" w:afterAutospacing="0"/>
              <w:ind w:right="0" w:firstLine="0" w:firstLineChars="0"/>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总指挥</w:t>
            </w:r>
            <w:r>
              <w:rPr>
                <w:rFonts w:hint="default" w:ascii="Times New Roman" w:hAnsi="Times New Roman" w:cs="Times New Roman"/>
                <w:color w:val="000000" w:themeColor="text1"/>
                <w:sz w:val="21"/>
                <w:szCs w:val="21"/>
                <w:highlight w:val="none"/>
                <w14:textFill>
                  <w14:solidFill>
                    <w14:schemeClr w14:val="tx1"/>
                  </w14:solidFill>
                </w14:textFill>
              </w:rPr>
              <w:t>：</w:t>
            </w:r>
            <w:r>
              <w:rPr>
                <w:rFonts w:hint="default" w:ascii="Times New Roman" w:hAnsi="Times New Roman" w:cs="Times New Roman"/>
                <w:color w:val="000000" w:themeColor="text1"/>
                <w:sz w:val="21"/>
                <w:szCs w:val="21"/>
                <w:highlight w:val="none"/>
                <w:lang w:eastAsia="zh-CN"/>
                <w14:textFill>
                  <w14:solidFill>
                    <w14:schemeClr w14:val="tx1"/>
                  </w14:solidFill>
                </w14:textFill>
              </w:rPr>
              <w:t>15818861027</w:t>
            </w:r>
          </w:p>
          <w:p>
            <w:pPr>
              <w:pStyle w:val="47"/>
              <w:keepNext w:val="0"/>
              <w:keepLines w:val="0"/>
              <w:suppressLineNumbers w:val="0"/>
              <w:spacing w:before="0" w:beforeAutospacing="0" w:afterAutospacing="0"/>
              <w:ind w:right="0" w:firstLine="0" w:firstLineChars="0"/>
              <w:rPr>
                <w:rFonts w:hint="default"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副总指挥：</w:t>
            </w:r>
            <w:r>
              <w:rPr>
                <w:rFonts w:hint="default" w:ascii="Times New Roman" w:hAnsi="Times New Roman" w:cs="Times New Roman"/>
                <w:color w:val="000000" w:themeColor="text1"/>
                <w:sz w:val="21"/>
                <w:szCs w:val="21"/>
                <w:highlight w:val="none"/>
                <w:lang w:eastAsia="zh-CN"/>
                <w14:textFill>
                  <w14:solidFill>
                    <w14:schemeClr w14:val="tx1"/>
                  </w14:solidFill>
                </w14:textFill>
              </w:rPr>
              <w:t>13421345129</w:t>
            </w:r>
          </w:p>
          <w:p>
            <w:pPr>
              <w:pStyle w:val="47"/>
              <w:keepNext w:val="0"/>
              <w:keepLines w:val="0"/>
              <w:suppressLineNumbers w:val="0"/>
              <w:spacing w:before="0" w:beforeAutospacing="0" w:afterAutospacing="0"/>
              <w:ind w:right="0" w:firstLine="0" w:firstLineChars="0"/>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宜春市宜春市生态环境局宜春经济技术开发区分局</w:t>
            </w:r>
            <w:r>
              <w:rPr>
                <w:rFonts w:hint="eastAsia"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lang w:eastAsia="zh-CN"/>
                <w14:textFill>
                  <w14:solidFill>
                    <w14:schemeClr w14:val="tx1"/>
                  </w14:solidFill>
                </w14:textFill>
              </w:rPr>
              <w:t>0795-3653639</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应急负责人</w:t>
            </w:r>
          </w:p>
        </w:tc>
        <w:tc>
          <w:tcPr>
            <w:tcW w:w="7335" w:type="dxa"/>
          </w:tcPr>
          <w:p>
            <w:pPr>
              <w:pStyle w:val="47"/>
              <w:keepNext w:val="0"/>
              <w:keepLines w:val="0"/>
              <w:suppressLineNumbers w:val="0"/>
              <w:spacing w:before="0" w:beforeAutospacing="0" w:afterAutospacing="0"/>
              <w:ind w:right="0" w:firstLine="0" w:firstLineChars="0"/>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总指挥：</w:t>
            </w:r>
            <w:r>
              <w:rPr>
                <w:rFonts w:hint="eastAsia" w:ascii="宋体" w:hAnsi="宋体"/>
                <w:color w:val="000000" w:themeColor="text1"/>
                <w:sz w:val="21"/>
                <w:szCs w:val="21"/>
                <w:highlight w:val="none"/>
                <w:lang w:val="en-US" w:eastAsia="zh-CN"/>
                <w14:textFill>
                  <w14:solidFill>
                    <w14:schemeClr w14:val="tx1"/>
                  </w14:solidFill>
                </w14:textFill>
              </w:rPr>
              <w:t>刘小勇</w:t>
            </w:r>
          </w:p>
          <w:p>
            <w:pPr>
              <w:pStyle w:val="47"/>
              <w:keepNext w:val="0"/>
              <w:keepLines w:val="0"/>
              <w:suppressLineNumbers w:val="0"/>
              <w:spacing w:before="0" w:beforeAutospacing="0" w:afterAutospacing="0"/>
              <w:ind w:right="0" w:firstLine="0" w:firstLineChars="0"/>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副总指挥：</w:t>
            </w:r>
            <w:r>
              <w:rPr>
                <w:rFonts w:hint="eastAsia" w:ascii="宋体" w:hAnsi="宋体"/>
                <w:color w:val="000000" w:themeColor="text1"/>
                <w:sz w:val="21"/>
                <w:szCs w:val="21"/>
                <w:highlight w:val="none"/>
                <w:lang w:eastAsia="zh-CN"/>
                <w14:textFill>
                  <w14:solidFill>
                    <w14:schemeClr w14:val="tx1"/>
                  </w14:solidFill>
                </w14:textFill>
              </w:rPr>
              <w:t>甘月军</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应急物资与装备</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防护口罩等</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疏散与撤离</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不需疏散和撤离</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应急处置措施</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ascii="宋体" w:hAnsi="宋体" w:cs="宋体"/>
                <w:color w:val="000000" w:themeColor="text1"/>
                <w:kern w:val="0"/>
                <w:sz w:val="21"/>
                <w:szCs w:val="21"/>
                <w:highlight w:val="none"/>
                <w14:textFill>
                  <w14:solidFill>
                    <w14:schemeClr w14:val="tx1"/>
                  </w14:solidFill>
                </w14:textFill>
              </w:rPr>
              <w:t>1、停止生产：2、</w:t>
            </w:r>
            <w:r>
              <w:rPr>
                <w:rFonts w:hint="eastAsia" w:ascii="宋体" w:hAnsi="宋体" w:cs="宋体"/>
                <w:color w:val="000000" w:themeColor="text1"/>
                <w:kern w:val="0"/>
                <w:sz w:val="21"/>
                <w:szCs w:val="21"/>
                <w:highlight w:val="none"/>
                <w14:textFill>
                  <w14:solidFill>
                    <w14:schemeClr w14:val="tx1"/>
                  </w14:solidFill>
                </w14:textFill>
              </w:rPr>
              <w:t>维修废气处理设施</w:t>
            </w:r>
            <w:r>
              <w:rPr>
                <w:rFonts w:ascii="宋体" w:hAnsi="宋体" w:cs="宋体"/>
                <w:color w:val="000000" w:themeColor="text1"/>
                <w:kern w:val="0"/>
                <w:sz w:val="21"/>
                <w:szCs w:val="21"/>
                <w:highlight w:val="none"/>
                <w14:textFill>
                  <w14:solidFill>
                    <w14:schemeClr w14:val="tx1"/>
                  </w14:solidFill>
                </w14:textFill>
              </w:rPr>
              <w:t>：3、加强通风：4、个体防护（如佩戴防尘口罩）。</w:t>
            </w:r>
          </w:p>
        </w:tc>
      </w:tr>
    </w:tbl>
    <w:p>
      <w:pPr>
        <w:pStyle w:val="47"/>
        <w:ind w:firstLine="482"/>
        <w:jc w:val="center"/>
        <w:rPr>
          <w:b/>
          <w:color w:val="000000" w:themeColor="text1"/>
          <w:highlight w:val="none"/>
          <w14:textFill>
            <w14:solidFill>
              <w14:schemeClr w14:val="tx1"/>
            </w14:solidFill>
          </w14:textFill>
        </w:rPr>
      </w:pPr>
    </w:p>
    <w:p>
      <w:pPr>
        <w:pStyle w:val="47"/>
        <w:ind w:firstLine="482"/>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表</w:t>
      </w:r>
      <w:r>
        <w:rPr>
          <w:rFonts w:hint="eastAsia"/>
          <w:b/>
          <w:color w:val="000000" w:themeColor="text1"/>
          <w:highlight w:val="none"/>
          <w:lang w:val="en-US" w:eastAsia="zh-CN"/>
          <w14:textFill>
            <w14:solidFill>
              <w14:schemeClr w14:val="tx1"/>
            </w14:solidFill>
          </w14:textFill>
        </w:rPr>
        <w:t>5</w:t>
      </w:r>
      <w:r>
        <w:rPr>
          <w:b/>
          <w:color w:val="000000" w:themeColor="text1"/>
          <w:highlight w:val="none"/>
          <w14:textFill>
            <w14:solidFill>
              <w14:schemeClr w14:val="tx1"/>
            </w14:solidFill>
          </w14:textFill>
        </w:rPr>
        <w:t xml:space="preserve">.6-2 </w:t>
      </w:r>
      <w:r>
        <w:rPr>
          <w:rFonts w:hint="eastAsia"/>
          <w:b/>
          <w:color w:val="000000" w:themeColor="text1"/>
          <w:highlight w:val="none"/>
          <w14:textFill>
            <w14:solidFill>
              <w14:schemeClr w14:val="tx1"/>
            </w14:solidFill>
          </w14:textFill>
        </w:rPr>
        <w:t>废水泄露应急处置卡</w:t>
      </w:r>
    </w:p>
    <w:tbl>
      <w:tblPr>
        <w:tblStyle w:val="49"/>
        <w:tblW w:w="0" w:type="auto"/>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951"/>
        <w:gridCol w:w="7335"/>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事故类型</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1.涉及的风险物质：收集池废水</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2.事故可能发生的地点：废水处理站</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3.事故类型：事故排放废水超出接管标准、超出污水处理设施处理能力，对地表水造成不利</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应急预警与相应程序</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1.发生事故后，根据事故现场情况，现场人员应立即自救或疏散撤离</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2.根据公司成立的现场应急处置小组根据实际情况进行应急处置，并根据事故的大小分级及发展态势向应急办公室、应急领导小组报告，根据事故情况启动相应的应急响应，并根据实际情况及时向</w:t>
            </w:r>
            <w:r>
              <w:rPr>
                <w:rFonts w:hint="eastAsia" w:ascii="宋体" w:hAnsi="宋体"/>
                <w:color w:val="000000" w:themeColor="text1"/>
                <w:sz w:val="21"/>
                <w:szCs w:val="21"/>
                <w:highlight w:val="none"/>
                <w:lang w:eastAsia="zh-CN"/>
                <w14:textFill>
                  <w14:solidFill>
                    <w14:schemeClr w14:val="tx1"/>
                  </w14:solidFill>
                </w14:textFill>
              </w:rPr>
              <w:t>宜春经济技术开发区管委会</w:t>
            </w:r>
            <w:r>
              <w:rPr>
                <w:rFonts w:hint="eastAsia"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lang w:eastAsia="zh-CN"/>
                <w14:textFill>
                  <w14:solidFill>
                    <w14:schemeClr w14:val="tx1"/>
                  </w14:solidFill>
                </w14:textFill>
              </w:rPr>
              <w:t>宜春市生态环境局宜春经济技术开发区分局</w:t>
            </w:r>
            <w:r>
              <w:rPr>
                <w:rFonts w:hint="eastAsia" w:ascii="宋体" w:hAnsi="宋体"/>
                <w:color w:val="000000" w:themeColor="text1"/>
                <w:sz w:val="21"/>
                <w:szCs w:val="21"/>
                <w:highlight w:val="none"/>
                <w14:textFill>
                  <w14:solidFill>
                    <w14:schemeClr w14:val="tx1"/>
                  </w14:solidFill>
                </w14:textFill>
              </w:rPr>
              <w:t>等应急办报告</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3.及时请求外部支援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应急报告</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报告内容：事件类型、地点、时间、性质、周边环境等基本情况</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向公司领导报告，相关部门的领导联系方式：</w:t>
            </w:r>
          </w:p>
          <w:p>
            <w:pPr>
              <w:pStyle w:val="47"/>
              <w:keepNext w:val="0"/>
              <w:keepLines w:val="0"/>
              <w:suppressLineNumbers w:val="0"/>
              <w:spacing w:before="0" w:beforeAutospacing="0" w:afterAutospacing="0"/>
              <w:ind w:right="0" w:firstLine="0" w:firstLineChars="0"/>
              <w:rPr>
                <w:rFonts w:hint="default" w:ascii="宋体" w:hAnsi="宋体" w:eastAsia="宋体"/>
                <w:color w:val="000000" w:themeColor="text1"/>
                <w:sz w:val="21"/>
                <w:szCs w:val="21"/>
                <w:highlight w:val="none"/>
                <w:lang w:val="en-US" w:eastAsia="zh-CN"/>
                <w14:textFill>
                  <w14:solidFill>
                    <w14:schemeClr w14:val="tx1"/>
                  </w14:solidFill>
                </w14:textFill>
              </w:rPr>
            </w:pPr>
            <w:commentRangeStart w:id="10"/>
            <w:r>
              <w:rPr>
                <w:rFonts w:hint="eastAsia" w:ascii="宋体" w:hAnsi="宋体"/>
                <w:color w:val="000000" w:themeColor="text1"/>
                <w:sz w:val="21"/>
                <w:szCs w:val="21"/>
                <w:highlight w:val="none"/>
                <w14:textFill>
                  <w14:solidFill>
                    <w14:schemeClr w14:val="tx1"/>
                  </w14:solidFill>
                </w14:textFill>
              </w:rPr>
              <w:t>总指挥：</w:t>
            </w:r>
            <w:r>
              <w:rPr>
                <w:rFonts w:hint="default" w:ascii="宋体" w:hAnsi="宋体"/>
                <w:color w:val="000000" w:themeColor="text1"/>
                <w:sz w:val="21"/>
                <w:szCs w:val="21"/>
                <w:highlight w:val="none"/>
                <w:lang w:val="en-US" w:eastAsia="zh-CN"/>
                <w14:textFill>
                  <w14:solidFill>
                    <w14:schemeClr w14:val="tx1"/>
                  </w14:solidFill>
                </w14:textFill>
              </w:rPr>
              <w:t>13802225855</w:t>
            </w:r>
            <w:commentRangeEnd w:id="10"/>
            <w:r>
              <w:commentReference w:id="10"/>
            </w:r>
          </w:p>
          <w:p>
            <w:pPr>
              <w:pStyle w:val="47"/>
              <w:keepNext w:val="0"/>
              <w:keepLines w:val="0"/>
              <w:suppressLineNumbers w:val="0"/>
              <w:spacing w:before="0" w:beforeAutospacing="0" w:afterAutospacing="0"/>
              <w:ind w:right="0" w:firstLine="0" w:firstLineChars="0"/>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副总指挥：</w:t>
            </w:r>
            <w:r>
              <w:rPr>
                <w:rFonts w:hint="eastAsia" w:ascii="宋体" w:hAnsi="宋体"/>
                <w:color w:val="000000" w:themeColor="text1"/>
                <w:sz w:val="21"/>
                <w:szCs w:val="21"/>
                <w:highlight w:val="none"/>
                <w:lang w:eastAsia="zh-CN"/>
                <w14:textFill>
                  <w14:solidFill>
                    <w14:schemeClr w14:val="tx1"/>
                  </w14:solidFill>
                </w14:textFill>
              </w:rPr>
              <w:t>13421345129</w:t>
            </w:r>
          </w:p>
          <w:p>
            <w:pPr>
              <w:pStyle w:val="47"/>
              <w:keepNext w:val="0"/>
              <w:keepLines w:val="0"/>
              <w:suppressLineNumbers w:val="0"/>
              <w:spacing w:before="0" w:beforeAutospacing="0" w:afterAutospacing="0"/>
              <w:ind w:right="0" w:firstLine="0" w:firstLineChars="0"/>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宜春市宜春市生态环境局宜春经济技术开发区分局</w:t>
            </w:r>
            <w:r>
              <w:rPr>
                <w:rFonts w:hint="eastAsia"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lang w:eastAsia="zh-CN"/>
                <w14:textFill>
                  <w14:solidFill>
                    <w14:schemeClr w14:val="tx1"/>
                  </w14:solidFill>
                </w14:textFill>
              </w:rPr>
              <w:t>0795-3653639</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应急负责人</w:t>
            </w:r>
          </w:p>
        </w:tc>
        <w:tc>
          <w:tcPr>
            <w:tcW w:w="7335" w:type="dxa"/>
          </w:tcPr>
          <w:p>
            <w:pPr>
              <w:pStyle w:val="47"/>
              <w:keepNext w:val="0"/>
              <w:keepLines w:val="0"/>
              <w:suppressLineNumbers w:val="0"/>
              <w:spacing w:before="0" w:beforeAutospacing="0" w:afterAutospacing="0"/>
              <w:ind w:right="0" w:firstLine="0" w:firstLineChars="0"/>
              <w:rPr>
                <w:rFonts w:hint="eastAsia" w:ascii="宋体" w:hAnsi="宋体" w:eastAsia="宋体"/>
                <w:color w:val="000000" w:themeColor="text1"/>
                <w:sz w:val="21"/>
                <w:szCs w:val="21"/>
                <w:highlight w:val="none"/>
                <w:lang w:eastAsia="zh-CN"/>
                <w14:textFill>
                  <w14:solidFill>
                    <w14:schemeClr w14:val="tx1"/>
                  </w14:solidFill>
                </w14:textFill>
              </w:rPr>
            </w:pPr>
            <w:commentRangeStart w:id="11"/>
            <w:r>
              <w:rPr>
                <w:rFonts w:hint="eastAsia" w:ascii="宋体" w:hAnsi="宋体"/>
                <w:color w:val="000000" w:themeColor="text1"/>
                <w:sz w:val="21"/>
                <w:szCs w:val="21"/>
                <w:highlight w:val="none"/>
                <w14:textFill>
                  <w14:solidFill>
                    <w14:schemeClr w14:val="tx1"/>
                  </w14:solidFill>
                </w14:textFill>
              </w:rPr>
              <w:t>总指挥：</w:t>
            </w:r>
            <w:r>
              <w:rPr>
                <w:rFonts w:hint="eastAsia" w:ascii="宋体" w:hAnsi="宋体"/>
                <w:color w:val="000000" w:themeColor="text1"/>
                <w:sz w:val="21"/>
                <w:szCs w:val="21"/>
                <w:highlight w:val="none"/>
                <w:lang w:val="en-US" w:eastAsia="zh-CN"/>
                <w14:textFill>
                  <w14:solidFill>
                    <w14:schemeClr w14:val="tx1"/>
                  </w14:solidFill>
                </w14:textFill>
              </w:rPr>
              <w:t>刘小勇</w:t>
            </w:r>
            <w:commentRangeEnd w:id="11"/>
            <w:r>
              <w:commentReference w:id="11"/>
            </w:r>
          </w:p>
          <w:p>
            <w:pPr>
              <w:pStyle w:val="47"/>
              <w:keepNext w:val="0"/>
              <w:keepLines w:val="0"/>
              <w:suppressLineNumbers w:val="0"/>
              <w:spacing w:before="0" w:beforeAutospacing="0" w:afterAutospacing="0"/>
              <w:ind w:right="0" w:firstLine="0" w:firstLineChars="0"/>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副总指挥：</w:t>
            </w:r>
            <w:r>
              <w:rPr>
                <w:rFonts w:hint="eastAsia" w:ascii="宋体" w:hAnsi="宋体"/>
                <w:color w:val="000000" w:themeColor="text1"/>
                <w:sz w:val="21"/>
                <w:szCs w:val="21"/>
                <w:highlight w:val="none"/>
                <w:lang w:eastAsia="zh-CN"/>
                <w14:textFill>
                  <w14:solidFill>
                    <w14:schemeClr w14:val="tx1"/>
                  </w14:solidFill>
                </w14:textFill>
              </w:rPr>
              <w:t>甘月军</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应急物资与装备</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事故应急池</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疏散与撤离</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不需疏散和撤离</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应急处置措施</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ascii="宋体" w:hAnsi="宋体" w:cs="宋体"/>
                <w:color w:val="000000" w:themeColor="text1"/>
                <w:kern w:val="0"/>
                <w:sz w:val="21"/>
                <w:szCs w:val="21"/>
                <w:highlight w:val="none"/>
                <w14:textFill>
                  <w14:solidFill>
                    <w14:schemeClr w14:val="tx1"/>
                  </w14:solidFill>
                </w14:textFill>
              </w:rPr>
              <w:t>1、停止排放：2、维修环保设施，尽快投入使用。</w:t>
            </w:r>
          </w:p>
        </w:tc>
      </w:tr>
    </w:tbl>
    <w:p>
      <w:pPr>
        <w:pStyle w:val="47"/>
        <w:ind w:firstLine="480"/>
        <w:rPr>
          <w:color w:val="000000" w:themeColor="text1"/>
          <w:highlight w:val="none"/>
          <w14:textFill>
            <w14:solidFill>
              <w14:schemeClr w14:val="tx1"/>
            </w14:solidFill>
          </w14:textFill>
        </w:rPr>
      </w:pPr>
    </w:p>
    <w:p>
      <w:pPr>
        <w:pStyle w:val="47"/>
        <w:ind w:firstLine="482"/>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表</w:t>
      </w:r>
      <w:r>
        <w:rPr>
          <w:rFonts w:hint="eastAsia"/>
          <w:b/>
          <w:color w:val="000000" w:themeColor="text1"/>
          <w:highlight w:val="none"/>
          <w:lang w:val="en-US" w:eastAsia="zh-CN"/>
          <w14:textFill>
            <w14:solidFill>
              <w14:schemeClr w14:val="tx1"/>
            </w14:solidFill>
          </w14:textFill>
        </w:rPr>
        <w:t>5</w:t>
      </w:r>
      <w:r>
        <w:rPr>
          <w:b/>
          <w:color w:val="000000" w:themeColor="text1"/>
          <w:highlight w:val="none"/>
          <w14:textFill>
            <w14:solidFill>
              <w14:schemeClr w14:val="tx1"/>
            </w14:solidFill>
          </w14:textFill>
        </w:rPr>
        <w:t>.6-</w:t>
      </w:r>
      <w:r>
        <w:rPr>
          <w:rFonts w:hint="eastAsia"/>
          <w:b/>
          <w:color w:val="000000" w:themeColor="text1"/>
          <w:highlight w:val="none"/>
          <w14:textFill>
            <w14:solidFill>
              <w14:schemeClr w14:val="tx1"/>
            </w14:solidFill>
          </w14:textFill>
        </w:rPr>
        <w:t>3火灾事故应急处置卡</w:t>
      </w:r>
    </w:p>
    <w:tbl>
      <w:tblPr>
        <w:tblStyle w:val="49"/>
        <w:tblW w:w="0" w:type="auto"/>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951"/>
        <w:gridCol w:w="7335"/>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事故类型</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1.</w:t>
            </w:r>
            <w:r>
              <w:rPr>
                <w:rFonts w:hint="eastAsia" w:ascii="宋体" w:hAnsi="宋体"/>
                <w:color w:val="000000" w:themeColor="text1"/>
                <w:sz w:val="21"/>
                <w:szCs w:val="21"/>
                <w:highlight w:val="none"/>
                <w14:textFill>
                  <w14:solidFill>
                    <w14:schemeClr w14:val="tx1"/>
                  </w14:solidFill>
                </w14:textFill>
              </w:rPr>
              <w:t>涉及的风险物质：</w:t>
            </w:r>
            <w:r>
              <w:rPr>
                <w:rFonts w:hint="eastAsia" w:ascii="Times New Roman" w:hAnsi="Times New Roman" w:eastAsia="宋体" w:cs="Times New Roman"/>
                <w:color w:val="000000" w:themeColor="text1"/>
                <w:kern w:val="2"/>
                <w:sz w:val="21"/>
                <w:szCs w:val="21"/>
                <w:highlight w:val="none"/>
                <w:lang w:val="en-US" w:eastAsia="zh-CN" w:bidi="ar"/>
                <w14:textFill>
                  <w14:solidFill>
                    <w14:schemeClr w14:val="tx1"/>
                  </w14:solidFill>
                </w14:textFill>
              </w:rPr>
              <w:t>酒精</w:t>
            </w:r>
            <w:r>
              <w:rPr>
                <w:rFonts w:hint="eastAsia" w:cs="Times New Roman"/>
                <w:color w:val="000000" w:themeColor="text1"/>
                <w:kern w:val="2"/>
                <w:sz w:val="21"/>
                <w:szCs w:val="21"/>
                <w:highlight w:val="none"/>
                <w:lang w:val="en-US" w:eastAsia="zh-CN" w:bidi="ar"/>
                <w14:textFill>
                  <w14:solidFill>
                    <w14:schemeClr w14:val="tx1"/>
                  </w14:solidFill>
                </w14:textFill>
              </w:rPr>
              <w:t>、</w:t>
            </w:r>
            <w:r>
              <w:rPr>
                <w:rFonts w:hint="eastAsia" w:cs="Times New Roman"/>
                <w:color w:val="000000" w:themeColor="text1"/>
                <w:sz w:val="21"/>
                <w:szCs w:val="21"/>
                <w:highlight w:val="none"/>
                <w:lang w:val="en-US" w:eastAsia="zh-CN"/>
                <w14:textFill>
                  <w14:solidFill>
                    <w14:schemeClr w14:val="tx1"/>
                  </w14:solidFill>
                </w14:textFill>
              </w:rPr>
              <w:t>绝缘漆和稀释剂</w:t>
            </w:r>
            <w:r>
              <w:rPr>
                <w:rFonts w:hint="eastAsia" w:ascii="Times New Roman" w:hAnsi="Times New Roman" w:eastAsia="宋体" w:cs="Times New Roman"/>
                <w:color w:val="000000" w:themeColor="text1"/>
                <w:kern w:val="2"/>
                <w:sz w:val="21"/>
                <w:szCs w:val="21"/>
                <w:highlight w:val="none"/>
                <w:lang w:val="en-US" w:eastAsia="zh-CN" w:bidi="ar"/>
                <w14:textFill>
                  <w14:solidFill>
                    <w14:schemeClr w14:val="tx1"/>
                  </w14:solidFill>
                </w14:textFill>
              </w:rPr>
              <w:t>、</w:t>
            </w:r>
            <w:r>
              <w:rPr>
                <w:rFonts w:hint="eastAsia" w:ascii="宋体" w:hAnsi="宋体"/>
                <w:color w:val="000000" w:themeColor="text1"/>
                <w:sz w:val="21"/>
                <w:szCs w:val="21"/>
                <w:highlight w:val="none"/>
                <w14:textFill>
                  <w14:solidFill>
                    <w14:schemeClr w14:val="tx1"/>
                  </w14:solidFill>
                </w14:textFill>
              </w:rPr>
              <w:t>设备、电路等</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2.</w:t>
            </w:r>
            <w:r>
              <w:rPr>
                <w:rFonts w:hint="eastAsia" w:ascii="宋体" w:hAnsi="宋体"/>
                <w:color w:val="000000" w:themeColor="text1"/>
                <w:sz w:val="21"/>
                <w:szCs w:val="21"/>
                <w:highlight w:val="none"/>
                <w14:textFill>
                  <w14:solidFill>
                    <w14:schemeClr w14:val="tx1"/>
                  </w14:solidFill>
                </w14:textFill>
              </w:rPr>
              <w:t>事故可能发生的地点：仓库、办公室、生产车间等</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3.事故类型：火灾</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应急预警与相应程序</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1.发生事故后，根据事故现场情况，现场人员应立即自救或疏散撤离</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2.根据公司成立的现场应急处置小组根据实际情况进行应急处置，并根据事故的大小分级及发展态势向应急办公室、应急领导小组报告，根据事故情况启动相应的应急响应，并根据实际情况及时向</w:t>
            </w:r>
            <w:r>
              <w:rPr>
                <w:rFonts w:hint="eastAsia" w:ascii="宋体" w:hAnsi="宋体"/>
                <w:color w:val="000000" w:themeColor="text1"/>
                <w:sz w:val="21"/>
                <w:szCs w:val="21"/>
                <w:highlight w:val="none"/>
                <w:lang w:eastAsia="zh-CN"/>
                <w14:textFill>
                  <w14:solidFill>
                    <w14:schemeClr w14:val="tx1"/>
                  </w14:solidFill>
                </w14:textFill>
              </w:rPr>
              <w:t>宜春经济技术开发区管委会</w:t>
            </w:r>
            <w:r>
              <w:rPr>
                <w:rFonts w:hint="eastAsia"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lang w:eastAsia="zh-CN"/>
                <w14:textFill>
                  <w14:solidFill>
                    <w14:schemeClr w14:val="tx1"/>
                  </w14:solidFill>
                </w14:textFill>
              </w:rPr>
              <w:t>宜春市生态环境局宜春经济技术开发区分局</w:t>
            </w:r>
            <w:r>
              <w:rPr>
                <w:rFonts w:hint="eastAsia" w:ascii="宋体" w:hAnsi="宋体"/>
                <w:color w:val="000000" w:themeColor="text1"/>
                <w:sz w:val="21"/>
                <w:szCs w:val="21"/>
                <w:highlight w:val="none"/>
                <w14:textFill>
                  <w14:solidFill>
                    <w14:schemeClr w14:val="tx1"/>
                  </w14:solidFill>
                </w14:textFill>
              </w:rPr>
              <w:t>等应急办报告</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3.及时请求外部支援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应急报告</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报告内容：事件类型、地点、时间、性质、周边环境等基本情况</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向公司领导报告，相关部门的领导联系方式：</w:t>
            </w:r>
          </w:p>
          <w:p>
            <w:pPr>
              <w:pStyle w:val="47"/>
              <w:keepNext w:val="0"/>
              <w:keepLines w:val="0"/>
              <w:suppressLineNumbers w:val="0"/>
              <w:spacing w:before="0" w:beforeAutospacing="0" w:afterAutospacing="0"/>
              <w:ind w:right="0" w:firstLine="0" w:firstLineChars="0"/>
              <w:rPr>
                <w:rFonts w:hint="eastAsia" w:ascii="宋体" w:hAnsi="宋体" w:eastAsia="宋体"/>
                <w:color w:val="000000" w:themeColor="text1"/>
                <w:sz w:val="21"/>
                <w:szCs w:val="21"/>
                <w:highlight w:val="none"/>
                <w:lang w:eastAsia="zh-CN"/>
                <w14:textFill>
                  <w14:solidFill>
                    <w14:schemeClr w14:val="tx1"/>
                  </w14:solidFill>
                </w14:textFill>
              </w:rPr>
            </w:pPr>
            <w:commentRangeStart w:id="12"/>
            <w:r>
              <w:rPr>
                <w:rFonts w:hint="eastAsia" w:ascii="宋体" w:hAnsi="宋体"/>
                <w:color w:val="000000" w:themeColor="text1"/>
                <w:sz w:val="21"/>
                <w:szCs w:val="21"/>
                <w:highlight w:val="none"/>
                <w14:textFill>
                  <w14:solidFill>
                    <w14:schemeClr w14:val="tx1"/>
                  </w14:solidFill>
                </w14:textFill>
              </w:rPr>
              <w:t>总指挥：</w:t>
            </w:r>
            <w:r>
              <w:rPr>
                <w:rFonts w:hint="default" w:ascii="宋体" w:hAnsi="宋体"/>
                <w:color w:val="000000" w:themeColor="text1"/>
                <w:sz w:val="21"/>
                <w:szCs w:val="21"/>
                <w:highlight w:val="none"/>
                <w:lang w:val="en-US" w:eastAsia="zh-CN"/>
                <w14:textFill>
                  <w14:solidFill>
                    <w14:schemeClr w14:val="tx1"/>
                  </w14:solidFill>
                </w14:textFill>
              </w:rPr>
              <w:t>13802225855</w:t>
            </w:r>
            <w:commentRangeEnd w:id="12"/>
            <w:r>
              <w:commentReference w:id="12"/>
            </w:r>
          </w:p>
          <w:p>
            <w:pPr>
              <w:pStyle w:val="47"/>
              <w:keepNext w:val="0"/>
              <w:keepLines w:val="0"/>
              <w:suppressLineNumbers w:val="0"/>
              <w:spacing w:before="0" w:beforeAutospacing="0" w:afterAutospacing="0"/>
              <w:ind w:right="0" w:firstLine="0" w:firstLineChars="0"/>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副总指挥：</w:t>
            </w:r>
            <w:r>
              <w:rPr>
                <w:rFonts w:hint="eastAsia" w:ascii="宋体" w:hAnsi="宋体"/>
                <w:color w:val="000000" w:themeColor="text1"/>
                <w:sz w:val="21"/>
                <w:szCs w:val="21"/>
                <w:highlight w:val="none"/>
                <w:lang w:eastAsia="zh-CN"/>
                <w14:textFill>
                  <w14:solidFill>
                    <w14:schemeClr w14:val="tx1"/>
                  </w14:solidFill>
                </w14:textFill>
              </w:rPr>
              <w:t>13421345129</w:t>
            </w:r>
          </w:p>
          <w:p>
            <w:pPr>
              <w:pStyle w:val="47"/>
              <w:keepNext w:val="0"/>
              <w:keepLines w:val="0"/>
              <w:suppressLineNumbers w:val="0"/>
              <w:spacing w:before="0" w:beforeAutospacing="0" w:afterAutospacing="0"/>
              <w:ind w:right="0" w:firstLine="0" w:firstLineChars="0"/>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宜春市宜春市生态环境局宜春经济技术开发区分局</w:t>
            </w:r>
            <w:r>
              <w:rPr>
                <w:rFonts w:hint="eastAsia"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lang w:eastAsia="zh-CN"/>
                <w14:textFill>
                  <w14:solidFill>
                    <w14:schemeClr w14:val="tx1"/>
                  </w14:solidFill>
                </w14:textFill>
              </w:rPr>
              <w:t>0795-3653639</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应急负责人</w:t>
            </w:r>
          </w:p>
        </w:tc>
        <w:tc>
          <w:tcPr>
            <w:tcW w:w="7335" w:type="dxa"/>
          </w:tcPr>
          <w:p>
            <w:pPr>
              <w:pStyle w:val="47"/>
              <w:keepNext w:val="0"/>
              <w:keepLines w:val="0"/>
              <w:suppressLineNumbers w:val="0"/>
              <w:spacing w:before="0" w:beforeAutospacing="0" w:afterAutospacing="0"/>
              <w:ind w:right="0" w:firstLine="0" w:firstLineChars="0"/>
              <w:rPr>
                <w:rFonts w:hint="eastAsia" w:ascii="宋体" w:hAnsi="宋体" w:eastAsia="宋体"/>
                <w:color w:val="000000" w:themeColor="text1"/>
                <w:sz w:val="21"/>
                <w:szCs w:val="21"/>
                <w:highlight w:val="none"/>
                <w:lang w:eastAsia="zh-CN"/>
                <w14:textFill>
                  <w14:solidFill>
                    <w14:schemeClr w14:val="tx1"/>
                  </w14:solidFill>
                </w14:textFill>
              </w:rPr>
            </w:pPr>
            <w:commentRangeStart w:id="13"/>
            <w:r>
              <w:rPr>
                <w:rFonts w:hint="eastAsia" w:ascii="宋体" w:hAnsi="宋体"/>
                <w:color w:val="000000" w:themeColor="text1"/>
                <w:sz w:val="21"/>
                <w:szCs w:val="21"/>
                <w:highlight w:val="none"/>
                <w14:textFill>
                  <w14:solidFill>
                    <w14:schemeClr w14:val="tx1"/>
                  </w14:solidFill>
                </w14:textFill>
              </w:rPr>
              <w:t>总指挥：</w:t>
            </w:r>
            <w:r>
              <w:rPr>
                <w:rFonts w:hint="eastAsia" w:ascii="宋体" w:hAnsi="宋体"/>
                <w:color w:val="000000" w:themeColor="text1"/>
                <w:sz w:val="21"/>
                <w:szCs w:val="21"/>
                <w:highlight w:val="none"/>
                <w:lang w:val="en-US" w:eastAsia="zh-CN"/>
                <w14:textFill>
                  <w14:solidFill>
                    <w14:schemeClr w14:val="tx1"/>
                  </w14:solidFill>
                </w14:textFill>
              </w:rPr>
              <w:t>刘小勇</w:t>
            </w:r>
            <w:commentRangeEnd w:id="13"/>
            <w:r>
              <w:commentReference w:id="13"/>
            </w:r>
          </w:p>
          <w:p>
            <w:pPr>
              <w:pStyle w:val="47"/>
              <w:keepNext w:val="0"/>
              <w:keepLines w:val="0"/>
              <w:suppressLineNumbers w:val="0"/>
              <w:spacing w:before="0" w:beforeAutospacing="0" w:afterAutospacing="0"/>
              <w:ind w:right="0" w:firstLine="0" w:firstLineChars="0"/>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副总指挥：</w:t>
            </w:r>
            <w:r>
              <w:rPr>
                <w:rFonts w:hint="eastAsia" w:ascii="宋体" w:hAnsi="宋体"/>
                <w:color w:val="000000" w:themeColor="text1"/>
                <w:sz w:val="21"/>
                <w:szCs w:val="21"/>
                <w:highlight w:val="none"/>
                <w:lang w:eastAsia="zh-CN"/>
                <w14:textFill>
                  <w14:solidFill>
                    <w14:schemeClr w14:val="tx1"/>
                  </w14:solidFill>
                </w14:textFill>
              </w:rPr>
              <w:t>甘月军</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应急物资与装备</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灭火器、消防泵、消防水枪、救护担架等</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疏散与撤离</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按消防要求撤离</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应急处置措施</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出现征兆时处置措施：A电力线路架设不符合标准、线路老化、用电设施损坏等，关闭电源，按照有关用电规范进行整改。B易燃易爆物品运输、贮存、使用、回收不符合相关规定,按规定整改。C对动火未经审批的作业，取得动火证以后方可施工。D消防设施未按规定配备或损坏、失效的应按规定及时进行配备维护。E人员未经教育培训的，对其进行教育培训。F在危化物品附近作业未加防护的，落实防护措施。</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事故发生时处置措施：立即报警,迅速启动现场处置方案，实施应急处置，立足自救。确定起火部位，立即切断电源,充分利用既有消防设施进行灭火;对需要转移的危险物品迅速转移至安全地带;在保证自身安全的前提下，可接近着火点灭火。</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有被困人员时的处置措施：被困人员要积极自救，同时要想方设法通知救援人员自己所处的准确位置,以便得到及时救援;救援人员按规定穿戴好防护用品，在保证自身安全的前提下，携带相关救援机具、物资(根据储备物资装备确定),对遇险人员进行抢救、搜救，及时通知</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就近医疗机构救援。</w:t>
            </w:r>
          </w:p>
        </w:tc>
      </w:tr>
    </w:tbl>
    <w:p>
      <w:pPr>
        <w:pStyle w:val="47"/>
        <w:ind w:firstLine="482"/>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表</w:t>
      </w:r>
      <w:r>
        <w:rPr>
          <w:rFonts w:hint="eastAsia"/>
          <w:b/>
          <w:color w:val="000000" w:themeColor="text1"/>
          <w:highlight w:val="none"/>
          <w:lang w:val="en-US" w:eastAsia="zh-CN"/>
          <w14:textFill>
            <w14:solidFill>
              <w14:schemeClr w14:val="tx1"/>
            </w14:solidFill>
          </w14:textFill>
        </w:rPr>
        <w:t>5</w:t>
      </w:r>
      <w:r>
        <w:rPr>
          <w:rFonts w:hint="eastAsia"/>
          <w:b/>
          <w:color w:val="000000" w:themeColor="text1"/>
          <w:highlight w:val="none"/>
          <w14:textFill>
            <w14:solidFill>
              <w14:schemeClr w14:val="tx1"/>
            </w14:solidFill>
          </w14:textFill>
        </w:rPr>
        <w:t xml:space="preserve">.6-4 </w:t>
      </w:r>
      <w:r>
        <w:rPr>
          <w:rFonts w:hint="eastAsia"/>
          <w:b/>
          <w:bCs w:val="0"/>
          <w:color w:val="000000" w:themeColor="text1"/>
          <w:highlight w:val="none"/>
          <w:lang w:eastAsia="zh-CN"/>
          <w14:textFill>
            <w14:solidFill>
              <w14:schemeClr w14:val="tx1"/>
            </w14:solidFill>
          </w14:textFill>
        </w:rPr>
        <w:t>酒精</w:t>
      </w:r>
      <w:r>
        <w:rPr>
          <w:rFonts w:hint="eastAsia" w:cs="Times New Roman"/>
          <w:b/>
          <w:bCs w:val="0"/>
          <w:color w:val="000000" w:themeColor="text1"/>
          <w:sz w:val="24"/>
          <w:szCs w:val="24"/>
          <w:highlight w:val="none"/>
          <w:lang w:val="en-US" w:eastAsia="zh-CN"/>
          <w14:textFill>
            <w14:solidFill>
              <w14:schemeClr w14:val="tx1"/>
            </w14:solidFill>
          </w14:textFill>
        </w:rPr>
        <w:t>、绝缘漆和稀释剂</w:t>
      </w:r>
      <w:r>
        <w:rPr>
          <w:rFonts w:hint="eastAsia"/>
          <w:b/>
          <w:color w:val="000000" w:themeColor="text1"/>
          <w:highlight w:val="none"/>
          <w14:textFill>
            <w14:solidFill>
              <w14:schemeClr w14:val="tx1"/>
            </w14:solidFill>
          </w14:textFill>
        </w:rPr>
        <w:t>等化学品事故应急处置卡</w:t>
      </w:r>
    </w:p>
    <w:tbl>
      <w:tblPr>
        <w:tblStyle w:val="49"/>
        <w:tblW w:w="0" w:type="auto"/>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951"/>
        <w:gridCol w:w="7335"/>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事故类型</w:t>
            </w:r>
          </w:p>
        </w:tc>
        <w:tc>
          <w:tcPr>
            <w:tcW w:w="7335" w:type="dxa"/>
          </w:tcPr>
          <w:p>
            <w:pPr>
              <w:pStyle w:val="47"/>
              <w:keepNext w:val="0"/>
              <w:keepLines w:val="0"/>
              <w:suppressLineNumbers w:val="0"/>
              <w:spacing w:before="0" w:beforeAutospacing="0" w:afterAutospacing="0"/>
              <w:ind w:right="0" w:firstLine="0" w:firstLineChars="0"/>
              <w:rPr>
                <w:rFonts w:hint="eastAsia" w:ascii="宋体" w:hAnsi="宋体" w:eastAsia="宋体" w:cs="Times New Roman"/>
                <w:b w:val="0"/>
                <w:bCs w:val="0"/>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1.涉及的风险</w:t>
            </w:r>
            <w:r>
              <w:rPr>
                <w:rFonts w:hint="eastAsia" w:ascii="宋体" w:hAnsi="宋体" w:eastAsia="宋体" w:cs="Times New Roman"/>
                <w:b w:val="0"/>
                <w:bCs w:val="0"/>
                <w:color w:val="000000" w:themeColor="text1"/>
                <w:sz w:val="21"/>
                <w:szCs w:val="21"/>
                <w:highlight w:val="none"/>
                <w14:textFill>
                  <w14:solidFill>
                    <w14:schemeClr w14:val="tx1"/>
                  </w14:solidFill>
                </w14:textFill>
              </w:rPr>
              <w:t>物质：</w:t>
            </w:r>
            <w:r>
              <w:rPr>
                <w:rFonts w:hint="eastAsia" w:ascii="宋体" w:hAnsi="宋体" w:eastAsia="宋体" w:cs="Times New Roman"/>
                <w:b w:val="0"/>
                <w:bCs w:val="0"/>
                <w:color w:val="000000" w:themeColor="text1"/>
                <w:sz w:val="21"/>
                <w:szCs w:val="21"/>
                <w:highlight w:val="none"/>
                <w:lang w:eastAsia="zh-CN"/>
                <w14:textFill>
                  <w14:solidFill>
                    <w14:schemeClr w14:val="tx1"/>
                  </w14:solidFill>
                </w14:textFill>
              </w:rPr>
              <w:t>酒精</w:t>
            </w:r>
            <w:r>
              <w:rPr>
                <w:rFonts w:hint="eastAsia" w:cs="Times New Roman"/>
                <w:color w:val="000000" w:themeColor="text1"/>
                <w:sz w:val="24"/>
                <w:szCs w:val="24"/>
                <w:highlight w:val="none"/>
                <w:lang w:val="en-US" w:eastAsia="zh-CN"/>
                <w14:textFill>
                  <w14:solidFill>
                    <w14:schemeClr w14:val="tx1"/>
                  </w14:solidFill>
                </w14:textFill>
              </w:rPr>
              <w:t>、绝缘漆和稀释剂</w:t>
            </w:r>
            <w:r>
              <w:rPr>
                <w:rFonts w:hint="eastAsia" w:ascii="宋体" w:hAnsi="宋体" w:eastAsia="宋体" w:cs="Times New Roman"/>
                <w:b w:val="0"/>
                <w:bCs w:val="0"/>
                <w:color w:val="000000" w:themeColor="text1"/>
                <w:sz w:val="21"/>
                <w:szCs w:val="21"/>
                <w:highlight w:val="none"/>
                <w14:textFill>
                  <w14:solidFill>
                    <w14:schemeClr w14:val="tx1"/>
                  </w14:solidFill>
                </w14:textFill>
              </w:rPr>
              <w:t>等</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2.事故可能发生的</w:t>
            </w:r>
            <w:r>
              <w:rPr>
                <w:rFonts w:hint="eastAsia" w:ascii="宋体" w:hAnsi="宋体"/>
                <w:b w:val="0"/>
                <w:bCs w:val="0"/>
                <w:color w:val="000000" w:themeColor="text1"/>
                <w:sz w:val="21"/>
                <w:szCs w:val="21"/>
                <w:highlight w:val="none"/>
                <w14:textFill>
                  <w14:solidFill>
                    <w14:schemeClr w14:val="tx1"/>
                  </w14:solidFill>
                </w14:textFill>
              </w:rPr>
              <w:t>地点：原料</w:t>
            </w:r>
            <w:r>
              <w:rPr>
                <w:rFonts w:hint="eastAsia" w:ascii="宋体" w:hAnsi="宋体"/>
                <w:color w:val="000000" w:themeColor="text1"/>
                <w:sz w:val="21"/>
                <w:szCs w:val="21"/>
                <w:highlight w:val="none"/>
                <w14:textFill>
                  <w14:solidFill>
                    <w14:schemeClr w14:val="tx1"/>
                  </w14:solidFill>
                </w14:textFill>
              </w:rPr>
              <w:t>仓库</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3.事故类型：化学品泄漏</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应急预警与相应程序</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1.发生事故后，根据事故现场情况，现场人员应立即自救或疏散撤离</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2.根据公司成立的现场应急处置小组根据实际情况进行应急处置，并根据事故的大小分级及发展态势向应急办公室、应急领导小组报告，根据事故情况启动相应的应急响应，并根据实际情况及时向</w:t>
            </w:r>
            <w:r>
              <w:rPr>
                <w:rFonts w:hint="eastAsia" w:ascii="宋体" w:hAnsi="宋体"/>
                <w:color w:val="000000" w:themeColor="text1"/>
                <w:sz w:val="21"/>
                <w:szCs w:val="21"/>
                <w:highlight w:val="none"/>
                <w:lang w:eastAsia="zh-CN"/>
                <w14:textFill>
                  <w14:solidFill>
                    <w14:schemeClr w14:val="tx1"/>
                  </w14:solidFill>
                </w14:textFill>
              </w:rPr>
              <w:t>宜春经济技术开发区管委会</w:t>
            </w:r>
            <w:r>
              <w:rPr>
                <w:rFonts w:hint="eastAsia"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lang w:eastAsia="zh-CN"/>
                <w14:textFill>
                  <w14:solidFill>
                    <w14:schemeClr w14:val="tx1"/>
                  </w14:solidFill>
                </w14:textFill>
              </w:rPr>
              <w:t>宜春市生态环境局宜春经济技术开发区分局</w:t>
            </w:r>
            <w:r>
              <w:rPr>
                <w:rFonts w:hint="eastAsia" w:ascii="宋体" w:hAnsi="宋体"/>
                <w:color w:val="000000" w:themeColor="text1"/>
                <w:sz w:val="21"/>
                <w:szCs w:val="21"/>
                <w:highlight w:val="none"/>
                <w14:textFill>
                  <w14:solidFill>
                    <w14:schemeClr w14:val="tx1"/>
                  </w14:solidFill>
                </w14:textFill>
              </w:rPr>
              <w:t>等应急办报告</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3.及时请求外部支援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应急报告</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报告内容：事件类型、地点、时间、性质、周边环境等基本情况</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向公司领导报告，相关部门的领导联系方式：</w:t>
            </w:r>
          </w:p>
          <w:p>
            <w:pPr>
              <w:pStyle w:val="47"/>
              <w:keepNext w:val="0"/>
              <w:keepLines w:val="0"/>
              <w:suppressLineNumbers w:val="0"/>
              <w:spacing w:before="0" w:beforeAutospacing="0" w:afterAutospacing="0"/>
              <w:ind w:right="0" w:firstLine="0" w:firstLineChars="0"/>
              <w:rPr>
                <w:rFonts w:hint="eastAsia" w:ascii="宋体" w:hAnsi="宋体" w:eastAsia="宋体"/>
                <w:color w:val="000000" w:themeColor="text1"/>
                <w:sz w:val="21"/>
                <w:szCs w:val="21"/>
                <w:highlight w:val="none"/>
                <w:lang w:eastAsia="zh-CN"/>
                <w14:textFill>
                  <w14:solidFill>
                    <w14:schemeClr w14:val="tx1"/>
                  </w14:solidFill>
                </w14:textFill>
              </w:rPr>
            </w:pPr>
            <w:commentRangeStart w:id="14"/>
            <w:r>
              <w:rPr>
                <w:rFonts w:hint="eastAsia" w:ascii="宋体" w:hAnsi="宋体"/>
                <w:color w:val="000000" w:themeColor="text1"/>
                <w:sz w:val="21"/>
                <w:szCs w:val="21"/>
                <w:highlight w:val="none"/>
                <w14:textFill>
                  <w14:solidFill>
                    <w14:schemeClr w14:val="tx1"/>
                  </w14:solidFill>
                </w14:textFill>
              </w:rPr>
              <w:t>总指挥：</w:t>
            </w:r>
            <w:r>
              <w:rPr>
                <w:rFonts w:hint="default" w:ascii="宋体" w:hAnsi="宋体"/>
                <w:color w:val="000000" w:themeColor="text1"/>
                <w:sz w:val="21"/>
                <w:szCs w:val="21"/>
                <w:highlight w:val="none"/>
                <w:lang w:val="en-US" w:eastAsia="zh-CN"/>
                <w14:textFill>
                  <w14:solidFill>
                    <w14:schemeClr w14:val="tx1"/>
                  </w14:solidFill>
                </w14:textFill>
              </w:rPr>
              <w:t>13802225855</w:t>
            </w:r>
            <w:commentRangeEnd w:id="14"/>
            <w:r>
              <w:commentReference w:id="14"/>
            </w:r>
          </w:p>
          <w:p>
            <w:pPr>
              <w:pStyle w:val="47"/>
              <w:keepNext w:val="0"/>
              <w:keepLines w:val="0"/>
              <w:suppressLineNumbers w:val="0"/>
              <w:spacing w:before="0" w:beforeAutospacing="0" w:afterAutospacing="0"/>
              <w:ind w:right="0" w:firstLine="0" w:firstLineChars="0"/>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副总指挥：</w:t>
            </w:r>
            <w:r>
              <w:rPr>
                <w:rFonts w:hint="eastAsia" w:ascii="宋体" w:hAnsi="宋体"/>
                <w:color w:val="000000" w:themeColor="text1"/>
                <w:sz w:val="21"/>
                <w:szCs w:val="21"/>
                <w:highlight w:val="none"/>
                <w:lang w:eastAsia="zh-CN"/>
                <w14:textFill>
                  <w14:solidFill>
                    <w14:schemeClr w14:val="tx1"/>
                  </w14:solidFill>
                </w14:textFill>
              </w:rPr>
              <w:t>13421345129</w:t>
            </w:r>
          </w:p>
          <w:p>
            <w:pPr>
              <w:pStyle w:val="47"/>
              <w:keepNext w:val="0"/>
              <w:keepLines w:val="0"/>
              <w:suppressLineNumbers w:val="0"/>
              <w:spacing w:before="0" w:beforeAutospacing="0" w:afterAutospacing="0"/>
              <w:ind w:right="0" w:firstLine="0" w:firstLineChars="0"/>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宜春市宜春市生态环境局宜春经济技术开发区分局</w:t>
            </w:r>
            <w:r>
              <w:rPr>
                <w:rFonts w:hint="eastAsia"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lang w:eastAsia="zh-CN"/>
                <w14:textFill>
                  <w14:solidFill>
                    <w14:schemeClr w14:val="tx1"/>
                  </w14:solidFill>
                </w14:textFill>
              </w:rPr>
              <w:t>0795-3653639</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应急负责人</w:t>
            </w:r>
          </w:p>
        </w:tc>
        <w:tc>
          <w:tcPr>
            <w:tcW w:w="7335" w:type="dxa"/>
          </w:tcPr>
          <w:p>
            <w:pPr>
              <w:pStyle w:val="47"/>
              <w:keepNext w:val="0"/>
              <w:keepLines w:val="0"/>
              <w:suppressLineNumbers w:val="0"/>
              <w:spacing w:before="0" w:beforeAutospacing="0" w:afterAutospacing="0"/>
              <w:ind w:right="0" w:firstLine="0" w:firstLineChars="0"/>
              <w:rPr>
                <w:rFonts w:hint="eastAsia" w:ascii="宋体" w:hAnsi="宋体" w:eastAsia="宋体"/>
                <w:color w:val="000000" w:themeColor="text1"/>
                <w:sz w:val="21"/>
                <w:szCs w:val="21"/>
                <w:highlight w:val="none"/>
                <w:lang w:eastAsia="zh-CN"/>
                <w14:textFill>
                  <w14:solidFill>
                    <w14:schemeClr w14:val="tx1"/>
                  </w14:solidFill>
                </w14:textFill>
              </w:rPr>
            </w:pPr>
            <w:commentRangeStart w:id="15"/>
            <w:r>
              <w:rPr>
                <w:rFonts w:hint="eastAsia" w:ascii="宋体" w:hAnsi="宋体"/>
                <w:color w:val="000000" w:themeColor="text1"/>
                <w:sz w:val="21"/>
                <w:szCs w:val="21"/>
                <w:highlight w:val="none"/>
                <w14:textFill>
                  <w14:solidFill>
                    <w14:schemeClr w14:val="tx1"/>
                  </w14:solidFill>
                </w14:textFill>
              </w:rPr>
              <w:t>总指挥：</w:t>
            </w:r>
            <w:r>
              <w:rPr>
                <w:rFonts w:hint="eastAsia" w:ascii="宋体" w:hAnsi="宋体"/>
                <w:color w:val="000000" w:themeColor="text1"/>
                <w:sz w:val="21"/>
                <w:szCs w:val="21"/>
                <w:highlight w:val="none"/>
                <w:lang w:val="en-US" w:eastAsia="zh-CN"/>
                <w14:textFill>
                  <w14:solidFill>
                    <w14:schemeClr w14:val="tx1"/>
                  </w14:solidFill>
                </w14:textFill>
              </w:rPr>
              <w:t>刘小勇</w:t>
            </w:r>
            <w:commentRangeEnd w:id="15"/>
            <w:r>
              <w:commentReference w:id="15"/>
            </w:r>
          </w:p>
          <w:p>
            <w:pPr>
              <w:pStyle w:val="47"/>
              <w:keepNext w:val="0"/>
              <w:keepLines w:val="0"/>
              <w:suppressLineNumbers w:val="0"/>
              <w:spacing w:before="0" w:beforeAutospacing="0" w:afterAutospacing="0"/>
              <w:ind w:right="0" w:firstLine="0" w:firstLineChars="0"/>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副总指挥：</w:t>
            </w:r>
            <w:r>
              <w:rPr>
                <w:rFonts w:hint="eastAsia" w:ascii="宋体" w:hAnsi="宋体"/>
                <w:color w:val="000000" w:themeColor="text1"/>
                <w:sz w:val="21"/>
                <w:szCs w:val="21"/>
                <w:highlight w:val="none"/>
                <w:lang w:eastAsia="zh-CN"/>
                <w14:textFill>
                  <w14:solidFill>
                    <w14:schemeClr w14:val="tx1"/>
                  </w14:solidFill>
                </w14:textFill>
              </w:rPr>
              <w:t>甘月军</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应急物资与装备</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防护口罩、防护服、防护手套等</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疏散与撤离</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按要求撤离</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应急处置措施</w:t>
            </w:r>
          </w:p>
        </w:tc>
        <w:tc>
          <w:tcPr>
            <w:tcW w:w="7335" w:type="dxa"/>
          </w:tcPr>
          <w:p>
            <w:pPr>
              <w:pStyle w:val="14"/>
              <w:keepNext w:val="0"/>
              <w:keepLines w:val="0"/>
              <w:suppressLineNumbers w:val="0"/>
              <w:spacing w:before="0" w:beforeAutospacing="0" w:after="0" w:afterAutospacing="0" w:line="360" w:lineRule="auto"/>
              <w:ind w:left="0" w:right="0" w:firstLine="0" w:firstLineChars="0"/>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迅速撤离泄漏污染区人员至</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"https://baike.baidu.com/item/%E5%AE%89%E5%85%A8%E5%8C%BA" \t "https://baike.baidu.com/item/%E4%BA%8C%E7%94%B2%E8%8B%AF/_blank" </w:instrText>
            </w:r>
            <w:r>
              <w:rPr>
                <w:color w:val="000000" w:themeColor="text1"/>
                <w:highlight w:val="none"/>
                <w14:textFill>
                  <w14:solidFill>
                    <w14:schemeClr w14:val="tx1"/>
                  </w14:solidFill>
                </w14:textFill>
              </w:rPr>
              <w:fldChar w:fldCharType="separate"/>
            </w:r>
            <w:r>
              <w:rPr>
                <w:rFonts w:ascii="宋体" w:hAnsi="宋体"/>
                <w:color w:val="000000" w:themeColor="text1"/>
                <w:sz w:val="21"/>
                <w:szCs w:val="21"/>
                <w:highlight w:val="none"/>
                <w14:textFill>
                  <w14:solidFill>
                    <w14:schemeClr w14:val="tx1"/>
                  </w14:solidFill>
                </w14:textFill>
              </w:rPr>
              <w:t>安全区</w:t>
            </w:r>
            <w:r>
              <w:rPr>
                <w:rFonts w:ascii="宋体" w:hAnsi="宋体"/>
                <w:color w:val="000000" w:themeColor="text1"/>
                <w:sz w:val="21"/>
                <w:szCs w:val="21"/>
                <w:highlight w:val="none"/>
                <w14:textFill>
                  <w14:solidFill>
                    <w14:schemeClr w14:val="tx1"/>
                  </w14:solidFill>
                </w14:textFill>
              </w:rPr>
              <w:fldChar w:fldCharType="end"/>
            </w:r>
            <w:r>
              <w:rPr>
                <w:rFonts w:ascii="宋体" w:hAnsi="宋体"/>
                <w:color w:val="000000" w:themeColor="text1"/>
                <w:sz w:val="21"/>
                <w:szCs w:val="21"/>
                <w:highlight w:val="none"/>
                <w14:textFill>
                  <w14:solidFill>
                    <w14:schemeClr w14:val="tx1"/>
                  </w14:solidFill>
                </w14:textFill>
              </w:rPr>
              <w:t>，并进行隔离，严格限制出入。切断</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"https://baike.baidu.com/item/%E7%81%AB%E6%BA%90" \t "https://baike.baidu.com/item/%E4%BA%8C%E7%94%B2%E8%8B%AF/_blank" </w:instrText>
            </w:r>
            <w:r>
              <w:rPr>
                <w:color w:val="000000" w:themeColor="text1"/>
                <w:highlight w:val="none"/>
                <w14:textFill>
                  <w14:solidFill>
                    <w14:schemeClr w14:val="tx1"/>
                  </w14:solidFill>
                </w14:textFill>
              </w:rPr>
              <w:fldChar w:fldCharType="separate"/>
            </w:r>
            <w:r>
              <w:rPr>
                <w:rFonts w:ascii="宋体" w:hAnsi="宋体"/>
                <w:color w:val="000000" w:themeColor="text1"/>
                <w:sz w:val="21"/>
                <w:szCs w:val="21"/>
                <w:highlight w:val="none"/>
                <w14:textFill>
                  <w14:solidFill>
                    <w14:schemeClr w14:val="tx1"/>
                  </w14:solidFill>
                </w14:textFill>
              </w:rPr>
              <w:t>火源</w:t>
            </w:r>
            <w:r>
              <w:rPr>
                <w:rFonts w:ascii="宋体" w:hAnsi="宋体"/>
                <w:color w:val="000000" w:themeColor="text1"/>
                <w:sz w:val="21"/>
                <w:szCs w:val="21"/>
                <w:highlight w:val="none"/>
                <w14:textFill>
                  <w14:solidFill>
                    <w14:schemeClr w14:val="tx1"/>
                  </w14:solidFill>
                </w14:textFill>
              </w:rPr>
              <w:fldChar w:fldCharType="end"/>
            </w:r>
            <w:r>
              <w:rPr>
                <w:rFonts w:ascii="宋体" w:hAnsi="宋体"/>
                <w:color w:val="000000" w:themeColor="text1"/>
                <w:sz w:val="21"/>
                <w:szCs w:val="21"/>
                <w:highlight w:val="none"/>
                <w14:textFill>
                  <w14:solidFill>
                    <w14:schemeClr w14:val="tx1"/>
                  </w14:solidFill>
                </w14:textFill>
              </w:rPr>
              <w:t>。建议应急处理人员戴自给</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"https://baike.baidu.com/item/%E6%AD%A3%E5%8E%8B%E5%BC%8F%E5%91%BC%E5%90%B8%E5%99%A8" \t "https://baike.baidu.com/item/%E4%BA%8C%E7%94%B2%E8%8B%AF/_blank" </w:instrText>
            </w:r>
            <w:r>
              <w:rPr>
                <w:color w:val="000000" w:themeColor="text1"/>
                <w:highlight w:val="none"/>
                <w14:textFill>
                  <w14:solidFill>
                    <w14:schemeClr w14:val="tx1"/>
                  </w14:solidFill>
                </w14:textFill>
              </w:rPr>
              <w:fldChar w:fldCharType="separate"/>
            </w:r>
            <w:r>
              <w:rPr>
                <w:rFonts w:ascii="宋体" w:hAnsi="宋体"/>
                <w:color w:val="000000" w:themeColor="text1"/>
                <w:sz w:val="21"/>
                <w:szCs w:val="21"/>
                <w:highlight w:val="none"/>
                <w14:textFill>
                  <w14:solidFill>
                    <w14:schemeClr w14:val="tx1"/>
                  </w14:solidFill>
                </w14:textFill>
              </w:rPr>
              <w:t>正压式呼吸器</w:t>
            </w:r>
            <w:r>
              <w:rPr>
                <w:rFonts w:ascii="宋体" w:hAnsi="宋体"/>
                <w:color w:val="000000" w:themeColor="text1"/>
                <w:sz w:val="21"/>
                <w:szCs w:val="21"/>
                <w:highlight w:val="none"/>
                <w14:textFill>
                  <w14:solidFill>
                    <w14:schemeClr w14:val="tx1"/>
                  </w14:solidFill>
                </w14:textFill>
              </w:rPr>
              <w:fldChar w:fldCharType="end"/>
            </w:r>
            <w:r>
              <w:rPr>
                <w:rFonts w:ascii="宋体" w:hAnsi="宋体"/>
                <w:color w:val="000000" w:themeColor="text1"/>
                <w:sz w:val="21"/>
                <w:szCs w:val="21"/>
                <w:highlight w:val="none"/>
                <w14:textFill>
                  <w14:solidFill>
                    <w14:schemeClr w14:val="tx1"/>
                  </w14:solidFill>
                </w14:textFill>
              </w:rPr>
              <w:t>，穿消防防护服。切断泄漏源，防止进入</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"https://baike.baidu.com/item/%E4%B8%8B%E6%B0%B4%E9%81%93" \t "https://baike.baidu.com/item/%E4%BA%8C%E7%94%B2%E8%8B%AF/_blank" </w:instrText>
            </w:r>
            <w:r>
              <w:rPr>
                <w:color w:val="000000" w:themeColor="text1"/>
                <w:highlight w:val="none"/>
                <w14:textFill>
                  <w14:solidFill>
                    <w14:schemeClr w14:val="tx1"/>
                  </w14:solidFill>
                </w14:textFill>
              </w:rPr>
              <w:fldChar w:fldCharType="separate"/>
            </w:r>
            <w:r>
              <w:rPr>
                <w:rFonts w:ascii="宋体" w:hAnsi="宋体"/>
                <w:color w:val="000000" w:themeColor="text1"/>
                <w:sz w:val="21"/>
                <w:szCs w:val="21"/>
                <w:highlight w:val="none"/>
                <w14:textFill>
                  <w14:solidFill>
                    <w14:schemeClr w14:val="tx1"/>
                  </w14:solidFill>
                </w14:textFill>
              </w:rPr>
              <w:t>下水道</w:t>
            </w:r>
            <w:r>
              <w:rPr>
                <w:rFonts w:ascii="宋体" w:hAnsi="宋体"/>
                <w:color w:val="000000" w:themeColor="text1"/>
                <w:sz w:val="21"/>
                <w:szCs w:val="21"/>
                <w:highlight w:val="none"/>
                <w14:textFill>
                  <w14:solidFill>
                    <w14:schemeClr w14:val="tx1"/>
                  </w14:solidFill>
                </w14:textFill>
              </w:rPr>
              <w:fldChar w:fldCharType="end"/>
            </w:r>
            <w:r>
              <w:rPr>
                <w:rFonts w:ascii="宋体" w:hAnsi="宋体"/>
                <w:color w:val="000000" w:themeColor="text1"/>
                <w:sz w:val="21"/>
                <w:szCs w:val="21"/>
                <w:highlight w:val="none"/>
                <w14:textFill>
                  <w14:solidFill>
                    <w14:schemeClr w14:val="tx1"/>
                  </w14:solidFill>
                </w14:textFill>
              </w:rPr>
              <w:t>、排洪沟等限制性空间。小量泄漏：液体形式泄漏的情景下，需在厂区内构筑围堤，同时，将废液引入事故池，用</w:t>
            </w:r>
            <w:r>
              <w:rPr>
                <w:rFonts w:hint="eastAsia" w:ascii="宋体" w:hAnsi="宋体"/>
                <w:color w:val="000000" w:themeColor="text1"/>
                <w:sz w:val="21"/>
                <w:szCs w:val="21"/>
                <w:highlight w:val="none"/>
                <w14:textFill>
                  <w14:solidFill>
                    <w14:schemeClr w14:val="tx1"/>
                  </w14:solidFill>
                </w14:textFill>
              </w:rPr>
              <w:t>相应材料</w:t>
            </w:r>
            <w:r>
              <w:rPr>
                <w:rFonts w:ascii="宋体" w:hAnsi="宋体"/>
                <w:color w:val="000000" w:themeColor="text1"/>
                <w:sz w:val="21"/>
                <w:szCs w:val="21"/>
                <w:highlight w:val="none"/>
                <w14:textFill>
                  <w14:solidFill>
                    <w14:schemeClr w14:val="tx1"/>
                  </w14:solidFill>
                </w14:textFill>
              </w:rPr>
              <w:t>吸收。也可以用不燃性</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"https://baike.baidu.com/item/%E5%88%86%E6%95%A3%E5%89%82" \t "https://baike.baidu.com/item/%E4%BA%8C%E7%94%B2%E8%8B%AF/_blank" </w:instrText>
            </w:r>
            <w:r>
              <w:rPr>
                <w:color w:val="000000" w:themeColor="text1"/>
                <w:highlight w:val="none"/>
                <w14:textFill>
                  <w14:solidFill>
                    <w14:schemeClr w14:val="tx1"/>
                  </w14:solidFill>
                </w14:textFill>
              </w:rPr>
              <w:fldChar w:fldCharType="separate"/>
            </w:r>
            <w:r>
              <w:rPr>
                <w:rFonts w:ascii="宋体" w:hAnsi="宋体"/>
                <w:color w:val="000000" w:themeColor="text1"/>
                <w:sz w:val="21"/>
                <w:szCs w:val="21"/>
                <w:highlight w:val="none"/>
                <w14:textFill>
                  <w14:solidFill>
                    <w14:schemeClr w14:val="tx1"/>
                  </w14:solidFill>
                </w14:textFill>
              </w:rPr>
              <w:t>分散剂</w:t>
            </w:r>
            <w:r>
              <w:rPr>
                <w:rFonts w:ascii="宋体" w:hAnsi="宋体"/>
                <w:color w:val="000000" w:themeColor="text1"/>
                <w:sz w:val="21"/>
                <w:szCs w:val="21"/>
                <w:highlight w:val="none"/>
                <w14:textFill>
                  <w14:solidFill>
                    <w14:schemeClr w14:val="tx1"/>
                  </w14:solidFill>
                </w14:textFill>
              </w:rPr>
              <w:fldChar w:fldCharType="end"/>
            </w:r>
            <w:r>
              <w:rPr>
                <w:rFonts w:ascii="宋体" w:hAnsi="宋体"/>
                <w:color w:val="000000" w:themeColor="text1"/>
                <w:sz w:val="21"/>
                <w:szCs w:val="21"/>
                <w:highlight w:val="none"/>
                <w14:textFill>
                  <w14:solidFill>
                    <w14:schemeClr w14:val="tx1"/>
                  </w14:solidFill>
                </w14:textFill>
              </w:rPr>
              <w:t>制成的乳液刷洗，洗液稀释后放入废水系统。大量泄漏：如果外泄到厂区外围，就必须坚决堵住排污管网，杜绝进入地表水体污染地表水环境，构筑围堤或挖坑收容；用泡沫覆盖，抑制蒸发。用防爆泵转移至</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"https://baike.baidu.com/item/%E6%A7%BD%E8%BD%A6" \t "https://baike.baidu.com/item/%E4%BA%8C%E7%94%B2%E8%8B%AF/_blank" </w:instrText>
            </w:r>
            <w:r>
              <w:rPr>
                <w:color w:val="000000" w:themeColor="text1"/>
                <w:highlight w:val="none"/>
                <w14:textFill>
                  <w14:solidFill>
                    <w14:schemeClr w14:val="tx1"/>
                  </w14:solidFill>
                </w14:textFill>
              </w:rPr>
              <w:fldChar w:fldCharType="separate"/>
            </w:r>
            <w:r>
              <w:rPr>
                <w:rFonts w:ascii="宋体" w:hAnsi="宋体"/>
                <w:color w:val="000000" w:themeColor="text1"/>
                <w:sz w:val="21"/>
                <w:szCs w:val="21"/>
                <w:highlight w:val="none"/>
                <w14:textFill>
                  <w14:solidFill>
                    <w14:schemeClr w14:val="tx1"/>
                  </w14:solidFill>
                </w14:textFill>
              </w:rPr>
              <w:t>槽车</w:t>
            </w:r>
            <w:r>
              <w:rPr>
                <w:rFonts w:ascii="宋体" w:hAnsi="宋体"/>
                <w:color w:val="000000" w:themeColor="text1"/>
                <w:sz w:val="21"/>
                <w:szCs w:val="21"/>
                <w:highlight w:val="none"/>
                <w14:textFill>
                  <w14:solidFill>
                    <w14:schemeClr w14:val="tx1"/>
                  </w14:solidFill>
                </w14:textFill>
              </w:rPr>
              <w:fldChar w:fldCharType="end"/>
            </w:r>
            <w:r>
              <w:rPr>
                <w:rFonts w:ascii="宋体" w:hAnsi="宋体"/>
                <w:color w:val="000000" w:themeColor="text1"/>
                <w:sz w:val="21"/>
                <w:szCs w:val="21"/>
                <w:highlight w:val="none"/>
                <w14:textFill>
                  <w14:solidFill>
                    <w14:schemeClr w14:val="tx1"/>
                  </w14:solidFill>
                </w14:textFill>
              </w:rPr>
              <w:t>或专用收集器内，回收或运至废物处理场所处置。迅速将被</w:t>
            </w:r>
            <w:r>
              <w:rPr>
                <w:rFonts w:hint="eastAsia" w:ascii="宋体" w:hAnsi="宋体"/>
                <w:color w:val="000000" w:themeColor="text1"/>
                <w:sz w:val="21"/>
                <w:szCs w:val="21"/>
                <w:highlight w:val="none"/>
                <w14:textFill>
                  <w14:solidFill>
                    <w14:schemeClr w14:val="tx1"/>
                  </w14:solidFill>
                </w14:textFill>
              </w:rPr>
              <w:t>化学品</w:t>
            </w:r>
            <w:r>
              <w:rPr>
                <w:rFonts w:ascii="宋体" w:hAnsi="宋体"/>
                <w:color w:val="000000" w:themeColor="text1"/>
                <w:sz w:val="21"/>
                <w:szCs w:val="21"/>
                <w:highlight w:val="none"/>
                <w14:textFill>
                  <w14:solidFill>
                    <w14:schemeClr w14:val="tx1"/>
                  </w14:solidFill>
                </w14:textFill>
              </w:rPr>
              <w:t>污染的土壤收集起来，转移到安全地带。对污染地带沿地面加强通风，蒸发残液，排除蒸气。迅速筑坝，切断受污染水体的流动，并用围栏等限制水面二甲苯的扩散。</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p>
        </w:tc>
      </w:tr>
    </w:tbl>
    <w:p>
      <w:pPr>
        <w:pStyle w:val="47"/>
        <w:ind w:firstLine="482"/>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表</w:t>
      </w:r>
      <w:r>
        <w:rPr>
          <w:rFonts w:hint="eastAsia"/>
          <w:b/>
          <w:color w:val="000000" w:themeColor="text1"/>
          <w:highlight w:val="none"/>
          <w:lang w:val="en-US" w:eastAsia="zh-CN"/>
          <w14:textFill>
            <w14:solidFill>
              <w14:schemeClr w14:val="tx1"/>
            </w14:solidFill>
          </w14:textFill>
        </w:rPr>
        <w:t>5</w:t>
      </w:r>
      <w:r>
        <w:rPr>
          <w:rFonts w:hint="eastAsia"/>
          <w:b/>
          <w:color w:val="000000" w:themeColor="text1"/>
          <w:highlight w:val="none"/>
          <w14:textFill>
            <w14:solidFill>
              <w14:schemeClr w14:val="tx1"/>
            </w14:solidFill>
          </w14:textFill>
        </w:rPr>
        <w:t>.6-5运输泄漏、火灾事故应急处置卡</w:t>
      </w:r>
    </w:p>
    <w:tbl>
      <w:tblPr>
        <w:tblStyle w:val="49"/>
        <w:tblW w:w="0" w:type="auto"/>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951"/>
        <w:gridCol w:w="7335"/>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事故类型</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1.涉及的风险物质：化学品</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2.事故可能发生的地点：运输途中</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3.事故类型：泄漏或火灾</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应急预警与相应程序</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1.发生事故后，根据事故现场情况，现场人员应立即自救或疏散撤离</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2.根据公司成立的现场应急处置小组根据实际情况进行应急处置，并根据事故的大小分级及发展态势向应急办公室、应急领导小组报告，根据事故情况启动相应的应急响应，并根据实际情况及时向</w:t>
            </w:r>
            <w:r>
              <w:rPr>
                <w:rFonts w:hint="eastAsia" w:ascii="宋体" w:hAnsi="宋体"/>
                <w:color w:val="000000" w:themeColor="text1"/>
                <w:sz w:val="21"/>
                <w:szCs w:val="21"/>
                <w:highlight w:val="none"/>
                <w:lang w:eastAsia="zh-CN"/>
                <w14:textFill>
                  <w14:solidFill>
                    <w14:schemeClr w14:val="tx1"/>
                  </w14:solidFill>
                </w14:textFill>
              </w:rPr>
              <w:t>宜春经济技术开发区管委会</w:t>
            </w:r>
            <w:r>
              <w:rPr>
                <w:rFonts w:hint="eastAsia"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lang w:eastAsia="zh-CN"/>
                <w14:textFill>
                  <w14:solidFill>
                    <w14:schemeClr w14:val="tx1"/>
                  </w14:solidFill>
                </w14:textFill>
              </w:rPr>
              <w:t>宜春市生态环境局宜春经济技术开发区分局</w:t>
            </w:r>
            <w:r>
              <w:rPr>
                <w:rFonts w:hint="eastAsia" w:ascii="宋体" w:hAnsi="宋体"/>
                <w:color w:val="000000" w:themeColor="text1"/>
                <w:sz w:val="21"/>
                <w:szCs w:val="21"/>
                <w:highlight w:val="none"/>
                <w14:textFill>
                  <w14:solidFill>
                    <w14:schemeClr w14:val="tx1"/>
                  </w14:solidFill>
                </w14:textFill>
              </w:rPr>
              <w:t>等应急办报告</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3.及时请求外部支援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应急报告</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报告内容：事件类型、地点、时间、性质、周边环境等基本情况</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向公司领导报告，相关部门的领导联系方式：</w:t>
            </w:r>
          </w:p>
          <w:p>
            <w:pPr>
              <w:pStyle w:val="47"/>
              <w:keepNext w:val="0"/>
              <w:keepLines w:val="0"/>
              <w:suppressLineNumbers w:val="0"/>
              <w:spacing w:before="0" w:beforeAutospacing="0" w:afterAutospacing="0"/>
              <w:ind w:right="0" w:firstLine="0" w:firstLineChars="0"/>
              <w:rPr>
                <w:rFonts w:hint="default"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总指挥：</w:t>
            </w:r>
            <w:r>
              <w:rPr>
                <w:rFonts w:hint="default" w:ascii="宋体" w:hAnsi="宋体"/>
                <w:color w:val="000000" w:themeColor="text1"/>
                <w:sz w:val="21"/>
                <w:szCs w:val="21"/>
                <w:highlight w:val="none"/>
                <w:lang w:val="en-US" w:eastAsia="zh-CN"/>
                <w14:textFill>
                  <w14:solidFill>
                    <w14:schemeClr w14:val="tx1"/>
                  </w14:solidFill>
                </w14:textFill>
              </w:rPr>
              <w:t>13802225855</w:t>
            </w:r>
          </w:p>
          <w:p>
            <w:pPr>
              <w:pStyle w:val="47"/>
              <w:keepNext w:val="0"/>
              <w:keepLines w:val="0"/>
              <w:suppressLineNumbers w:val="0"/>
              <w:spacing w:before="0" w:beforeAutospacing="0" w:afterAutospacing="0"/>
              <w:ind w:right="0" w:firstLine="0" w:firstLineChars="0"/>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副总指挥：</w:t>
            </w:r>
            <w:r>
              <w:rPr>
                <w:rFonts w:hint="eastAsia" w:ascii="宋体" w:hAnsi="宋体"/>
                <w:color w:val="000000" w:themeColor="text1"/>
                <w:sz w:val="21"/>
                <w:szCs w:val="21"/>
                <w:highlight w:val="none"/>
                <w:lang w:eastAsia="zh-CN"/>
                <w14:textFill>
                  <w14:solidFill>
                    <w14:schemeClr w14:val="tx1"/>
                  </w14:solidFill>
                </w14:textFill>
              </w:rPr>
              <w:t>13421345129</w:t>
            </w:r>
          </w:p>
          <w:p>
            <w:pPr>
              <w:pStyle w:val="47"/>
              <w:keepNext w:val="0"/>
              <w:keepLines w:val="0"/>
              <w:suppressLineNumbers w:val="0"/>
              <w:spacing w:before="0" w:beforeAutospacing="0" w:afterAutospacing="0"/>
              <w:ind w:right="0" w:firstLine="0" w:firstLineChars="0"/>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宜春市宜春市生态环境局宜春经济技术开发区分局</w:t>
            </w:r>
            <w:r>
              <w:rPr>
                <w:rFonts w:hint="eastAsia" w:ascii="宋体" w:hAnsi="宋体"/>
                <w:color w:val="000000" w:themeColor="text1"/>
                <w:sz w:val="21"/>
                <w:szCs w:val="21"/>
                <w:highlight w:val="none"/>
                <w14:textFill>
                  <w14:solidFill>
                    <w14:schemeClr w14:val="tx1"/>
                  </w14:solidFill>
                </w14:textFill>
              </w:rPr>
              <w:t>：</w:t>
            </w:r>
            <w:r>
              <w:rPr>
                <w:rFonts w:hint="eastAsia" w:ascii="宋体" w:hAnsi="宋体"/>
                <w:color w:val="000000" w:themeColor="text1"/>
                <w:sz w:val="21"/>
                <w:szCs w:val="21"/>
                <w:highlight w:val="none"/>
                <w:lang w:eastAsia="zh-CN"/>
                <w14:textFill>
                  <w14:solidFill>
                    <w14:schemeClr w14:val="tx1"/>
                  </w14:solidFill>
                </w14:textFill>
              </w:rPr>
              <w:t>0795-3653639</w:t>
            </w:r>
          </w:p>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应急负责人</w:t>
            </w:r>
          </w:p>
        </w:tc>
        <w:tc>
          <w:tcPr>
            <w:tcW w:w="7335" w:type="dxa"/>
          </w:tcPr>
          <w:p>
            <w:pPr>
              <w:pStyle w:val="47"/>
              <w:keepNext w:val="0"/>
              <w:keepLines w:val="0"/>
              <w:suppressLineNumbers w:val="0"/>
              <w:spacing w:before="0" w:beforeAutospacing="0" w:afterAutospacing="0"/>
              <w:ind w:right="0" w:firstLine="0" w:firstLineChars="0"/>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总指挥：</w:t>
            </w:r>
            <w:r>
              <w:rPr>
                <w:rFonts w:hint="eastAsia" w:ascii="宋体" w:hAnsi="宋体"/>
                <w:color w:val="000000" w:themeColor="text1"/>
                <w:sz w:val="21"/>
                <w:szCs w:val="21"/>
                <w:highlight w:val="none"/>
                <w:lang w:val="en-US" w:eastAsia="zh-CN"/>
                <w14:textFill>
                  <w14:solidFill>
                    <w14:schemeClr w14:val="tx1"/>
                  </w14:solidFill>
                </w14:textFill>
              </w:rPr>
              <w:t>刘小勇</w:t>
            </w:r>
          </w:p>
          <w:p>
            <w:pPr>
              <w:pStyle w:val="47"/>
              <w:keepNext w:val="0"/>
              <w:keepLines w:val="0"/>
              <w:suppressLineNumbers w:val="0"/>
              <w:spacing w:before="0" w:beforeAutospacing="0" w:afterAutospacing="0"/>
              <w:ind w:right="0" w:firstLine="0" w:firstLineChars="0"/>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副总指挥：</w:t>
            </w:r>
            <w:r>
              <w:rPr>
                <w:rFonts w:hint="eastAsia" w:ascii="宋体" w:hAnsi="宋体"/>
                <w:color w:val="000000" w:themeColor="text1"/>
                <w:sz w:val="21"/>
                <w:szCs w:val="21"/>
                <w:highlight w:val="none"/>
                <w:lang w:eastAsia="zh-CN"/>
                <w14:textFill>
                  <w14:solidFill>
                    <w14:schemeClr w14:val="tx1"/>
                  </w14:solidFill>
                </w14:textFill>
              </w:rPr>
              <w:t>甘月军</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应急物资与装备</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防护服、防护口罩、防护眼罩等</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疏散与撤离</w:t>
            </w:r>
          </w:p>
        </w:tc>
        <w:tc>
          <w:tcPr>
            <w:tcW w:w="7335"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按要求撤离</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951" w:type="dxa"/>
          </w:tcPr>
          <w:p>
            <w:pPr>
              <w:pStyle w:val="47"/>
              <w:keepNext w:val="0"/>
              <w:keepLines w:val="0"/>
              <w:suppressLineNumbers w:val="0"/>
              <w:spacing w:before="0" w:beforeAutospacing="0" w:afterAutospacing="0"/>
              <w:ind w:right="0" w:firstLine="0" w:firstLineChars="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应急处置措施</w:t>
            </w:r>
          </w:p>
        </w:tc>
        <w:tc>
          <w:tcPr>
            <w:tcW w:w="7335" w:type="dxa"/>
          </w:tcPr>
          <w:p>
            <w:pPr>
              <w:pStyle w:val="47"/>
              <w:keepNext w:val="0"/>
              <w:keepLines w:val="0"/>
              <w:suppressLineNumbers w:val="0"/>
              <w:spacing w:before="0" w:beforeAutospacing="0" w:afterAutospacing="0"/>
              <w:ind w:right="0"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1.尽快报警、组织人员抢救</w:t>
            </w:r>
          </w:p>
          <w:p>
            <w:pPr>
              <w:pStyle w:val="47"/>
              <w:keepNext w:val="0"/>
              <w:keepLines w:val="0"/>
              <w:suppressLineNumbers w:val="0"/>
              <w:spacing w:before="0" w:beforeAutospacing="0" w:afterAutospacing="0"/>
              <w:ind w:right="0"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危险化学品因为交通事故或其他原因发生泄漏,驾驶员、押运员或周围的人要尽快设法报警,报告当地公安消防部门或地方公安机关,可能的情况下采取应急措施,或将危险情况告知周围群众,尽量减少损失。</w:t>
            </w:r>
          </w:p>
          <w:p>
            <w:pPr>
              <w:pStyle w:val="47"/>
              <w:keepNext w:val="0"/>
              <w:keepLines w:val="0"/>
              <w:suppressLineNumbers w:val="0"/>
              <w:spacing w:before="0" w:beforeAutospacing="0" w:afterAutospacing="0"/>
              <w:ind w:right="0"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2.杜绝火源防止燃爆</w:t>
            </w:r>
          </w:p>
          <w:p>
            <w:pPr>
              <w:pStyle w:val="47"/>
              <w:keepNext w:val="0"/>
              <w:keepLines w:val="0"/>
              <w:suppressLineNumbers w:val="0"/>
              <w:spacing w:before="0" w:beforeAutospacing="0" w:afterAutospacing="0"/>
              <w:ind w:right="0"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泄漏的危险化学品如果是易燃易爆物品,现场和周围一定范围内要杜绝一切火源。所有的电气设备都应关掉,一切车辆都要停下来,手机等通讯工具也得关闭,防止打出的电火花弓|燃引爆可燃气体、可燃液体的蒸汽或可燃粉尘。如果贮罐、容器、槽车破损,要尽快设法堵塞漏洞,切断事故源。</w:t>
            </w:r>
          </w:p>
          <w:p>
            <w:pPr>
              <w:pStyle w:val="47"/>
              <w:keepNext w:val="0"/>
              <w:keepLines w:val="0"/>
              <w:suppressLineNumbers w:val="0"/>
              <w:spacing w:before="0" w:beforeAutospacing="0" w:afterAutospacing="0"/>
              <w:ind w:right="0"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3.采取相应的消毒措施</w:t>
            </w:r>
          </w:p>
          <w:p>
            <w:pPr>
              <w:pStyle w:val="47"/>
              <w:keepNext w:val="0"/>
              <w:keepLines w:val="0"/>
              <w:suppressLineNumbers w:val="0"/>
              <w:spacing w:before="0" w:beforeAutospacing="0" w:afterAutospacing="0"/>
              <w:ind w:right="0"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运输的危险化学品若具有腐蚀性、毒害性,在处理事故过程中,运输人员一定要采取积极慎重的措施,尽可能降低腐蚀性、毒害性物品对人的伤害。现场施救人员还应根据有毒物品的特征,穿戴防毒衣、防毒面具、防毒手套、防毒靴,以防止有毒物品通过呼吸道、皮肤接触进入人体。穿戴好防护用具,可减少身体暴露部与有毒物质接触,减少伤害。</w:t>
            </w:r>
          </w:p>
          <w:p>
            <w:pPr>
              <w:pStyle w:val="47"/>
              <w:keepNext w:val="0"/>
              <w:keepLines w:val="0"/>
              <w:suppressLineNumbers w:val="0"/>
              <w:spacing w:before="0" w:beforeAutospacing="0" w:afterAutospacing="0"/>
              <w:ind w:right="0"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4.加强对现场外泄物品监测</w:t>
            </w:r>
          </w:p>
          <w:p>
            <w:pPr>
              <w:pStyle w:val="47"/>
              <w:keepNext w:val="0"/>
              <w:keepLines w:val="0"/>
              <w:suppressLineNumbers w:val="0"/>
              <w:spacing w:before="0" w:beforeAutospacing="0" w:afterAutospacing="0"/>
              <w:ind w:right="0"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危险化学品泄漏处置过程中,还应特别注意对现场物品泄漏情况进行监测,特别是剧毒或易燃易爆化学物品的泄漏更应加强监测。有关部门]应组织专业检测技术人员和检验设备到场进行迅速检测, 测定泄漏化学物料的性质、危害程度、危害范围, 有时还需要通过检测来判明是哪种化学物质泄漏。</w:t>
            </w:r>
          </w:p>
        </w:tc>
      </w:tr>
      <w:bookmarkEnd w:id="389"/>
      <w:bookmarkEnd w:id="390"/>
    </w:tbl>
    <w:p>
      <w:pPr>
        <w:pStyle w:val="3"/>
        <w:rPr>
          <w:color w:val="000000" w:themeColor="text1"/>
          <w:highlight w:val="none"/>
          <w14:textFill>
            <w14:solidFill>
              <w14:schemeClr w14:val="tx1"/>
            </w14:solidFill>
          </w14:textFill>
        </w:rPr>
      </w:pPr>
      <w:bookmarkStart w:id="416" w:name="_Toc43203003"/>
      <w:bookmarkStart w:id="417" w:name="_Toc46857528"/>
      <w:bookmarkStart w:id="418" w:name="_Toc342328518"/>
      <w:bookmarkStart w:id="419" w:name="_Toc20127"/>
      <w:bookmarkStart w:id="420" w:name="_Toc408503128"/>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.7 人员紧急撤离和疏散</w:t>
      </w:r>
      <w:bookmarkEnd w:id="416"/>
      <w:bookmarkEnd w:id="417"/>
      <w:bookmarkEnd w:id="418"/>
      <w:bookmarkEnd w:id="419"/>
      <w:bookmarkEnd w:id="420"/>
    </w:p>
    <w:p>
      <w:pPr>
        <w:adjustRightInd w:val="0"/>
        <w:snapToGrid w:val="0"/>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1、疏散、撤离组织负责人</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Ⅰ级</w:t>
      </w:r>
      <w:r>
        <w:rPr>
          <w:rFonts w:hint="eastAsia" w:ascii="宋体" w:hAnsi="宋体" w:cs="宋体"/>
          <w:color w:val="000000" w:themeColor="text1"/>
          <w:sz w:val="24"/>
          <w:highlight w:val="none"/>
          <w14:textFill>
            <w14:solidFill>
              <w14:schemeClr w14:val="tx1"/>
            </w14:solidFill>
          </w14:textFill>
        </w:rPr>
        <w:t>突发环境事件发生后，由应急指挥部向环保、安监等上级部门汇报，根据上级政府部门指令要求，确定是否需要进行疏散。若明确疏散范围，则在上级政府部门领导下，应急指挥部配合参与人员疏散。企业内部由现场治安组负责人作为疏散、撤离组织负责人，若现场治安组负责人不在现场，则应由指挥部指定专人作为疏散、撤离组织负责人。</w:t>
      </w:r>
    </w:p>
    <w:p>
      <w:pPr>
        <w:spacing w:line="360" w:lineRule="auto"/>
        <w:ind w:firstLine="482" w:firstLineChars="200"/>
        <w:rPr>
          <w:rFonts w:ascii="宋体" w:hAnsi="宋体" w:cs="宋体"/>
          <w:b/>
          <w:color w:val="000000" w:themeColor="text1"/>
          <w:sz w:val="24"/>
          <w:highlight w:val="none"/>
          <w14:textFill>
            <w14:solidFill>
              <w14:schemeClr w14:val="tx1"/>
            </w14:solidFill>
          </w14:textFill>
        </w:rPr>
      </w:pPr>
      <w:bookmarkStart w:id="421" w:name="_Toc395805024"/>
      <w:bookmarkStart w:id="422" w:name="_Toc403659405"/>
      <w:bookmarkStart w:id="423" w:name="_Toc396237268"/>
      <w:bookmarkStart w:id="424" w:name="_Toc402875736"/>
      <w:bookmarkStart w:id="425" w:name="_Toc405384571"/>
      <w:bookmarkStart w:id="426" w:name="_Toc399352226"/>
      <w:bookmarkStart w:id="427" w:name="_Toc405881583"/>
      <w:bookmarkStart w:id="428" w:name="_Toc396934398"/>
      <w:bookmarkStart w:id="429" w:name="_Toc383072817"/>
      <w:bookmarkStart w:id="430" w:name="_Toc383173024"/>
      <w:bookmarkStart w:id="431" w:name="_Toc408503129"/>
      <w:bookmarkStart w:id="432" w:name="_Toc378105701"/>
      <w:r>
        <w:rPr>
          <w:rFonts w:hint="eastAsia" w:ascii="宋体" w:hAnsi="宋体" w:cs="宋体"/>
          <w:b/>
          <w:color w:val="000000" w:themeColor="text1"/>
          <w:sz w:val="24"/>
          <w:highlight w:val="none"/>
          <w14:textFill>
            <w14:solidFill>
              <w14:schemeClr w14:val="tx1"/>
            </w14:solidFill>
          </w14:textFill>
        </w:rPr>
        <w:t>2、撤离方式</w:t>
      </w:r>
      <w:bookmarkEnd w:id="421"/>
      <w:bookmarkEnd w:id="422"/>
      <w:bookmarkEnd w:id="423"/>
      <w:bookmarkEnd w:id="424"/>
      <w:bookmarkEnd w:id="425"/>
      <w:bookmarkEnd w:id="426"/>
      <w:bookmarkEnd w:id="427"/>
      <w:bookmarkEnd w:id="428"/>
      <w:bookmarkEnd w:id="429"/>
      <w:bookmarkEnd w:id="430"/>
      <w:bookmarkEnd w:id="431"/>
      <w:bookmarkEnd w:id="432"/>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事故现场人员向上风或侧向风方向转移，负责疏散、撤离的现场治安组人员引导和护送疏散人群到安全区，并逐一清点人数。</w:t>
      </w:r>
      <w:r>
        <w:rPr>
          <w:rFonts w:hint="eastAsia" w:ascii="宋体" w:hAnsi="宋体" w:cs="宋体"/>
          <w:bCs/>
          <w:color w:val="000000" w:themeColor="text1"/>
          <w:sz w:val="24"/>
          <w:highlight w:val="none"/>
          <w14:textFill>
            <w14:solidFill>
              <w14:schemeClr w14:val="tx1"/>
            </w14:solidFill>
          </w14:textFill>
        </w:rPr>
        <w:t>在一定范围内划出警戒线，并在各路口派保卫人员设岗执勤，实行交通管制，阻止无关人员及车辆进入，并保持急救道路畅通。</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在疏散和撤离的路线上可设立指示牌，指明方向，人员不要在低洼处滞留，要查清是否有人留在泄漏区或污染区。如发现有人未及时撤离，应由佩戴适宜防护装备的抢险队员两人进入现场搜寻，并实施救助。</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当事故威胁到周边地区的群众时，及时向上级环保部门、当地政府部门报告，由当地政府指导疏散工作。</w:t>
      </w:r>
    </w:p>
    <w:p>
      <w:pPr>
        <w:spacing w:line="360" w:lineRule="auto"/>
        <w:ind w:firstLine="482" w:firstLineChars="200"/>
        <w:rPr>
          <w:rFonts w:ascii="宋体" w:hAnsi="宋体" w:cs="宋体"/>
          <w:b/>
          <w:color w:val="000000" w:themeColor="text1"/>
          <w:sz w:val="24"/>
          <w:highlight w:val="none"/>
          <w14:textFill>
            <w14:solidFill>
              <w14:schemeClr w14:val="tx1"/>
            </w14:solidFill>
          </w14:textFill>
        </w:rPr>
      </w:pPr>
      <w:bookmarkStart w:id="433" w:name="_Toc462232975"/>
      <w:bookmarkStart w:id="434" w:name="_Toc341430182"/>
      <w:r>
        <w:rPr>
          <w:rFonts w:hint="eastAsia" w:ascii="宋体" w:hAnsi="宋体" w:cs="宋体"/>
          <w:b/>
          <w:color w:val="000000" w:themeColor="text1"/>
          <w:sz w:val="24"/>
          <w:highlight w:val="none"/>
          <w14:textFill>
            <w14:solidFill>
              <w14:schemeClr w14:val="tx1"/>
            </w14:solidFill>
          </w14:textFill>
        </w:rPr>
        <w:t>3、疏散和撤离措施</w:t>
      </w:r>
      <w:bookmarkEnd w:id="433"/>
    </w:p>
    <w:p>
      <w:pPr>
        <w:adjustRightInd w:val="0"/>
        <w:snapToGrid w:val="0"/>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疏散引导小组到达事故现场后，听从现场指挥安排，对可能发生的危险化学品事故场所、设施及周围情况分析出结果，并依据分析结果引导和疏散现场无关人员至安全区域。在疏散撤离过程中小组成员根据预案要求的疏散、撤离方式方法，要做的工作有：</w:t>
      </w:r>
    </w:p>
    <w:p>
      <w:pPr>
        <w:adjustRightInd w:val="0"/>
        <w:snapToGrid w:val="0"/>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（1）清点事故现场人员是否为事故发生前人数；</w:t>
      </w:r>
    </w:p>
    <w:p>
      <w:pPr>
        <w:adjustRightInd w:val="0"/>
        <w:snapToGrid w:val="0"/>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（2）紧急疏散非事故现场人员至安全区；</w:t>
      </w:r>
    </w:p>
    <w:p>
      <w:pPr>
        <w:adjustRightInd w:val="0"/>
        <w:snapToGrid w:val="0"/>
        <w:spacing w:line="360" w:lineRule="auto"/>
        <w:ind w:firstLine="48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（3）做出抢救人员撤离前、撤离后的报告；</w:t>
      </w:r>
    </w:p>
    <w:p>
      <w:pPr>
        <w:adjustRightInd w:val="0"/>
        <w:snapToGrid w:val="0"/>
        <w:spacing w:line="360" w:lineRule="auto"/>
        <w:ind w:firstLine="480"/>
        <w:rPr>
          <w:color w:val="000000" w:themeColor="text1"/>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（4）通知周边区域单位、社区人员疏散撤离并告知方式方法。</w:t>
      </w:r>
      <w:bookmarkEnd w:id="434"/>
    </w:p>
    <w:p>
      <w:pPr>
        <w:spacing w:line="360" w:lineRule="auto"/>
        <w:ind w:firstLine="482" w:firstLineChars="200"/>
        <w:rPr>
          <w:rFonts w:ascii="宋体" w:hAnsi="宋体" w:cs="宋体"/>
          <w:b/>
          <w:color w:val="000000" w:themeColor="text1"/>
          <w:sz w:val="24"/>
          <w:highlight w:val="none"/>
          <w14:textFill>
            <w14:solidFill>
              <w14:schemeClr w14:val="tx1"/>
            </w14:solidFill>
          </w14:textFill>
        </w:rPr>
      </w:pPr>
      <w:bookmarkStart w:id="435" w:name="_Toc405881584"/>
      <w:bookmarkStart w:id="436" w:name="_Toc399352227"/>
      <w:bookmarkStart w:id="437" w:name="_Toc383173025"/>
      <w:bookmarkStart w:id="438" w:name="_Toc396237269"/>
      <w:bookmarkStart w:id="439" w:name="_Toc378105702"/>
      <w:bookmarkStart w:id="440" w:name="_Toc402875737"/>
      <w:bookmarkStart w:id="441" w:name="_Toc408503130"/>
      <w:bookmarkStart w:id="442" w:name="_Toc396934399"/>
      <w:bookmarkStart w:id="443" w:name="_Toc383072818"/>
      <w:bookmarkStart w:id="444" w:name="_Toc405384572"/>
      <w:bookmarkStart w:id="445" w:name="_Toc395805025"/>
      <w:bookmarkStart w:id="446" w:name="_Toc403659406"/>
      <w:r>
        <w:rPr>
          <w:rFonts w:hint="eastAsia" w:ascii="宋体" w:hAnsi="宋体" w:cs="宋体"/>
          <w:b/>
          <w:color w:val="000000" w:themeColor="text1"/>
          <w:sz w:val="24"/>
          <w:highlight w:val="none"/>
          <w14:textFill>
            <w14:solidFill>
              <w14:schemeClr w14:val="tx1"/>
            </w14:solidFill>
          </w14:textFill>
        </w:rPr>
        <w:t>4、撤离路线确定</w:t>
      </w:r>
      <w:bookmarkEnd w:id="435"/>
      <w:bookmarkEnd w:id="436"/>
      <w:bookmarkEnd w:id="437"/>
      <w:bookmarkEnd w:id="438"/>
      <w:bookmarkEnd w:id="439"/>
      <w:bookmarkEnd w:id="440"/>
      <w:bookmarkEnd w:id="441"/>
      <w:bookmarkEnd w:id="442"/>
      <w:bookmarkEnd w:id="443"/>
      <w:bookmarkEnd w:id="444"/>
      <w:bookmarkEnd w:id="445"/>
      <w:bookmarkEnd w:id="446"/>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bookmarkStart w:id="447" w:name="_Toc383173026"/>
      <w:bookmarkStart w:id="448" w:name="_Toc405881585"/>
      <w:bookmarkStart w:id="449" w:name="_Toc395805026"/>
      <w:bookmarkStart w:id="450" w:name="_Toc396934400"/>
      <w:bookmarkStart w:id="451" w:name="_Toc408503131"/>
      <w:bookmarkStart w:id="452" w:name="_Toc396237270"/>
      <w:bookmarkStart w:id="453" w:name="_Toc378105703"/>
      <w:bookmarkStart w:id="454" w:name="_Toc405384573"/>
      <w:bookmarkStart w:id="455" w:name="_Toc402875738"/>
      <w:bookmarkStart w:id="456" w:name="_Toc399352228"/>
      <w:bookmarkStart w:id="457" w:name="_Toc403659407"/>
      <w:bookmarkStart w:id="458" w:name="_Toc383072819"/>
      <w:r>
        <w:rPr>
          <w:rFonts w:hint="eastAsia" w:ascii="宋体" w:hAnsi="宋体" w:cs="宋体"/>
          <w:color w:val="000000" w:themeColor="text1"/>
          <w:sz w:val="24"/>
          <w:highlight w:val="none"/>
          <w14:textFill>
            <w14:solidFill>
              <w14:schemeClr w14:val="tx1"/>
            </w14:solidFill>
          </w14:textFill>
        </w:rPr>
        <w:t>项目应急逃生路线图见附图</w:t>
      </w:r>
      <w:r>
        <w:rPr>
          <w:rFonts w:hint="eastAsia" w:ascii="宋体" w:hAnsi="宋体" w:cs="宋体"/>
          <w:color w:val="000000" w:themeColor="text1"/>
          <w:sz w:val="24"/>
          <w:highlight w:val="none"/>
          <w:lang w:val="en-US" w:eastAsia="zh-CN"/>
          <w14:textFill>
            <w14:solidFill>
              <w14:schemeClr w14:val="tx1"/>
            </w14:solidFill>
          </w14:textFill>
        </w:rPr>
        <w:t>6</w:t>
      </w:r>
      <w:r>
        <w:rPr>
          <w:rFonts w:hint="eastAsia" w:ascii="宋体" w:hAnsi="宋体" w:cs="宋体"/>
          <w:color w:val="000000" w:themeColor="text1"/>
          <w:sz w:val="24"/>
          <w:highlight w:val="none"/>
          <w14:textFill>
            <w14:solidFill>
              <w14:schemeClr w14:val="tx1"/>
            </w14:solidFill>
          </w14:textFill>
        </w:rPr>
        <w:t>。</w:t>
      </w:r>
    </w:p>
    <w:p>
      <w:pPr>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5、周边企业人员的紧急疏散</w:t>
      </w:r>
      <w:bookmarkEnd w:id="447"/>
      <w:bookmarkEnd w:id="448"/>
      <w:bookmarkEnd w:id="449"/>
      <w:bookmarkEnd w:id="450"/>
      <w:bookmarkEnd w:id="451"/>
      <w:bookmarkEnd w:id="452"/>
      <w:bookmarkEnd w:id="453"/>
      <w:bookmarkEnd w:id="454"/>
      <w:bookmarkEnd w:id="455"/>
      <w:bookmarkEnd w:id="456"/>
      <w:bookmarkEnd w:id="457"/>
      <w:bookmarkEnd w:id="458"/>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根据危险化学品事故的危害特性和事故的涉及或影响范围，应急指挥部应及时将事故情况汇报当地政府及有关部门，指导周边区域的企业进行疏散工作。</w:t>
      </w:r>
    </w:p>
    <w:p>
      <w:pPr>
        <w:spacing w:line="360" w:lineRule="auto"/>
        <w:ind w:firstLine="482" w:firstLineChars="200"/>
        <w:rPr>
          <w:rFonts w:ascii="宋体" w:hAnsi="宋体" w:cs="宋体"/>
          <w:b/>
          <w:color w:val="000000" w:themeColor="text1"/>
          <w:sz w:val="24"/>
          <w:highlight w:val="none"/>
          <w14:textFill>
            <w14:solidFill>
              <w14:schemeClr w14:val="tx1"/>
            </w14:solidFill>
          </w14:textFill>
        </w:rPr>
      </w:pPr>
      <w:bookmarkStart w:id="459" w:name="_Toc378105704"/>
      <w:bookmarkStart w:id="460" w:name="_Toc403659408"/>
      <w:bookmarkStart w:id="461" w:name="_Toc383173027"/>
      <w:bookmarkStart w:id="462" w:name="_Toc399352229"/>
      <w:bookmarkStart w:id="463" w:name="_Toc402875739"/>
      <w:bookmarkStart w:id="464" w:name="_Toc396237271"/>
      <w:bookmarkStart w:id="465" w:name="_Toc408503132"/>
      <w:bookmarkStart w:id="466" w:name="_Toc405384574"/>
      <w:bookmarkStart w:id="467" w:name="_Toc396934401"/>
      <w:bookmarkStart w:id="468" w:name="_Toc395805027"/>
      <w:bookmarkStart w:id="469" w:name="_Toc383072820"/>
      <w:bookmarkStart w:id="470" w:name="_Toc405881586"/>
      <w:r>
        <w:rPr>
          <w:rFonts w:hint="eastAsia" w:ascii="宋体" w:hAnsi="宋体" w:cs="宋体"/>
          <w:b/>
          <w:color w:val="000000" w:themeColor="text1"/>
          <w:sz w:val="24"/>
          <w:highlight w:val="none"/>
          <w14:textFill>
            <w14:solidFill>
              <w14:schemeClr w14:val="tx1"/>
            </w14:solidFill>
          </w14:textFill>
        </w:rPr>
        <w:t>6、其他人员的疏散</w:t>
      </w:r>
      <w:bookmarkEnd w:id="459"/>
      <w:bookmarkEnd w:id="460"/>
      <w:bookmarkEnd w:id="461"/>
      <w:bookmarkEnd w:id="462"/>
      <w:bookmarkEnd w:id="463"/>
      <w:bookmarkEnd w:id="464"/>
      <w:bookmarkEnd w:id="465"/>
      <w:bookmarkEnd w:id="466"/>
      <w:bookmarkEnd w:id="467"/>
      <w:bookmarkEnd w:id="468"/>
      <w:bookmarkEnd w:id="469"/>
      <w:bookmarkEnd w:id="470"/>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根据危险化学品事故的危害特性和事故的涉及或影响范围，由应急指挥部决定是否需要向周边地区发布信息，并与当地政府有关部门联系，配合政府疏散的相关工作，确保周边区域的人员安全疏散。</w:t>
      </w:r>
    </w:p>
    <w:p>
      <w:pPr>
        <w:pStyle w:val="3"/>
        <w:rPr>
          <w:color w:val="000000" w:themeColor="text1"/>
          <w:highlight w:val="none"/>
          <w14:textFill>
            <w14:solidFill>
              <w14:schemeClr w14:val="tx1"/>
            </w14:solidFill>
          </w14:textFill>
        </w:rPr>
      </w:pPr>
      <w:bookmarkStart w:id="471" w:name="_Toc408503133"/>
      <w:bookmarkStart w:id="472" w:name="_Toc342165906"/>
      <w:bookmarkStart w:id="473" w:name="_Toc46857529"/>
      <w:bookmarkStart w:id="474" w:name="_Toc10726"/>
      <w:bookmarkStart w:id="475" w:name="_Toc43203004"/>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.8现场救援、防护措施</w:t>
      </w:r>
      <w:bookmarkEnd w:id="471"/>
      <w:bookmarkEnd w:id="472"/>
      <w:bookmarkEnd w:id="473"/>
      <w:bookmarkEnd w:id="474"/>
      <w:bookmarkEnd w:id="475"/>
    </w:p>
    <w:p>
      <w:pPr>
        <w:adjustRightInd w:val="0"/>
        <w:snapToGrid w:val="0"/>
        <w:spacing w:beforeLines="50"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w:t>
      </w:r>
      <w:r>
        <w:rPr>
          <w:rFonts w:ascii="宋体" w:hAnsi="宋体" w:cs="宋体"/>
          <w:b/>
          <w:color w:val="000000" w:themeColor="text1"/>
          <w:sz w:val="24"/>
          <w:highlight w:val="none"/>
          <w14:textFill>
            <w14:solidFill>
              <w14:schemeClr w14:val="tx1"/>
            </w14:solidFill>
          </w14:textFill>
        </w:rPr>
        <w:t>.</w:t>
      </w:r>
      <w:r>
        <w:rPr>
          <w:rFonts w:hint="eastAsia" w:ascii="宋体" w:hAnsi="宋体" w:cs="宋体"/>
          <w:b/>
          <w:color w:val="000000" w:themeColor="text1"/>
          <w:sz w:val="24"/>
          <w:highlight w:val="none"/>
          <w14:textFill>
            <w14:solidFill>
              <w14:schemeClr w14:val="tx1"/>
            </w14:solidFill>
          </w14:textFill>
        </w:rPr>
        <w:t>现场人员应急救援</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（1）当发生灾害后，在救护队和医生到达之前，事故地点及附近的职工应迅速组织自救和互救。利用现场一切器材和条件，及时采取救护措施，尽量减少人员伤亡。</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（2）因事故造成自己所在地点有毒有害气体含量增高，可能危及人员生命安全时，必须及时正确地佩戴自救器，并严格制止不佩戴自救器的人员进入灾区工作或通过窒息区撤离。</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（3）在受灾地点或撤退途中发现受伤的人员，只要他们一息尚存，就要积极组织人员进行抢救并迅速搬运到安全地点。</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（4）在现场急救和搬运伤员过程中，方法要得当，动作要轻巧，避免伤员伤势加重和承受不必要的痛苦。</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（5）对于从灾区内营救出来的伤员，应妥善安置到安全地点，并根据伤情，就地取材，及时进行止血，包扎、骨折固定、人工呼吸等应急处理。</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（6）毒性防护及现场救护：如果皮肤接触，脱去污染的衣物，立即用水冲洗至少 15 分钟或用 2%碳酸氢钠溶液冲洗，并立即就医。如是眼睛接触，立即提起眼睑，用大量流动清水或生理盐水冲洗至少15 分钟并立即就医。如发生毒性气体吸入，应迅速脱离现场至空气新鲜处，呼吸困难时给予输氧，立即就医。 </w:t>
      </w:r>
    </w:p>
    <w:p>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（7）医院救治：当人员发生重大伤害后，立即采取先期救治措施后，由人事行政部安排车辆立即送往马边县人民医院进行救治。</w:t>
      </w:r>
    </w:p>
    <w:p>
      <w:pPr>
        <w:adjustRightInd w:val="0"/>
        <w:snapToGrid w:val="0"/>
        <w:spacing w:beforeLines="50"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w:t>
      </w:r>
      <w:r>
        <w:rPr>
          <w:rFonts w:ascii="宋体" w:hAnsi="宋体" w:cs="宋体"/>
          <w:b/>
          <w:color w:val="000000" w:themeColor="text1"/>
          <w:sz w:val="24"/>
          <w:highlight w:val="none"/>
          <w14:textFill>
            <w14:solidFill>
              <w14:schemeClr w14:val="tx1"/>
            </w14:solidFill>
          </w14:textFill>
        </w:rPr>
        <w:t>.</w:t>
      </w:r>
      <w:r>
        <w:rPr>
          <w:rFonts w:hint="eastAsia" w:ascii="宋体" w:hAnsi="宋体" w:cs="宋体"/>
          <w:b/>
          <w:color w:val="000000" w:themeColor="text1"/>
          <w:sz w:val="24"/>
          <w:highlight w:val="none"/>
          <w14:textFill>
            <w14:solidFill>
              <w14:schemeClr w14:val="tx1"/>
            </w14:solidFill>
          </w14:textFill>
        </w:rPr>
        <w:t>受灾群众安全防护</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当地政府组织做好事故发生地群众的安全防护工作，要根据突发环境事件的性质、特点，告知群众应采取的安全防护措施，条件允许和必要时，应尽可能提供防护物品；并根据事发时当地的气象、地理环境、人员密集程度等情况，确定群众疏散方式和方向，乡镇（街道）组织群众安全疏散、撤离，必要时可在事发地安全边界之外设立紧急避难场所。</w:t>
      </w:r>
    </w:p>
    <w:p>
      <w:pPr>
        <w:pStyle w:val="3"/>
        <w:rPr>
          <w:color w:val="000000" w:themeColor="text1"/>
          <w:highlight w:val="none"/>
          <w14:textFill>
            <w14:solidFill>
              <w14:schemeClr w14:val="tx1"/>
            </w14:solidFill>
          </w14:textFill>
        </w:rPr>
      </w:pPr>
      <w:bookmarkStart w:id="476" w:name="_Toc43203005"/>
      <w:bookmarkStart w:id="477" w:name="_Toc408503134"/>
      <w:bookmarkStart w:id="478" w:name="_Toc342165907"/>
      <w:bookmarkStart w:id="479" w:name="_Toc46857530"/>
      <w:bookmarkStart w:id="480" w:name="_Toc16526"/>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.9应急监测</w:t>
      </w:r>
      <w:bookmarkEnd w:id="476"/>
      <w:bookmarkEnd w:id="477"/>
      <w:bookmarkEnd w:id="478"/>
      <w:bookmarkEnd w:id="479"/>
      <w:bookmarkEnd w:id="480"/>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企业应配备应急监测设备及人员，随时接受来自项目总调度室、各部门的污染事故信息，及时采取应急监测方案，出动应急监测人员和分析人员，配合环保部门进行环境事故污染源的调查与处置。</w:t>
      </w:r>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应急监测体系如下：</w:t>
      </w:r>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应制定环境应急监测制度和计划，包括监测机构及职责、监测人员及装备配置、监测任务（危险源及环境要素、项目、布点、方法、频率等）、监测质量保证等内容，以适应环境应急监测工作的需要。事故应急监测也可委托地方监测部门进行。在发生事故时，应及时通知监测部门开展监测工作，并协助地方人民政府开展相关应急监测工作，编制应急监测快报和正式报告。</w:t>
      </w:r>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应急监测快报的主要内容应包括：事故发生的时间，接到通知的时间，到达现场监测的时间；事故发生的具体位置及主要污染物的名称；监测实施方案，包括采样点位、监测项目与频次、监测方法等；事故原因及伤亡损失情况的初步分析；主要污染物的流失量、浓度及影响范围的初步估算；简要说明污染物的有害特性、可能产生的危害及处理处置建议；附现场示意图及录像或照片（有条件的情况下）。</w:t>
      </w:r>
    </w:p>
    <w:p>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初步监测方案</w:t>
      </w:r>
      <w:r>
        <w:rPr>
          <w:rFonts w:hint="eastAsia"/>
          <w:color w:val="000000" w:themeColor="text1"/>
          <w:sz w:val="24"/>
          <w:highlight w:val="none"/>
          <w14:textFill>
            <w14:solidFill>
              <w14:schemeClr w14:val="tx1"/>
            </w14:solidFill>
          </w14:textFill>
        </w:rPr>
        <w:t>具体见表：</w:t>
      </w:r>
    </w:p>
    <w:p>
      <w:pPr>
        <w:pStyle w:val="47"/>
        <w:ind w:firstLine="482"/>
        <w:jc w:val="cente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表</w:t>
      </w:r>
      <w:r>
        <w:rPr>
          <w:rFonts w:hint="eastAsia"/>
          <w:b/>
          <w:color w:val="000000" w:themeColor="text1"/>
          <w:highlight w:val="none"/>
          <w:lang w:val="en-US" w:eastAsia="zh-CN"/>
          <w14:textFill>
            <w14:solidFill>
              <w14:schemeClr w14:val="tx1"/>
            </w14:solidFill>
          </w14:textFill>
        </w:rPr>
        <w:t>5</w:t>
      </w:r>
      <w:r>
        <w:rPr>
          <w:b/>
          <w:color w:val="000000" w:themeColor="text1"/>
          <w:highlight w:val="none"/>
          <w14:textFill>
            <w14:solidFill>
              <w14:schemeClr w14:val="tx1"/>
            </w14:solidFill>
          </w14:textFill>
        </w:rPr>
        <w:t xml:space="preserve">.9-1 </w:t>
      </w:r>
      <w:r>
        <w:rPr>
          <w:rFonts w:hint="eastAsia"/>
          <w:b/>
          <w:color w:val="000000" w:themeColor="text1"/>
          <w:highlight w:val="none"/>
          <w14:textFill>
            <w14:solidFill>
              <w14:schemeClr w14:val="tx1"/>
            </w14:solidFill>
          </w14:textFill>
        </w:rPr>
        <w:t>应急监测方案表</w:t>
      </w:r>
    </w:p>
    <w:tbl>
      <w:tblPr>
        <w:tblStyle w:val="49"/>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184"/>
        <w:gridCol w:w="2480"/>
        <w:gridCol w:w="3006"/>
        <w:gridCol w:w="1371"/>
        <w:gridCol w:w="1121"/>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PrEx>
        <w:trPr>
          <w:trHeight w:val="935" w:hRule="atLeast"/>
          <w:jc w:val="center"/>
        </w:trPr>
        <w:tc>
          <w:tcPr>
            <w:tcW w:w="118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类型</w:t>
            </w:r>
          </w:p>
        </w:tc>
        <w:tc>
          <w:tcPr>
            <w:tcW w:w="24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布点采样</w:t>
            </w:r>
          </w:p>
        </w:tc>
        <w:tc>
          <w:tcPr>
            <w:tcW w:w="3006"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监测频次</w:t>
            </w:r>
          </w:p>
        </w:tc>
        <w:tc>
          <w:tcPr>
            <w:tcW w:w="137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监测因子</w:t>
            </w:r>
          </w:p>
        </w:tc>
        <w:tc>
          <w:tcPr>
            <w:tcW w:w="112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FF0000"/>
                <w:sz w:val="21"/>
                <w:szCs w:val="21"/>
                <w:highlight w:val="none"/>
              </w:rPr>
            </w:pPr>
            <w:r>
              <w:rPr>
                <w:rFonts w:hint="default" w:ascii="Times New Roman" w:hAnsi="Times New Roman" w:cs="Times New Roman"/>
                <w:color w:val="FF0000"/>
                <w:sz w:val="21"/>
                <w:szCs w:val="21"/>
                <w:highlight w:val="none"/>
              </w:rPr>
              <w:t>监测人员、设备及方法</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683" w:hRule="atLeast"/>
          <w:jc w:val="center"/>
        </w:trPr>
        <w:tc>
          <w:tcPr>
            <w:tcW w:w="118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废气非正常排放</w:t>
            </w:r>
          </w:p>
        </w:tc>
        <w:tc>
          <w:tcPr>
            <w:tcW w:w="24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1#、2#排气筒及厂界</w:t>
            </w:r>
          </w:p>
        </w:tc>
        <w:tc>
          <w:tcPr>
            <w:tcW w:w="3006"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840" w:firstLineChars="400"/>
              <w:jc w:val="both"/>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事发：次/h</w:t>
            </w:r>
          </w:p>
          <w:p>
            <w:pPr>
              <w:pStyle w:val="4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240" w:lineRule="auto"/>
              <w:ind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事中：次/天</w:t>
            </w:r>
          </w:p>
          <w:p>
            <w:pPr>
              <w:pStyle w:val="4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240" w:lineRule="auto"/>
              <w:ind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事后：次/年</w:t>
            </w:r>
          </w:p>
        </w:tc>
        <w:tc>
          <w:tcPr>
            <w:tcW w:w="137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含锡废气、TVOC</w:t>
            </w:r>
            <w:r>
              <w:rPr>
                <w:rFonts w:hint="default" w:ascii="Times New Roman" w:hAnsi="Times New Roman" w:cs="Times New Roman"/>
                <w:color w:val="000000" w:themeColor="text1"/>
                <w:sz w:val="21"/>
                <w:szCs w:val="21"/>
                <w:highlight w:val="none"/>
                <w:lang w:eastAsia="zh-CN"/>
                <w14:textFill>
                  <w14:solidFill>
                    <w14:schemeClr w14:val="tx1"/>
                  </w14:solidFill>
                </w14:textFill>
              </w:rPr>
              <w:t>、</w:t>
            </w:r>
            <w:r>
              <w:rPr>
                <w:rFonts w:hint="default" w:ascii="Times New Roman" w:hAnsi="Times New Roman" w:cs="Times New Roman"/>
                <w:color w:val="000000" w:themeColor="text1"/>
                <w:sz w:val="21"/>
                <w:szCs w:val="21"/>
                <w:highlight w:val="none"/>
                <w:lang w:val="en-US" w:eastAsia="zh-CN"/>
                <w14:textFill>
                  <w14:solidFill>
                    <w14:schemeClr w14:val="tx1"/>
                  </w14:solidFill>
                </w14:textFill>
              </w:rPr>
              <w:t>二甲苯</w:t>
            </w:r>
          </w:p>
        </w:tc>
        <w:tc>
          <w:tcPr>
            <w:tcW w:w="1121" w:type="dxa"/>
            <w:vMerge w:val="restart"/>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FF0000"/>
                <w:sz w:val="21"/>
                <w:szCs w:val="21"/>
                <w:highlight w:val="none"/>
              </w:rPr>
            </w:pPr>
            <w:r>
              <w:rPr>
                <w:rFonts w:hint="default" w:ascii="Times New Roman" w:hAnsi="Times New Roman" w:cs="Times New Roman"/>
                <w:color w:val="FF0000"/>
                <w:sz w:val="21"/>
                <w:szCs w:val="21"/>
                <w:highlight w:val="none"/>
              </w:rPr>
              <w:t>委托</w:t>
            </w:r>
            <w:r>
              <w:rPr>
                <w:color w:val="FF0000"/>
                <w:szCs w:val="21"/>
                <w:highlight w:val="none"/>
              </w:rPr>
              <w:t>江西昌强环境科技有限公司</w:t>
            </w:r>
            <w:r>
              <w:rPr>
                <w:rFonts w:hint="default" w:ascii="Times New Roman" w:hAnsi="Times New Roman" w:cs="Times New Roman"/>
                <w:color w:val="FF0000"/>
                <w:sz w:val="21"/>
                <w:szCs w:val="21"/>
                <w:highlight w:val="none"/>
              </w:rPr>
              <w:t>进行监测</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70" w:hRule="atLeast"/>
          <w:jc w:val="center"/>
        </w:trPr>
        <w:tc>
          <w:tcPr>
            <w:tcW w:w="118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废水泄露</w:t>
            </w:r>
          </w:p>
        </w:tc>
        <w:tc>
          <w:tcPr>
            <w:tcW w:w="24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在事故影响区域内饮用水和农灌区取水口必须设置采样断面(点)。根据污染物的特性，必要时，对水体应同时布设沉积物采样断面(点)。当采样断面水宽&lt;10m时，在主流中心采样;当断面水宽&gt;10m时，在左、中、右三点采样后混合。</w:t>
            </w:r>
          </w:p>
        </w:tc>
        <w:tc>
          <w:tcPr>
            <w:tcW w:w="3006"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事发：次/h</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事中：4次/天</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事后：次/半年</w:t>
            </w:r>
          </w:p>
        </w:tc>
        <w:tc>
          <w:tcPr>
            <w:tcW w:w="137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pH、SS、CODcr、氨氮、总磷等</w:t>
            </w:r>
          </w:p>
        </w:tc>
        <w:tc>
          <w:tcPr>
            <w:tcW w:w="1121"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70" w:hRule="atLeast"/>
          <w:jc w:val="center"/>
        </w:trPr>
        <w:tc>
          <w:tcPr>
            <w:tcW w:w="118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化学品泄露</w:t>
            </w:r>
          </w:p>
        </w:tc>
        <w:tc>
          <w:tcPr>
            <w:tcW w:w="24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地表水：在事故影响区域内饮用水和农灌区取水口必须设置采样断面(点)。根据污染物的特性，必要时，对水体应同时布设沉积物采样断面(点)。当采样断面水宽&lt;10m时，在主流中心采样;当断面水宽&gt;10m时，在左、中、右三点采样后混合。</w:t>
            </w:r>
          </w:p>
        </w:tc>
        <w:tc>
          <w:tcPr>
            <w:tcW w:w="3006"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地表水：事发：次/h</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事中：4次/天</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事后：次/半年</w:t>
            </w:r>
          </w:p>
          <w:p>
            <w:pPr>
              <w:pStyle w:val="47"/>
              <w:keepNext w:val="0"/>
              <w:keepLines w:val="0"/>
              <w:pageBreakBefore w:val="0"/>
              <w:widowControl w:val="0"/>
              <w:suppressLineNumbers w:val="0"/>
              <w:kinsoku/>
              <w:wordWrap/>
              <w:overflowPunct/>
              <w:topLinePunct w:val="0"/>
              <w:autoSpaceDE/>
              <w:autoSpaceDN/>
              <w:bidi w:val="0"/>
              <w:adjustRightInd/>
              <w:snapToGrid/>
              <w:spacing w:before="0" w:beforeAutospacing="0" w:afterAutospacing="0" w:line="240" w:lineRule="auto"/>
              <w:ind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p>
        </w:tc>
        <w:tc>
          <w:tcPr>
            <w:tcW w:w="137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pH、SS、CODcr、BOD、氨氮、总磷、泄露化学品成分等</w:t>
            </w:r>
          </w:p>
        </w:tc>
        <w:tc>
          <w:tcPr>
            <w:tcW w:w="1121"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14" w:hRule="atLeast"/>
          <w:jc w:val="center"/>
        </w:trPr>
        <w:tc>
          <w:tcPr>
            <w:tcW w:w="1184"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火灾</w:t>
            </w:r>
          </w:p>
        </w:tc>
        <w:tc>
          <w:tcPr>
            <w:tcW w:w="2480"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①首先应当尽可能在事故发生地就近采样，并以事故地点为中心，根据事故发</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生地的地理特点、风向及其它自然条件，在事故发生地当日的下风向影响区域</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等位置，按50~100米水平间隔布点采样，监控大气污染物的水平扩散情况。②在上风向设置对照点，- -般1~2个。</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③且采样过程中应注意风向的变化，及时调整采样点位置。</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p>
        </w:tc>
        <w:tc>
          <w:tcPr>
            <w:tcW w:w="3006"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初始加密监测，视污染物浓度递减，具体频次如下。</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事故发生地:初始加密(1次/时，事故发生后60分钟内连续监测)，随着污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染物浓度下降逐渐降低频次;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周边环境敏感点(1~4个)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事故发生地下风向(3~8个) : 4次/天或与事故发生地同频次；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事故发生地上风向对照点(1~2个) : 1次/天。</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水污染监测要点如下:</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(1)若消防水进入雨水系统，则对消防水进行采样分析，监测指标主要是pH、</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COD、SS、氨氮、石油类、氟化物、总磷;</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(2)监测点位为厂区围堰处。初始加密(6次/天)监测，随着污染物浓度的</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下降逐渐降低频次。</w:t>
            </w:r>
          </w:p>
        </w:tc>
        <w:tc>
          <w:tcPr>
            <w:tcW w:w="137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r>
              <w:rPr>
                <w:rFonts w:hint="default" w:ascii="Times New Roman" w:hAnsi="Times New Roman" w:cs="Times New Roman"/>
                <w:color w:val="000000" w:themeColor="text1"/>
                <w:sz w:val="21"/>
                <w:szCs w:val="21"/>
                <w:highlight w:val="none"/>
                <w14:textFill>
                  <w14:solidFill>
                    <w14:schemeClr w14:val="tx1"/>
                  </w14:solidFill>
                </w14:textFill>
              </w:rPr>
              <w:t>一氧化碳、二氧化硫、二氧化氮、颗粒物等</w:t>
            </w:r>
          </w:p>
        </w:tc>
        <w:tc>
          <w:tcPr>
            <w:tcW w:w="1121" w:type="dxa"/>
            <w:vMerge w:val="continue"/>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000000" w:themeColor="text1"/>
                <w:sz w:val="21"/>
                <w:szCs w:val="21"/>
                <w:highlight w:val="none"/>
                <w14:textFill>
                  <w14:solidFill>
                    <w14:schemeClr w14:val="tx1"/>
                  </w14:solidFill>
                </w14:textFill>
              </w:rPr>
            </w:pPr>
          </w:p>
        </w:tc>
      </w:tr>
    </w:tbl>
    <w:p>
      <w:pPr>
        <w:adjustRightInd w:val="0"/>
        <w:snapToGrid w:val="0"/>
        <w:spacing w:line="360" w:lineRule="auto"/>
        <w:ind w:firstLine="482" w:firstLineChars="200"/>
        <w:rPr>
          <w:rFonts w:hint="eastAsia" w:ascii="宋体" w:hAnsi="宋体" w:cs="宋体"/>
          <w:b/>
          <w:color w:val="000000" w:themeColor="text1"/>
          <w:sz w:val="24"/>
          <w:highlight w:val="none"/>
          <w14:textFill>
            <w14:solidFill>
              <w14:schemeClr w14:val="tx1"/>
            </w14:solidFill>
          </w14:textFill>
        </w:rPr>
      </w:pPr>
    </w:p>
    <w:p>
      <w:pPr>
        <w:adjustRightInd w:val="0"/>
        <w:snapToGrid w:val="0"/>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监测结果公告</w:t>
      </w:r>
    </w:p>
    <w:p>
      <w:pPr>
        <w:adjustRightInd w:val="0"/>
        <w:snapToGrid w:val="0"/>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发生事故性排放后，造成水体或大气污染，须进行废水、废气跟踪监测，并准确记录监测时间、监测天数等，直至废水处理站出水达到标准、地表水与原背景值接近，废气处理设施能够正常运行，公司厂界和周围敏感点大气环境满足相关质量标准要求。监测结果经</w:t>
      </w:r>
      <w:r>
        <w:rPr>
          <w:rFonts w:hint="eastAsia" w:ascii="宋体" w:hAnsi="宋体" w:cs="宋体"/>
          <w:color w:val="000000" w:themeColor="text1"/>
          <w:sz w:val="24"/>
          <w:highlight w:val="none"/>
          <w:lang w:eastAsia="zh-CN"/>
          <w14:textFill>
            <w14:solidFill>
              <w14:schemeClr w14:val="tx1"/>
            </w14:solidFill>
          </w14:textFill>
        </w:rPr>
        <w:t>宜春经济技术开发区管委会</w:t>
      </w:r>
      <w:r>
        <w:rPr>
          <w:rFonts w:hint="eastAsia" w:ascii="宋体" w:hAnsi="宋体" w:cs="宋体"/>
          <w:color w:val="000000" w:themeColor="text1"/>
          <w:sz w:val="24"/>
          <w:highlight w:val="none"/>
          <w14:textFill>
            <w14:solidFill>
              <w14:schemeClr w14:val="tx1"/>
            </w14:solidFill>
          </w14:textFill>
        </w:rPr>
        <w:t>或</w:t>
      </w:r>
      <w:r>
        <w:rPr>
          <w:rFonts w:hint="eastAsia" w:ascii="宋体" w:hAnsi="宋体" w:cs="宋体"/>
          <w:bCs/>
          <w:color w:val="000000" w:themeColor="text1"/>
          <w:sz w:val="24"/>
          <w:highlight w:val="none"/>
          <w:lang w:eastAsia="zh-CN"/>
          <w14:textFill>
            <w14:solidFill>
              <w14:schemeClr w14:val="tx1"/>
            </w14:solidFill>
          </w14:textFill>
        </w:rPr>
        <w:t>宜春市生态环境局宜春经济技术开发区分局</w:t>
      </w:r>
      <w:r>
        <w:rPr>
          <w:rFonts w:hint="eastAsia" w:ascii="宋体" w:hAnsi="宋体" w:cs="宋体"/>
          <w:color w:val="000000" w:themeColor="text1"/>
          <w:sz w:val="24"/>
          <w:highlight w:val="none"/>
          <w14:textFill>
            <w14:solidFill>
              <w14:schemeClr w14:val="tx1"/>
            </w14:solidFill>
          </w14:textFill>
        </w:rPr>
        <w:t>批准后及时向公众发布，使公众能够及时、准确了解污染和处置情况。</w:t>
      </w:r>
    </w:p>
    <w:p>
      <w:pPr>
        <w:pStyle w:val="3"/>
        <w:rPr>
          <w:color w:val="000000" w:themeColor="text1"/>
          <w:highlight w:val="none"/>
          <w14:textFill>
            <w14:solidFill>
              <w14:schemeClr w14:val="tx1"/>
            </w14:solidFill>
          </w14:textFill>
        </w:rPr>
      </w:pPr>
      <w:bookmarkStart w:id="481" w:name="_Toc27471"/>
      <w:bookmarkStart w:id="482" w:name="_Toc46857531"/>
      <w:bookmarkStart w:id="483" w:name="_Toc43203006"/>
      <w:bookmarkStart w:id="484" w:name="_Toc408503139"/>
      <w:bookmarkStart w:id="485" w:name="_Toc383072827"/>
      <w:bookmarkStart w:id="486" w:name="_Toc354489559"/>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.10现场洗消</w:t>
      </w:r>
      <w:bookmarkEnd w:id="481"/>
      <w:bookmarkEnd w:id="482"/>
      <w:bookmarkEnd w:id="483"/>
      <w:bookmarkEnd w:id="484"/>
      <w:bookmarkEnd w:id="485"/>
      <w:bookmarkEnd w:id="486"/>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现场洗消是为了防止危险物质的传播，去除暴露于有毒、有害化学品环境场所的污染，对事故现场和受影响区域的个人、救援装备、现场设备和生态环境进行清洁净化和恢复的过程。</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bookmarkStart w:id="487" w:name="_Toc399352237"/>
      <w:bookmarkStart w:id="488" w:name="_Toc383072828"/>
      <w:bookmarkStart w:id="489" w:name="_Toc396934409"/>
      <w:bookmarkStart w:id="490" w:name="_Toc395805035"/>
      <w:bookmarkStart w:id="491" w:name="_Toc405384582"/>
      <w:bookmarkStart w:id="492" w:name="_Toc405881594"/>
      <w:bookmarkStart w:id="493" w:name="_Toc396237279"/>
      <w:bookmarkStart w:id="494" w:name="_Toc383173035"/>
      <w:bookmarkStart w:id="495" w:name="_Toc408503140"/>
      <w:bookmarkStart w:id="496" w:name="_Toc403659416"/>
      <w:bookmarkStart w:id="497" w:name="_Toc402875747"/>
      <w:bookmarkStart w:id="498" w:name="_Toc378105713"/>
      <w:r>
        <w:rPr>
          <w:rFonts w:hint="eastAsia" w:ascii="宋体" w:hAnsi="宋体" w:cs="宋体"/>
          <w:color w:val="000000" w:themeColor="text1"/>
          <w:sz w:val="24"/>
          <w:highlight w:val="none"/>
          <w14:textFill>
            <w14:solidFill>
              <w14:schemeClr w14:val="tx1"/>
            </w14:solidFill>
          </w14:textFill>
        </w:rPr>
        <w:t>1、现场净化方式、方法</w:t>
      </w:r>
      <w:bookmarkEnd w:id="487"/>
      <w:bookmarkEnd w:id="488"/>
      <w:bookmarkEnd w:id="489"/>
      <w:bookmarkEnd w:id="490"/>
      <w:bookmarkEnd w:id="491"/>
      <w:bookmarkEnd w:id="492"/>
      <w:bookmarkEnd w:id="493"/>
      <w:bookmarkEnd w:id="494"/>
      <w:bookmarkEnd w:id="495"/>
      <w:bookmarkEnd w:id="496"/>
      <w:bookmarkEnd w:id="497"/>
      <w:bookmarkEnd w:id="498"/>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在应急基本行动即将终止前，应进行洗消和净化。洗消与净化包括人员的洗消和现场环境的净化。环境污染事故中可能涉及的危险物质泄漏使现场人员受到污染和伤害，洗消与净化是应急行动的一个环节。</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bookmarkStart w:id="499" w:name="_Toc405881595"/>
      <w:bookmarkStart w:id="500" w:name="_Toc396237280"/>
      <w:bookmarkStart w:id="501" w:name="_Toc378105714"/>
      <w:bookmarkStart w:id="502" w:name="_Toc396934410"/>
      <w:bookmarkStart w:id="503" w:name="_Toc383173036"/>
      <w:bookmarkStart w:id="504" w:name="_Toc403659417"/>
      <w:bookmarkStart w:id="505" w:name="_Toc402875748"/>
      <w:bookmarkStart w:id="506" w:name="_Toc405384583"/>
      <w:bookmarkStart w:id="507" w:name="_Toc399352238"/>
      <w:bookmarkStart w:id="508" w:name="_Toc408503141"/>
      <w:bookmarkStart w:id="509" w:name="_Toc395805036"/>
      <w:bookmarkStart w:id="510" w:name="_Toc383072829"/>
      <w:r>
        <w:rPr>
          <w:rFonts w:hint="eastAsia" w:ascii="宋体" w:hAnsi="宋体" w:cs="宋体"/>
          <w:color w:val="000000" w:themeColor="text1"/>
          <w:sz w:val="24"/>
          <w:highlight w:val="none"/>
          <w14:textFill>
            <w14:solidFill>
              <w14:schemeClr w14:val="tx1"/>
            </w14:solidFill>
          </w14:textFill>
        </w:rPr>
        <w:t>(1)洗消的对象</w:t>
      </w:r>
      <w:bookmarkEnd w:id="499"/>
      <w:bookmarkEnd w:id="500"/>
      <w:bookmarkEnd w:id="501"/>
      <w:bookmarkEnd w:id="502"/>
      <w:bookmarkEnd w:id="503"/>
      <w:bookmarkEnd w:id="504"/>
      <w:bookmarkEnd w:id="505"/>
      <w:bookmarkEnd w:id="506"/>
      <w:bookmarkEnd w:id="507"/>
      <w:bookmarkEnd w:id="508"/>
      <w:bookmarkEnd w:id="509"/>
      <w:bookmarkEnd w:id="510"/>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在危险区（污染区边界处）与安全区交界处设立洗消站（通常每个出口处设一个），洗消的对象包括：①轻度中毒的人员；②重度中毒人员在送医院治疗之前；③现场医务人员；④环境监察、监测人员，消防和其他抢险人员以及群众互救人员；⑤抢救及染毒器具。洗消需使用相应的洗消药剂；洗消污水的排放必须经过环保部门的检测，以防造成二次污染。</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bookmarkStart w:id="511" w:name="_Toc383173037"/>
      <w:bookmarkStart w:id="512" w:name="_Toc378105715"/>
      <w:bookmarkStart w:id="513" w:name="_Toc399352239"/>
      <w:bookmarkStart w:id="514" w:name="_Toc396934411"/>
      <w:bookmarkStart w:id="515" w:name="_Toc405881596"/>
      <w:bookmarkStart w:id="516" w:name="_Toc396237281"/>
      <w:bookmarkStart w:id="517" w:name="_Toc383072830"/>
      <w:bookmarkStart w:id="518" w:name="_Toc408503142"/>
      <w:bookmarkStart w:id="519" w:name="_Toc395805037"/>
      <w:bookmarkStart w:id="520" w:name="_Toc403659418"/>
      <w:bookmarkStart w:id="521" w:name="_Toc405384584"/>
      <w:bookmarkStart w:id="522" w:name="_Toc402875749"/>
      <w:r>
        <w:rPr>
          <w:rFonts w:hint="eastAsia" w:ascii="宋体" w:hAnsi="宋体" w:cs="宋体"/>
          <w:color w:val="000000" w:themeColor="text1"/>
          <w:sz w:val="24"/>
          <w:highlight w:val="none"/>
          <w14:textFill>
            <w14:solidFill>
              <w14:schemeClr w14:val="tx1"/>
            </w14:solidFill>
          </w14:textFill>
        </w:rPr>
        <w:t>(2)洗消的方法</w:t>
      </w:r>
      <w:bookmarkEnd w:id="511"/>
      <w:bookmarkEnd w:id="512"/>
      <w:bookmarkEnd w:id="513"/>
      <w:bookmarkEnd w:id="514"/>
      <w:bookmarkEnd w:id="515"/>
      <w:bookmarkEnd w:id="516"/>
      <w:bookmarkEnd w:id="517"/>
      <w:bookmarkEnd w:id="518"/>
      <w:bookmarkEnd w:id="519"/>
      <w:bookmarkEnd w:id="520"/>
      <w:bookmarkEnd w:id="521"/>
      <w:bookmarkEnd w:id="522"/>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人员洗消：用清水、肥皂水或其他洗消剂进行清洗或用毛巾擦拭等方法清除身体上的污染物；用水洗、拍打、抖拂等方法清除服装上的污染物。洗消时产生的废弃物要妥善处理，防止污染扩散。</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环境污染事故中，由于化学品污染、燃烧和其他的原因引起的伤害，受伤人员可能会出现危急情况，紧急医疗必须在快速、有效但安全的环境中进行。在进行医疗前的洗消时，应选择和辩识净化区域和分类区域的位置，考虑到不同的风向条件，所选择的位置应该在上风向以避免暴露于污染物扩散区而受到影响；在上坡以避免来自于消防和化学品的喷溅，并选择车辆易于到达的地方。</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在进一步的治疗和转移前，必要的最低程度上的初净化是对伤员的衣服和其他明显的污染的净化。伤员的彻底“净化”应该在伤员处于稳定状态时进行。在现场的应急医疗服务人员应负责这些操作。</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bookmarkStart w:id="523" w:name="_Toc396934412"/>
      <w:bookmarkStart w:id="524" w:name="_Toc395805038"/>
      <w:bookmarkStart w:id="525" w:name="_Toc402875750"/>
      <w:bookmarkStart w:id="526" w:name="_Toc383072831"/>
      <w:bookmarkStart w:id="527" w:name="_Toc378105716"/>
      <w:bookmarkStart w:id="528" w:name="_Toc408503143"/>
      <w:bookmarkStart w:id="529" w:name="_Toc405384585"/>
      <w:bookmarkStart w:id="530" w:name="_Toc403659419"/>
      <w:bookmarkStart w:id="531" w:name="_Toc383173038"/>
      <w:bookmarkStart w:id="532" w:name="_Toc399352240"/>
      <w:bookmarkStart w:id="533" w:name="_Toc405881597"/>
      <w:bookmarkStart w:id="534" w:name="_Toc396237282"/>
      <w:r>
        <w:rPr>
          <w:rFonts w:hint="eastAsia" w:ascii="宋体" w:hAnsi="宋体" w:cs="宋体"/>
          <w:color w:val="000000" w:themeColor="text1"/>
          <w:sz w:val="24"/>
          <w:highlight w:val="none"/>
          <w14:textFill>
            <w14:solidFill>
              <w14:schemeClr w14:val="tx1"/>
            </w14:solidFill>
          </w14:textFill>
        </w:rPr>
        <w:t>(3)环境的净化</w:t>
      </w:r>
      <w:bookmarkEnd w:id="523"/>
      <w:bookmarkEnd w:id="524"/>
      <w:bookmarkEnd w:id="525"/>
      <w:bookmarkEnd w:id="526"/>
      <w:bookmarkEnd w:id="527"/>
      <w:bookmarkEnd w:id="528"/>
      <w:bookmarkEnd w:id="529"/>
      <w:bookmarkEnd w:id="530"/>
      <w:bookmarkEnd w:id="531"/>
      <w:bookmarkEnd w:id="532"/>
      <w:bookmarkEnd w:id="533"/>
      <w:bookmarkEnd w:id="534"/>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清洁净化的准备主要包括：废水的处理，需要的净化设备（如软管、水枪、喷雾器、淋浴器）等。环境的净化的主要方法包括：</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①稀释。用水、清洁剂、清洗溶液清洗和稀释污染物。洗涤溶液包括清洁剂、肥皂或其他的液体香皂。清洗液可能包括：稀释的磷酸盐、小苏打。</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②处理。在事故区域中使用的衣服、工具、设备应该考虑处理。当应急人员从受污染区域撤出时，他们的衣服或其他的物品应贮藏在合适的容器中并作为危险的废物来进一步处理。</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③物理法去除。使用刷子可以去除一些物质，吸尘器也可以吸收活性物质，较大的部分应该用大量的水和清洁剂清洗。</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④中和。中和通常不直接应用于人的身上，它的使用通常仅限于衣服和设备，如处理酸性物质应用碱性药剂；处理液碱等碱性物质应用酸性药剂。苏打粉、碳酸氢钠、碎的石灰石、醋、柠檬酸、家用漂白剂、次氯酸钙盐、矿物油都是一些获得广泛使用的中和材料。</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⑤吸附。利用活性炭吸附泄漏物品或过滤空气、水中的污染物，也可以利用棉花、纱布等吸去人体皮肤上的污染物液滴。</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⑥转移。通过铲除、切断或覆盖等手段将污染物移走或覆盖掉，减轻或消除污染物的危害。</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(4)设备的净化</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环境污染事故发生后被污染的仪器和设备清除及清洗不可忽视，在发生污染物已经泄漏到环境中的事故后，应注意在应急行动中受到污染的应急设备的污染清楚。决定恢复和清除效果的重要因素是时间。</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小范围的设备净化的基本方法是一样的，通常用清洗的方法来完成。大范围的设备净化一般是两个过程。第一个过程是去除或降低大面积上的污染；第二个过程是收集废液并处理污染物质。当发生酸性物质泄漏时，应用石灰等进行中和，但应该控制速度，不要一次投入过多石灰进行中和。可以利用活性炭进行大范围内的吸附处理。当污染物质是淤泥状时，应该先刮去淤泥，然后水进行冲洗。</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bookmarkStart w:id="535" w:name="_Toc405384586"/>
      <w:bookmarkStart w:id="536" w:name="_Toc395805039"/>
      <w:bookmarkStart w:id="537" w:name="_Toc403659420"/>
      <w:bookmarkStart w:id="538" w:name="_Toc396237283"/>
      <w:bookmarkStart w:id="539" w:name="_Toc408503144"/>
      <w:bookmarkStart w:id="540" w:name="_Toc402875751"/>
      <w:bookmarkStart w:id="541" w:name="_Toc399352241"/>
      <w:bookmarkStart w:id="542" w:name="_Toc383173039"/>
      <w:bookmarkStart w:id="543" w:name="_Toc396934413"/>
      <w:bookmarkStart w:id="544" w:name="_Toc405881598"/>
      <w:bookmarkStart w:id="545" w:name="_Toc378105717"/>
      <w:bookmarkStart w:id="546" w:name="_Toc383072832"/>
      <w:r>
        <w:rPr>
          <w:rFonts w:hint="eastAsia" w:ascii="宋体" w:hAnsi="宋体" w:cs="宋体"/>
          <w:color w:val="000000" w:themeColor="text1"/>
          <w:sz w:val="24"/>
          <w:highlight w:val="none"/>
          <w14:textFill>
            <w14:solidFill>
              <w14:schemeClr w14:val="tx1"/>
            </w14:solidFill>
          </w14:textFill>
        </w:rPr>
        <w:t>2、明确事故现场洗消工作的负责人和专业队伍</w:t>
      </w:r>
      <w:bookmarkEnd w:id="535"/>
      <w:bookmarkEnd w:id="536"/>
      <w:bookmarkEnd w:id="537"/>
      <w:bookmarkEnd w:id="538"/>
      <w:bookmarkEnd w:id="539"/>
      <w:bookmarkEnd w:id="540"/>
      <w:bookmarkEnd w:id="541"/>
      <w:bookmarkEnd w:id="542"/>
      <w:bookmarkEnd w:id="543"/>
      <w:bookmarkEnd w:id="544"/>
      <w:bookmarkEnd w:id="545"/>
      <w:bookmarkEnd w:id="546"/>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由应急指挥部抽调前面的应急小分队成员，在专家或熟悉厂内危险化学品性质的人员指导。</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bookmarkStart w:id="547" w:name="_Toc403659421"/>
      <w:bookmarkStart w:id="548" w:name="_Toc399352242"/>
      <w:bookmarkStart w:id="549" w:name="_Toc402875752"/>
      <w:bookmarkStart w:id="550" w:name="_Toc405384587"/>
      <w:bookmarkStart w:id="551" w:name="_Toc383173040"/>
      <w:bookmarkStart w:id="552" w:name="_Toc405881599"/>
      <w:bookmarkStart w:id="553" w:name="_Toc408503145"/>
      <w:bookmarkStart w:id="554" w:name="_Toc396934414"/>
      <w:bookmarkStart w:id="555" w:name="_Toc395805040"/>
      <w:bookmarkStart w:id="556" w:name="_Toc383072833"/>
      <w:bookmarkStart w:id="557" w:name="_Toc378105718"/>
      <w:bookmarkStart w:id="558" w:name="_Toc396237284"/>
      <w:r>
        <w:rPr>
          <w:rFonts w:hint="eastAsia" w:ascii="宋体" w:hAnsi="宋体" w:cs="宋体"/>
          <w:color w:val="000000" w:themeColor="text1"/>
          <w:sz w:val="24"/>
          <w:highlight w:val="none"/>
          <w14:textFill>
            <w14:solidFill>
              <w14:schemeClr w14:val="tx1"/>
            </w14:solidFill>
          </w14:textFill>
        </w:rPr>
        <w:t>3、洗消后的二次污染的防治方案</w:t>
      </w:r>
      <w:bookmarkEnd w:id="547"/>
      <w:bookmarkEnd w:id="548"/>
      <w:bookmarkEnd w:id="549"/>
      <w:bookmarkEnd w:id="550"/>
      <w:bookmarkEnd w:id="551"/>
      <w:bookmarkEnd w:id="552"/>
      <w:bookmarkEnd w:id="553"/>
      <w:bookmarkEnd w:id="554"/>
      <w:bookmarkEnd w:id="555"/>
      <w:bookmarkEnd w:id="556"/>
      <w:bookmarkEnd w:id="557"/>
      <w:bookmarkEnd w:id="558"/>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对于在事故区域洗消后的衣服、工具、设备应贮藏在合适的容器中作为危险废物进一步处理。洗消用活性炭吸附后的废渣应作为危险固废送固废处理中心进行处理；洗消稀释后的废水应收集至应急池，然后用泵抽入废水站处理达标后排放。</w:t>
      </w:r>
    </w:p>
    <w:p>
      <w:pPr>
        <w:pStyle w:val="3"/>
        <w:rPr>
          <w:color w:val="000000" w:themeColor="text1"/>
          <w:highlight w:val="none"/>
          <w14:textFill>
            <w14:solidFill>
              <w14:schemeClr w14:val="tx1"/>
            </w14:solidFill>
          </w14:textFill>
        </w:rPr>
      </w:pPr>
      <w:bookmarkStart w:id="559" w:name="_Toc354489560"/>
      <w:bookmarkStart w:id="560" w:name="_Toc9804"/>
      <w:bookmarkStart w:id="561" w:name="_Toc21917_WPSOffice_Level2"/>
      <w:bookmarkStart w:id="562" w:name="_Toc408503146"/>
      <w:bookmarkStart w:id="563" w:name="_Toc46857532"/>
      <w:bookmarkStart w:id="564" w:name="_Toc43203007"/>
      <w:bookmarkStart w:id="565" w:name="_Toc20385_WPSOffice_Level2"/>
      <w:r>
        <w:rPr>
          <w:rFonts w:hint="eastAsia"/>
          <w:color w:val="000000" w:themeColor="text1"/>
          <w:highlight w:val="none"/>
          <w:lang w:val="en-US" w:eastAsia="zh-CN"/>
          <w14:textFill>
            <w14:solidFill>
              <w14:schemeClr w14:val="tx1"/>
            </w14:solidFill>
          </w14:textFill>
        </w:rPr>
        <w:t>5</w:t>
      </w:r>
      <w:r>
        <w:rPr>
          <w:rFonts w:hint="eastAsia"/>
          <w:color w:val="000000" w:themeColor="text1"/>
          <w:highlight w:val="none"/>
          <w14:textFill>
            <w14:solidFill>
              <w14:schemeClr w14:val="tx1"/>
            </w14:solidFill>
          </w14:textFill>
        </w:rPr>
        <w:t>.11</w:t>
      </w:r>
      <w:r>
        <w:rPr>
          <w:color w:val="000000" w:themeColor="text1"/>
          <w:highlight w:val="none"/>
          <w14:textFill>
            <w14:solidFill>
              <w14:schemeClr w14:val="tx1"/>
            </w14:solidFill>
          </w14:textFill>
        </w:rPr>
        <w:t>次生灾害防范</w:t>
      </w:r>
      <w:bookmarkEnd w:id="559"/>
      <w:bookmarkEnd w:id="560"/>
      <w:bookmarkEnd w:id="561"/>
      <w:bookmarkEnd w:id="562"/>
      <w:bookmarkEnd w:id="563"/>
      <w:bookmarkEnd w:id="564"/>
      <w:bookmarkEnd w:id="565"/>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火灾事故发生后，在处置火灾时，要做好救护人员的人身安全，防止发生烧伤、CO中毒事故发生；事故消防水要全部进事故应急池待事故解除后进污水处理站处理，防止废水通过雨水管网进入周边水体，造成水体污染；此外，要监测达标后才能进污水处理厂处理，防止对污水处理厂造成影响。</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液态化学品发生泄露后要做好污染防治和环境修复，防止泄露残留物对土壤、地下水及地表水的污染。</w:t>
      </w:r>
    </w:p>
    <w:p>
      <w:pPr>
        <w:pStyle w:val="3"/>
        <w:rPr>
          <w:rFonts w:ascii="Times New Roman" w:hAnsi="Times New Roman" w:eastAsia="仿宋_GB2312"/>
          <w:color w:val="000000" w:themeColor="text1"/>
          <w:highlight w:val="none"/>
          <w14:textFill>
            <w14:solidFill>
              <w14:schemeClr w14:val="tx1"/>
            </w14:solidFill>
          </w14:textFill>
        </w:rPr>
      </w:pPr>
      <w:bookmarkStart w:id="566" w:name="_Toc27977"/>
      <w:bookmarkStart w:id="567" w:name="_Toc43203008"/>
      <w:bookmarkStart w:id="568" w:name="_Toc32700_WPSOffice_Level2"/>
      <w:bookmarkStart w:id="569" w:name="_Toc408503147"/>
      <w:bookmarkStart w:id="570" w:name="_Toc354489561"/>
      <w:bookmarkStart w:id="571" w:name="_Toc46857533"/>
      <w:bookmarkStart w:id="572" w:name="_Toc23353_WPSOffice_Level2"/>
      <w:r>
        <w:rPr>
          <w:rFonts w:hint="eastAsia" w:ascii="Times New Roman" w:hAnsi="Times New Roman" w:eastAsia="仿宋_GB2312"/>
          <w:color w:val="000000" w:themeColor="text1"/>
          <w:highlight w:val="none"/>
          <w:lang w:val="en-US" w:eastAsia="zh-CN"/>
          <w14:textFill>
            <w14:solidFill>
              <w14:schemeClr w14:val="tx1"/>
            </w14:solidFill>
          </w14:textFill>
        </w:rPr>
        <w:t>5</w:t>
      </w:r>
      <w:r>
        <w:rPr>
          <w:rFonts w:hint="eastAsia" w:ascii="Times New Roman" w:hAnsi="Times New Roman" w:eastAsia="仿宋_GB2312"/>
          <w:color w:val="000000" w:themeColor="text1"/>
          <w:highlight w:val="none"/>
          <w14:textFill>
            <w14:solidFill>
              <w14:schemeClr w14:val="tx1"/>
            </w14:solidFill>
          </w14:textFill>
        </w:rPr>
        <w:t>.12</w:t>
      </w:r>
      <w:r>
        <w:rPr>
          <w:rFonts w:ascii="Times New Roman" w:hAnsi="仿宋_GB2312" w:eastAsia="仿宋_GB2312"/>
          <w:color w:val="000000" w:themeColor="text1"/>
          <w:highlight w:val="none"/>
          <w14:textFill>
            <w14:solidFill>
              <w14:schemeClr w14:val="tx1"/>
            </w14:solidFill>
          </w14:textFill>
        </w:rPr>
        <w:t>事故应急终止</w:t>
      </w:r>
      <w:bookmarkEnd w:id="566"/>
      <w:bookmarkEnd w:id="567"/>
      <w:bookmarkEnd w:id="568"/>
      <w:bookmarkEnd w:id="569"/>
      <w:bookmarkEnd w:id="570"/>
      <w:bookmarkEnd w:id="571"/>
      <w:bookmarkEnd w:id="572"/>
    </w:p>
    <w:p>
      <w:pPr>
        <w:adjustRightInd w:val="0"/>
        <w:snapToGrid w:val="0"/>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1、应急终止条件</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突发环境事件经过处理后，符合下列条件后可宣布应急终止：</w:t>
      </w:r>
    </w:p>
    <w:p>
      <w:pPr>
        <w:adjustRightInd w:val="0"/>
        <w:snapToGrid w:val="0"/>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⑴泄漏、火灾等得到控制，事故发生条件已经清除；</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⑵泄漏或火灾造成的危害得到清除；</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⑶应急救援行动已经完成，无继续行动的必要；</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⑷采取了必要的防护措施，周边人群的危害降至较低水平，并无二次危害可能。</w:t>
      </w:r>
    </w:p>
    <w:p>
      <w:pPr>
        <w:adjustRightInd w:val="0"/>
        <w:snapToGrid w:val="0"/>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2、应急终止程序</w:t>
      </w:r>
    </w:p>
    <w:p>
      <w:pPr>
        <w:adjustRightInd w:val="0"/>
        <w:snapToGrid w:val="0"/>
        <w:spacing w:line="360" w:lineRule="auto"/>
        <w:ind w:firstLine="426"/>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⑴应急指挥部确定应急终止时机，由总指挥发布应急终止信息；</w:t>
      </w:r>
    </w:p>
    <w:p>
      <w:pPr>
        <w:adjustRightInd w:val="0"/>
        <w:snapToGrid w:val="0"/>
        <w:spacing w:line="360" w:lineRule="auto"/>
        <w:ind w:firstLine="426"/>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⑵应急救援指挥部向应急救援队伍下达终止信息；</w:t>
      </w:r>
    </w:p>
    <w:p>
      <w:pPr>
        <w:adjustRightInd w:val="0"/>
        <w:snapToGrid w:val="0"/>
        <w:spacing w:line="360" w:lineRule="auto"/>
        <w:ind w:firstLine="426"/>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⑶应急终止后，继续进行环境监测和事故调查、总结工作，直到所有污染物浓度降至规定水平。</w:t>
      </w:r>
    </w:p>
    <w:p>
      <w:pPr>
        <w:adjustRightInd w:val="0"/>
        <w:snapToGrid w:val="0"/>
        <w:spacing w:line="360" w:lineRule="auto"/>
        <w:ind w:firstLine="482" w:firstLineChars="200"/>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3、应急终止后的行动</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⑴通知本单位相关部门、周边社区及人员事故危险已解除；</w:t>
      </w:r>
    </w:p>
    <w:p>
      <w:pPr>
        <w:adjustRightInd w:val="0"/>
        <w:snapToGrid w:val="0"/>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⑵维护、保养应急仪器设备；</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⑶应急过程评价；</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⑷事故原因调查；</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⑸环境应急总结报告的编制；</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⑹环境事件应急预案的修订；</w:t>
      </w:r>
    </w:p>
    <w:p>
      <w:pPr>
        <w:adjustRightInd w:val="0"/>
        <w:snapToGrid w:val="0"/>
        <w:spacing w:line="360" w:lineRule="auto"/>
        <w:ind w:firstLine="480" w:firstLineChars="200"/>
        <w:rPr>
          <w:rFonts w:ascii="仿宋_GB2312" w:eastAsia="仿宋_GB2312"/>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⑺事故损失调查与责任认定。</w:t>
      </w:r>
    </w:p>
    <w:p>
      <w:pPr>
        <w:pStyle w:val="2"/>
        <w:jc w:val="center"/>
        <w:rPr>
          <w:color w:val="000000" w:themeColor="text1"/>
          <w:highlight w:val="none"/>
          <w14:textFill>
            <w14:solidFill>
              <w14:schemeClr w14:val="tx1"/>
            </w14:solidFill>
          </w14:textFill>
        </w:rPr>
      </w:pPr>
      <w:bookmarkStart w:id="573" w:name="_Toc43203009"/>
      <w:bookmarkStart w:id="574" w:name="_Toc46857534"/>
      <w:bookmarkStart w:id="575" w:name="_Toc16034_WPSOffice_Level1"/>
      <w:bookmarkStart w:id="576" w:name="_Toc339203028"/>
      <w:bookmarkStart w:id="577" w:name="_Toc10507_WPSOffice_Level1"/>
      <w:bookmarkStart w:id="578" w:name="_Toc408503148"/>
      <w:bookmarkStart w:id="579" w:name="_Toc336166338"/>
      <w:bookmarkStart w:id="580" w:name="_Toc165165600"/>
      <w:bookmarkStart w:id="581" w:name="_Toc166424772"/>
      <w:bookmarkStart w:id="582" w:name="_Toc161808491"/>
      <w:r>
        <w:rPr>
          <w:color w:val="000000" w:themeColor="text1"/>
          <w:highlight w:val="none"/>
          <w14:textFill>
            <w14:solidFill>
              <w14:schemeClr w14:val="tx1"/>
            </w14:solidFill>
          </w14:textFill>
        </w:rPr>
        <w:br w:type="page"/>
      </w:r>
      <w:bookmarkStart w:id="583" w:name="_Toc29543"/>
      <w:r>
        <w:rPr>
          <w:rFonts w:hint="eastAsia"/>
          <w:color w:val="000000" w:themeColor="text1"/>
          <w:highlight w:val="none"/>
          <w14:textFill>
            <w14:solidFill>
              <w14:schemeClr w14:val="tx1"/>
            </w14:solidFill>
          </w14:textFill>
        </w:rPr>
        <w:t>第</w:t>
      </w:r>
      <w:r>
        <w:rPr>
          <w:rFonts w:hint="eastAsia"/>
          <w:color w:val="000000" w:themeColor="text1"/>
          <w:highlight w:val="none"/>
          <w:lang w:val="en-US" w:eastAsia="zh-CN"/>
          <w14:textFill>
            <w14:solidFill>
              <w14:schemeClr w14:val="tx1"/>
            </w14:solidFill>
          </w14:textFill>
        </w:rPr>
        <w:t>六</w:t>
      </w:r>
      <w:r>
        <w:rPr>
          <w:rFonts w:hint="eastAsia"/>
          <w:color w:val="000000" w:themeColor="text1"/>
          <w:highlight w:val="none"/>
          <w14:textFill>
            <w14:solidFill>
              <w14:schemeClr w14:val="tx1"/>
            </w14:solidFill>
          </w14:textFill>
        </w:rPr>
        <w:t>章</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后期处置</w:t>
      </w:r>
      <w:bookmarkEnd w:id="573"/>
      <w:bookmarkEnd w:id="574"/>
      <w:bookmarkEnd w:id="575"/>
      <w:bookmarkEnd w:id="576"/>
      <w:bookmarkEnd w:id="577"/>
      <w:bookmarkEnd w:id="578"/>
      <w:bookmarkEnd w:id="579"/>
      <w:bookmarkEnd w:id="583"/>
    </w:p>
    <w:p>
      <w:pPr>
        <w:pStyle w:val="3"/>
        <w:rPr>
          <w:rFonts w:ascii="Times New Roman" w:hAnsi="Times New Roman" w:eastAsia="仿宋_GB2312"/>
          <w:color w:val="000000" w:themeColor="text1"/>
          <w:highlight w:val="none"/>
          <w14:textFill>
            <w14:solidFill>
              <w14:schemeClr w14:val="tx1"/>
            </w14:solidFill>
          </w14:textFill>
        </w:rPr>
      </w:pPr>
      <w:bookmarkStart w:id="584" w:name="_Toc46857535"/>
      <w:bookmarkStart w:id="585" w:name="_Toc43203010"/>
      <w:bookmarkStart w:id="586" w:name="_Toc18177"/>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.1  现场恢复</w:t>
      </w:r>
      <w:bookmarkEnd w:id="584"/>
      <w:bookmarkEnd w:id="585"/>
      <w:bookmarkEnd w:id="586"/>
    </w:p>
    <w:p>
      <w:pPr>
        <w:pStyle w:val="4"/>
        <w:rPr>
          <w:color w:val="000000" w:themeColor="text1"/>
          <w:highlight w:val="none"/>
          <w14:textFill>
            <w14:solidFill>
              <w14:schemeClr w14:val="tx1"/>
            </w14:solidFill>
          </w14:textFill>
        </w:rPr>
      </w:pPr>
      <w:bookmarkStart w:id="587" w:name="_Toc43203011"/>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.1.1  事件现场的保护措施</w:t>
      </w:r>
      <w:bookmarkEnd w:id="587"/>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突发事件发生后，现场救援的同时做好事件现场保护工作，迅速采取必要措施，抢救人员和财产。因抢救伤员、防止事件扩大以及疏通交通等原因需要移动现场物件时，尽可能做出标志、拍照、详细记录和绘制事件现场图，妥善保存现场重要痕迹、物证等。突发事件发生后，现场指挥人员应保持镇静，现场救援本着“先控制、后处置、救人第一、减少损失”的原则，果断处理，积极抢救，指导现场人员离开危险区域，维护好现场秩序，组织有序疏散，防止惊慌造成挤伤、踩伤等事件。疏散较为困难时，更应沉着冷静，不可采取莽撞措施。在现场救援的同时，尽可能保护好生产设备和贵重物品，维护现场秩序，做好事件现场保护工作，上报事件有关材料，做好善后处理工作。</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（1）室外现场保护方法</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① 在事件现场周围绕以隔离带或撒白灰等做警示标记，防止他人入内；</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② 通过现场的道路，必要时可临时中断交通，配专人指挥行人或车辆绕道而行。</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③ 现场重要部位及现场进出口，应当设岗看守或者设置屏障遮挡；</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④ 环境发生改变时（如天气），要对现场上易变的痕迹物证采取适当的保护措施。</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（2）室内现场的保护措施</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① 封锁现场的出入口和通道。封锁出入口，重点是现场中心所在的出入口；在门口、窗口和重要通道布设专人看守，如是双向通道须全部封锁，禁止一切无关人员进入现场；</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② 封锁现场周围地带。在现场周围划出一定的警戒范围，布置警戒，禁止人员进入现场，以防破坏现场外围的物证；</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③ 在实施封闭措施时，不能随便移动事件现场内的物品、物件。</w:t>
      </w:r>
    </w:p>
    <w:p>
      <w:pPr>
        <w:pStyle w:val="4"/>
        <w:rPr>
          <w:color w:val="000000" w:themeColor="text1"/>
          <w:highlight w:val="none"/>
          <w14:textFill>
            <w14:solidFill>
              <w14:schemeClr w14:val="tx1"/>
            </w14:solidFill>
          </w14:textFill>
        </w:rPr>
      </w:pPr>
      <w:bookmarkStart w:id="588" w:name="_Toc43203012"/>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.1.2  现场净化的方式、方法</w:t>
      </w:r>
      <w:bookmarkEnd w:id="588"/>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现场洗消工作由现场抢险组负责，现场抢险组人员在穿戴好防护用品的情况下对事件现场及救援车辆进行洗消处理，防止有毒有害物质扩散或被带出现场。洗消水引入污水处理站，以免污染宜水水质及厂区周边农田，造成二次环境污染事件。利用喷洒洗消液、抛洒粉状消毒剂等方式消除污染。一般在事件救援现场可采用三种洗消方式。</w:t>
      </w:r>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（1）源头洗消。在事件发生初期，对事件发生点、设备或存放间进行洗消，将污染源严密控制在最小范围内；</w:t>
      </w:r>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（2）隔离洗消。当污染蔓延时，对下风向暴露的设备、通道喷洒洗消液，抛撒粉状消毒剂，形成保护层，污染降落物流经时即可产生反应，减低甚至消除危害；</w:t>
      </w:r>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（3）延伸洗消。在控制住污染源后，从事件发生地开始向下风方向对污染区逐次推进全面而彻底的洗消。</w:t>
      </w:r>
    </w:p>
    <w:p>
      <w:pPr>
        <w:pStyle w:val="4"/>
        <w:rPr>
          <w:color w:val="000000" w:themeColor="text1"/>
          <w:highlight w:val="none"/>
          <w14:textFill>
            <w14:solidFill>
              <w14:schemeClr w14:val="tx1"/>
            </w14:solidFill>
          </w14:textFill>
        </w:rPr>
      </w:pPr>
      <w:bookmarkStart w:id="589" w:name="_Toc43203013"/>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.1.3  洗消后的二次污染的防治方案</w:t>
      </w:r>
      <w:bookmarkEnd w:id="589"/>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污染事件现场洗消后，要防止二次污染，制定二次污染防治方案，确保无二次污染，并确认污染控制彻底。根据企业突发环境事件的实际情况，在消洗过程中用到的化学药品、消防用水采用合理的围堵设施通过管道收集后，进入厂区污水处理站统一处理达标后排放。</w:t>
      </w:r>
    </w:p>
    <w:p>
      <w:pPr>
        <w:pStyle w:val="4"/>
        <w:rPr>
          <w:color w:val="000000" w:themeColor="text1"/>
          <w:highlight w:val="none"/>
          <w14:textFill>
            <w14:solidFill>
              <w14:schemeClr w14:val="tx1"/>
            </w14:solidFill>
          </w14:textFill>
        </w:rPr>
      </w:pPr>
      <w:bookmarkStart w:id="590" w:name="_Toc43203014"/>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.1.4  环境恢复</w:t>
      </w:r>
      <w:bookmarkEnd w:id="590"/>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急终止后，总指挥及其他主要负责人组织相关人员到现场勘查，对事件地的现场及厂区周围的环境等进行调查，会同外部专家制定对受影响的生态环境恢复的措施和方案恢复周边生态环境，加强生态环境治理措施，确保在一定期限内恢复生态环境平衡。</w:t>
      </w:r>
    </w:p>
    <w:p>
      <w:pPr>
        <w:pStyle w:val="3"/>
        <w:rPr>
          <w:color w:val="000000" w:themeColor="text1"/>
          <w:highlight w:val="none"/>
          <w14:textFill>
            <w14:solidFill>
              <w14:schemeClr w14:val="tx1"/>
            </w14:solidFill>
          </w14:textFill>
        </w:rPr>
      </w:pPr>
      <w:bookmarkStart w:id="591" w:name="_Toc46857536"/>
      <w:bookmarkStart w:id="592" w:name="_Toc43203015"/>
      <w:bookmarkStart w:id="593" w:name="_Toc29894"/>
      <w:r>
        <w:rPr>
          <w:rFonts w:hint="eastAsia"/>
          <w:color w:val="000000" w:themeColor="text1"/>
          <w:highlight w:val="none"/>
          <w:lang w:val="en-US" w:eastAsia="zh-CN"/>
          <w14:textFill>
            <w14:solidFill>
              <w14:schemeClr w14:val="tx1"/>
            </w14:solidFill>
          </w14:textFill>
        </w:rPr>
        <w:t>6</w:t>
      </w:r>
      <w:r>
        <w:rPr>
          <w:rFonts w:hint="eastAsia"/>
          <w:color w:val="000000" w:themeColor="text1"/>
          <w:highlight w:val="none"/>
          <w14:textFill>
            <w14:solidFill>
              <w14:schemeClr w14:val="tx1"/>
            </w14:solidFill>
          </w14:textFill>
        </w:rPr>
        <w:t>.2  善后处置</w:t>
      </w:r>
      <w:bookmarkEnd w:id="591"/>
      <w:bookmarkEnd w:id="592"/>
      <w:bookmarkEnd w:id="593"/>
    </w:p>
    <w:p>
      <w:pPr>
        <w:pStyle w:val="20"/>
        <w:keepNext w:val="0"/>
        <w:keepLines w:val="0"/>
        <w:pageBreakBefore w:val="0"/>
        <w:kinsoku/>
        <w:wordWrap/>
        <w:overflowPunct/>
        <w:topLinePunct w:val="0"/>
        <w:bidi w:val="0"/>
        <w:spacing w:before="0" w:beforeAutospacing="0" w:after="0" w:afterAutospacing="0" w:line="360" w:lineRule="auto"/>
        <w:ind w:left="0" w:leftChars="0" w:right="0" w:firstLine="480" w:firstLineChars="200"/>
        <w:jc w:val="both"/>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t>突发事件发生后，应急领导小组应当邀请专家对突发事件造成的损失进行评估，对受影响的设施设备进行维修或更换，组织受影响部门尽快恢复生产，逐步恢复企业的正常生产秩序。</w:t>
      </w:r>
    </w:p>
    <w:p>
      <w:pPr>
        <w:pStyle w:val="20"/>
        <w:keepNext w:val="0"/>
        <w:keepLines w:val="0"/>
        <w:pageBreakBefore w:val="0"/>
        <w:kinsoku/>
        <w:wordWrap/>
        <w:overflowPunct/>
        <w:topLinePunct w:val="0"/>
        <w:bidi w:val="0"/>
        <w:spacing w:before="0" w:beforeAutospacing="0" w:after="0" w:afterAutospacing="0" w:line="360" w:lineRule="auto"/>
        <w:ind w:left="0" w:leftChars="0" w:right="0" w:firstLine="480" w:firstLineChars="200"/>
        <w:jc w:val="both"/>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t>（1）妥善安置受灾人员，工会负责受伤人员的救治和抚恤。</w:t>
      </w:r>
    </w:p>
    <w:p>
      <w:pPr>
        <w:pStyle w:val="20"/>
        <w:keepNext w:val="0"/>
        <w:keepLines w:val="0"/>
        <w:pageBreakBefore w:val="0"/>
        <w:kinsoku/>
        <w:wordWrap/>
        <w:overflowPunct/>
        <w:topLinePunct w:val="0"/>
        <w:bidi w:val="0"/>
        <w:spacing w:before="0" w:beforeAutospacing="0" w:after="0" w:afterAutospacing="0" w:line="360" w:lineRule="auto"/>
        <w:ind w:left="0" w:leftChars="0" w:right="0" w:firstLine="480" w:firstLineChars="200"/>
        <w:jc w:val="both"/>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t>（2）</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企业</w:t>
      </w:r>
      <w: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t>安环部负责对应急过程中消耗、使用的应急物资、器材进行补充，使其重新处于应急备用状态；</w:t>
      </w:r>
    </w:p>
    <w:p>
      <w:pPr>
        <w:pStyle w:val="20"/>
        <w:keepNext w:val="0"/>
        <w:keepLines w:val="0"/>
        <w:pageBreakBefore w:val="0"/>
        <w:kinsoku/>
        <w:wordWrap/>
        <w:overflowPunct/>
        <w:topLinePunct w:val="0"/>
        <w:bidi w:val="0"/>
        <w:spacing w:before="0" w:beforeAutospacing="0" w:after="0" w:afterAutospacing="0" w:line="360" w:lineRule="auto"/>
        <w:ind w:left="0" w:leftChars="0" w:right="0" w:firstLine="480" w:firstLineChars="200"/>
        <w:jc w:val="both"/>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3</w:t>
      </w:r>
      <w: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将应急过程中产生的危废、废水、废液等送有资质单位进行处置。</w:t>
      </w:r>
    </w:p>
    <w:p>
      <w:pPr>
        <w:pStyle w:val="20"/>
        <w:keepNext w:val="0"/>
        <w:keepLines w:val="0"/>
        <w:pageBreakBefore w:val="0"/>
        <w:kinsoku/>
        <w:wordWrap/>
        <w:overflowPunct/>
        <w:topLinePunct w:val="0"/>
        <w:bidi w:val="0"/>
        <w:spacing w:before="0" w:beforeAutospacing="0" w:after="0" w:afterAutospacing="0" w:line="360" w:lineRule="auto"/>
        <w:ind w:left="0" w:leftChars="0" w:right="0" w:firstLine="480" w:firstLineChars="200"/>
        <w:jc w:val="both"/>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4</w:t>
      </w:r>
      <w: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t>）生产技术部协助政府有关部门调查事件原因和责任人，总结突发事件应急处置工作的经验教训，对应急救援能力进行评估，并制定改进措施</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，修订应急预案。</w:t>
      </w:r>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5</w:t>
      </w:r>
      <w:r>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t>）事件如果对当地生态环境有明显不利影响的，要在事件结束后调查对生态环境的影响程度及范围，同时提出可行的生态环境恢复治理方案，上报当地生态环境主管部门批准执行</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w:t>
      </w:r>
    </w:p>
    <w:p>
      <w:pPr>
        <w:adjustRightInd w:val="0"/>
        <w:snapToGrid w:val="0"/>
        <w:spacing w:line="360" w:lineRule="auto"/>
        <w:ind w:firstLine="570"/>
        <w:rPr>
          <w:rFonts w:eastAsia="仿宋_GB2312"/>
          <w:color w:val="000000" w:themeColor="text1"/>
          <w:sz w:val="24"/>
          <w:highlight w:val="none"/>
          <w14:textFill>
            <w14:solidFill>
              <w14:schemeClr w14:val="tx1"/>
            </w14:solidFill>
          </w14:textFill>
        </w:rPr>
      </w:pPr>
    </w:p>
    <w:p>
      <w:pPr>
        <w:adjustRightInd w:val="0"/>
        <w:snapToGrid w:val="0"/>
        <w:spacing w:line="360" w:lineRule="auto"/>
        <w:ind w:firstLine="570"/>
        <w:rPr>
          <w:rFonts w:eastAsia="仿宋_GB2312"/>
          <w:color w:val="000000" w:themeColor="text1"/>
          <w:sz w:val="24"/>
          <w:highlight w:val="none"/>
          <w14:textFill>
            <w14:solidFill>
              <w14:schemeClr w14:val="tx1"/>
            </w14:solidFill>
          </w14:textFill>
        </w:rPr>
        <w:sectPr>
          <w:pgSz w:w="11906" w:h="16838"/>
          <w:pgMar w:top="1418" w:right="1418" w:bottom="1418" w:left="1418" w:header="851" w:footer="992" w:gutter="0"/>
          <w:cols w:space="720" w:num="1"/>
          <w:docGrid w:type="lines" w:linePitch="312" w:charSpace="0"/>
        </w:sectPr>
      </w:pPr>
    </w:p>
    <w:p>
      <w:pPr>
        <w:pStyle w:val="2"/>
        <w:jc w:val="center"/>
        <w:rPr>
          <w:color w:val="000000" w:themeColor="text1"/>
          <w:highlight w:val="none"/>
          <w14:textFill>
            <w14:solidFill>
              <w14:schemeClr w14:val="tx1"/>
            </w14:solidFill>
          </w14:textFill>
        </w:rPr>
      </w:pPr>
      <w:bookmarkStart w:id="594" w:name="_Toc305769798"/>
      <w:bookmarkStart w:id="595" w:name="_Toc43203017"/>
      <w:bookmarkStart w:id="596" w:name="_Toc30088_WPSOffice_Level1"/>
      <w:bookmarkStart w:id="597" w:name="_Toc13854_WPSOffice_Level1"/>
      <w:bookmarkStart w:id="598" w:name="_Toc46857538"/>
      <w:bookmarkStart w:id="599" w:name="_Toc408503152"/>
      <w:bookmarkStart w:id="600" w:name="_Toc8856"/>
      <w:r>
        <w:rPr>
          <w:rFonts w:hint="eastAsia"/>
          <w:color w:val="000000" w:themeColor="text1"/>
          <w:highlight w:val="none"/>
          <w14:textFill>
            <w14:solidFill>
              <w14:schemeClr w14:val="tx1"/>
            </w14:solidFill>
          </w14:textFill>
        </w:rPr>
        <w:t>第</w:t>
      </w:r>
      <w:r>
        <w:rPr>
          <w:rFonts w:hint="eastAsia"/>
          <w:color w:val="000000" w:themeColor="text1"/>
          <w:highlight w:val="none"/>
          <w:lang w:val="en-US" w:eastAsia="zh-CN"/>
          <w14:textFill>
            <w14:solidFill>
              <w14:schemeClr w14:val="tx1"/>
            </w14:solidFill>
          </w14:textFill>
        </w:rPr>
        <w:t>七</w:t>
      </w:r>
      <w:r>
        <w:rPr>
          <w:rFonts w:hint="eastAsia"/>
          <w:color w:val="000000" w:themeColor="text1"/>
          <w:highlight w:val="none"/>
          <w14:textFill>
            <w14:solidFill>
              <w14:schemeClr w14:val="tx1"/>
            </w14:solidFill>
          </w14:textFill>
        </w:rPr>
        <w:t>章</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应急保障措施</w:t>
      </w:r>
      <w:bookmarkEnd w:id="594"/>
      <w:bookmarkEnd w:id="595"/>
      <w:bookmarkEnd w:id="596"/>
      <w:bookmarkEnd w:id="597"/>
      <w:bookmarkEnd w:id="598"/>
      <w:bookmarkEnd w:id="599"/>
      <w:bookmarkEnd w:id="600"/>
    </w:p>
    <w:p>
      <w:pPr>
        <w:pStyle w:val="3"/>
        <w:rPr>
          <w:color w:val="000000" w:themeColor="text1"/>
          <w:highlight w:val="none"/>
          <w14:textFill>
            <w14:solidFill>
              <w14:schemeClr w14:val="tx1"/>
            </w14:solidFill>
          </w14:textFill>
        </w:rPr>
      </w:pPr>
      <w:bookmarkStart w:id="601" w:name="_Toc408503153"/>
      <w:bookmarkStart w:id="602" w:name="_Toc15604"/>
      <w:bookmarkStart w:id="603" w:name="_Toc46857539"/>
      <w:bookmarkStart w:id="604" w:name="_Toc30152_WPSOffice_Level2"/>
      <w:bookmarkStart w:id="605" w:name="_Toc6671_WPSOffice_Level2"/>
      <w:bookmarkStart w:id="606" w:name="_Toc342165916"/>
      <w:bookmarkStart w:id="607" w:name="_Toc43203018"/>
      <w:bookmarkStart w:id="608" w:name="_Toc306975710"/>
      <w:bookmarkStart w:id="609" w:name="_Toc305937035"/>
      <w:bookmarkStart w:id="610" w:name="_Toc305769799"/>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.1应急安全保障</w:t>
      </w:r>
      <w:bookmarkEnd w:id="601"/>
      <w:bookmarkEnd w:id="602"/>
      <w:bookmarkEnd w:id="603"/>
      <w:bookmarkEnd w:id="604"/>
      <w:bookmarkEnd w:id="605"/>
      <w:bookmarkEnd w:id="606"/>
      <w:bookmarkEnd w:id="607"/>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当发生人员受伤时，应遵循“先救人、后救物，先救命，后疗伤”的原则，企业医疗救护组人员应组织积极抢救，首先保护受害人员生命安全，将伤员救离事故现场，必须对伤员进行紧急救护减少伤害，并根据不同情况采取相应的救护措施。一方面要防止烧伤和中毒程度继续加深，另一方面要使患者维持呼吸、循环功能。</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伤员抢救出事故现场后紧急处理措施：</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皮肤受危险化学品污染时，救助者应协助伤员脱去被污染的衣裤、鞋袜等，继之用大量流动清水或肥皂水，冲洗创面20至30分钟(强烈的化学品要更长)，以稀释有毒物质，防止继续损伤和通过伤口吸收。皮肤灼伤处冲洗后可涂上烫伤药膏。对于皮肤上的水泡，不可随意弄破防止感染。头脸部皮肤污染时，要注意眼、耳、鼻、口腔的清洗。</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皮肤或眼睛被危化品化学灼伤，一是要在现场迅速用清水进行冲洗，应使用流动的清水，冲洗时将眼皮掰开，把裹在眼皮内的化学品彻底冲洗干净。现场若无冲洗设备，可将头埋入清洁盆水中，掰开眼皮，让眼球来回转动进行洗涤。</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伤员为急性中毒的，若经沾染皮肤中毒，应迅速脱去受污染的衣物，用大量流动的清水冲洗至少15分钟。头面部受污染时，要首先注意冲洗眼睛。若为吸入中毒，应迅速脱离中毒现场，向上风方向移至空气新鲜处，同时解开患者的衣领，放松裤带，使其保持呼吸道畅通，并要注意保暖，防止受凉。若为口服中毒，中毒物为非腐蚀性物质时，可用催吐方法使其将毒物吐出。误服强碱、强酸等腐蚀性强的物品时，催吐反使食道、咽喉再次受到严重损伤，可服牛奶、蛋清、豆浆、淀粉糊等，此时不能洗胃，也不能服碳酸氢钠，以防胃胀气引起穿孔。</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对现场中毒者发生心跳、呼吸骤停，应立即实施人工呼吸和体外心脏按压术，使其维持呼吸、循环功能。中毒昏迷或神志不清的伤员，应置伤员于侧卧位，保持呼吸道畅通，清除鼻腔、口腔分泌物等，如伤员呼吸困难，应给予氧气吸入（备用氧气袋或氧气呼吸器），呼吸停止时，进行人工呼吸抢救。人工呼吸忌用口对口，特殊情况下与病人隔数层水湿纱布。</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5、对于中、小面积火烧伤，特别是头、面、四肢等部位，可采取“创面冷却疗法”，用清洁水（自来水、河水、井水等）冷敷或浸泡创面，需持续0.5~1小时，以取出后不痛或稍痛为止。</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对皮肤、眼睛污染严重、中毒、灼伤、昏迷等严重情况，对伤员进行简单处理后，应立即转送救治，与救助医院联系后，马上用车辆送医院或等待医院救护车。护送者应向医院提供烧伤或中毒的原因、化学品的名称；如化学物不明，则要带该物料或呕吐物的样品，以供医院检测。</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7、现场参与救护者应重视自身防护，如时间不长，对水溶性毒物，可用浸湿的毛巾捂住口鼻进行简单防护，有条件的可佩戴防毒面具等防护器具。</w:t>
      </w:r>
    </w:p>
    <w:p>
      <w:pPr>
        <w:pStyle w:val="3"/>
        <w:rPr>
          <w:color w:val="000000" w:themeColor="text1"/>
          <w:highlight w:val="none"/>
          <w14:textFill>
            <w14:solidFill>
              <w14:schemeClr w14:val="tx1"/>
            </w14:solidFill>
          </w14:textFill>
        </w:rPr>
      </w:pPr>
      <w:bookmarkStart w:id="611" w:name="_Toc25376_WPSOffice_Level2"/>
      <w:bookmarkStart w:id="612" w:name="_Toc46857540"/>
      <w:bookmarkStart w:id="613" w:name="_Toc43203019"/>
      <w:bookmarkStart w:id="614" w:name="_Toc408503154"/>
      <w:bookmarkStart w:id="615" w:name="_Toc354489568"/>
      <w:bookmarkStart w:id="616" w:name="_Toc19772_WPSOffice_Level2"/>
      <w:bookmarkStart w:id="617" w:name="_Toc14999"/>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.2应急交通保障</w:t>
      </w:r>
      <w:bookmarkEnd w:id="611"/>
      <w:bookmarkEnd w:id="612"/>
      <w:bookmarkEnd w:id="613"/>
      <w:bookmarkEnd w:id="614"/>
      <w:bookmarkEnd w:id="615"/>
      <w:bookmarkEnd w:id="616"/>
      <w:bookmarkEnd w:id="617"/>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企业在火灾事故发生后，应第一时间联系消防、环保等部门，并联系相关部门，对企业周边交通进行管制，保证外部救灾、抢险等车辆通行无阻。另外，企业厂区内部制定的消防通行道路要保持无阻，其他车辆、物资不得堆放在消防应急通道、登高抢险平台等划定的区域。</w:t>
      </w:r>
    </w:p>
    <w:p>
      <w:pPr>
        <w:pStyle w:val="3"/>
        <w:rPr>
          <w:color w:val="000000" w:themeColor="text1"/>
          <w:highlight w:val="none"/>
          <w14:textFill>
            <w14:solidFill>
              <w14:schemeClr w14:val="tx1"/>
            </w14:solidFill>
          </w14:textFill>
        </w:rPr>
      </w:pPr>
      <w:bookmarkStart w:id="618" w:name="_Toc17210"/>
      <w:bookmarkStart w:id="619" w:name="_Toc25305_WPSOffice_Level2"/>
      <w:bookmarkStart w:id="620" w:name="_Toc2029_WPSOffice_Level2"/>
      <w:bookmarkStart w:id="621" w:name="_Toc43203020"/>
      <w:bookmarkStart w:id="622" w:name="_Toc342165917"/>
      <w:bookmarkStart w:id="623" w:name="_Toc408503155"/>
      <w:bookmarkStart w:id="624" w:name="_Toc46857541"/>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.3通信与信息保障</w:t>
      </w:r>
      <w:bookmarkEnd w:id="618"/>
      <w:bookmarkEnd w:id="619"/>
      <w:bookmarkEnd w:id="620"/>
      <w:bookmarkEnd w:id="621"/>
      <w:bookmarkEnd w:id="622"/>
      <w:bookmarkEnd w:id="623"/>
      <w:bookmarkEnd w:id="624"/>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企业应急总指挥、副指挥、各应急小组组长以及值班干部等人员在应急期间要确保24小时通信畅通。保证企业内部扩音喇叭、对讲机、广播等应急通讯设施的正常运行，并定期进行日常维护，确保本预案启动时应急行动指挥通信的畅通</w:t>
      </w:r>
    </w:p>
    <w:p>
      <w:pPr>
        <w:pStyle w:val="3"/>
        <w:rPr>
          <w:color w:val="000000" w:themeColor="text1"/>
          <w:highlight w:val="none"/>
          <w14:textFill>
            <w14:solidFill>
              <w14:schemeClr w14:val="tx1"/>
            </w14:solidFill>
          </w14:textFill>
        </w:rPr>
      </w:pPr>
      <w:bookmarkStart w:id="625" w:name="_Toc46857542"/>
      <w:bookmarkStart w:id="626" w:name="_Toc408503156"/>
      <w:bookmarkStart w:id="627" w:name="_Toc342165918"/>
      <w:bookmarkStart w:id="628" w:name="_Toc32377_WPSOffice_Level2"/>
      <w:bookmarkStart w:id="629" w:name="_Toc1991_WPSOffice_Level2"/>
      <w:bookmarkStart w:id="630" w:name="_Toc43203021"/>
      <w:bookmarkStart w:id="631" w:name="_Toc11674"/>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.4人力资源保障</w:t>
      </w:r>
      <w:bookmarkEnd w:id="608"/>
      <w:bookmarkEnd w:id="609"/>
      <w:bookmarkEnd w:id="625"/>
      <w:bookmarkEnd w:id="626"/>
      <w:bookmarkEnd w:id="627"/>
      <w:bookmarkEnd w:id="628"/>
      <w:bookmarkEnd w:id="629"/>
      <w:bookmarkEnd w:id="630"/>
      <w:bookmarkEnd w:id="631"/>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按照本预案的要求，完善应急指挥机构和</w:t>
      </w:r>
      <w:r>
        <w:rPr>
          <w:rFonts w:hint="eastAsia" w:ascii="宋体" w:hAnsi="宋体" w:cs="宋体"/>
          <w:bCs/>
          <w:color w:val="000000" w:themeColor="text1"/>
          <w:sz w:val="24"/>
          <w:highlight w:val="none"/>
          <w14:textFill>
            <w14:solidFill>
              <w14:schemeClr w14:val="tx1"/>
            </w14:solidFill>
          </w14:textFill>
        </w:rPr>
        <w:t>应急抢险组、应急消防组、现场治安组、物资保障组、应急监测组、医疗救护组</w:t>
      </w:r>
      <w:r>
        <w:rPr>
          <w:rFonts w:hint="eastAsia" w:ascii="宋体" w:hAnsi="宋体" w:cs="宋体"/>
          <w:color w:val="000000" w:themeColor="text1"/>
          <w:sz w:val="24"/>
          <w:highlight w:val="none"/>
          <w14:textFill>
            <w14:solidFill>
              <w14:schemeClr w14:val="tx1"/>
            </w14:solidFill>
          </w14:textFill>
        </w:rPr>
        <w:t>等。企业要加强突发环境污染事件应急队伍建设，加强应急救援队伍的业务培训和应急演练。重点培训建立一支常备不懈、熟悉环境应急知识、充分掌握各类突发环境事件处置措施的应急队伍，保证在突发环境事件发生后，能迅速参与并完成抢救、排险、消毒、监测等现场处置工作。企业内部各部门要建立联动协调机制，提高准备水平，提高其应对突发环境污染事件的素质和能力。在本单位应急救援能力有限的情况下，动员企业所在地社会团体、企事业单位以及志愿者等各种社会力量参与应急救援工作。</w:t>
      </w:r>
    </w:p>
    <w:p>
      <w:pPr>
        <w:tabs>
          <w:tab w:val="left" w:pos="2460"/>
        </w:tabs>
        <w:ind w:firstLine="411" w:firstLineChars="196"/>
        <w:outlineLvl w:val="3"/>
        <w:rPr>
          <w:rFonts w:ascii="宋体" w:hAnsi="宋体"/>
          <w:b/>
          <w:bCs/>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1、现有应急人员和外部应急队伍见下表：</w:t>
      </w:r>
    </w:p>
    <w:p>
      <w:pPr>
        <w:tabs>
          <w:tab w:val="left" w:pos="2460"/>
        </w:tabs>
        <w:jc w:val="center"/>
        <w:outlineLvl w:val="3"/>
        <w:rPr>
          <w:rFonts w:ascii="宋体" w:hAnsi="宋体"/>
          <w:b/>
          <w:bCs/>
          <w:color w:val="000000" w:themeColor="text1"/>
          <w:kern w:val="0"/>
          <w:highlight w:val="none"/>
          <w14:textFill>
            <w14:solidFill>
              <w14:schemeClr w14:val="tx1"/>
            </w14:solidFill>
          </w14:textFill>
        </w:rPr>
      </w:pPr>
      <w:r>
        <w:rPr>
          <w:rFonts w:ascii="宋体" w:hAnsi="宋体"/>
          <w:b/>
          <w:bCs/>
          <w:color w:val="000000" w:themeColor="text1"/>
          <w:kern w:val="0"/>
          <w:highlight w:val="none"/>
          <w14:textFill>
            <w14:solidFill>
              <w14:schemeClr w14:val="tx1"/>
            </w14:solidFill>
          </w14:textFill>
        </w:rPr>
        <w:t>表</w:t>
      </w:r>
      <w:r>
        <w:rPr>
          <w:rFonts w:hint="eastAsia" w:ascii="宋体" w:hAnsi="宋体"/>
          <w:b/>
          <w:bCs/>
          <w:color w:val="000000" w:themeColor="text1"/>
          <w:kern w:val="0"/>
          <w:highlight w:val="none"/>
          <w:lang w:val="en-US" w:eastAsia="zh-CN"/>
          <w14:textFill>
            <w14:solidFill>
              <w14:schemeClr w14:val="tx1"/>
            </w14:solidFill>
          </w14:textFill>
        </w:rPr>
        <w:t>7</w:t>
      </w:r>
      <w:r>
        <w:rPr>
          <w:rFonts w:ascii="宋体" w:hAnsi="宋体"/>
          <w:b/>
          <w:bCs/>
          <w:color w:val="000000" w:themeColor="text1"/>
          <w:kern w:val="0"/>
          <w:highlight w:val="none"/>
          <w14:textFill>
            <w14:solidFill>
              <w14:schemeClr w14:val="tx1"/>
            </w14:solidFill>
          </w14:textFill>
        </w:rPr>
        <w:t>.4-1突发环境事件应急联络表</w:t>
      </w:r>
    </w:p>
    <w:tbl>
      <w:tblPr>
        <w:tblStyle w:val="48"/>
        <w:tblW w:w="9602" w:type="dxa"/>
        <w:jc w:val="center"/>
        <w:tblBorders>
          <w:top w:val="single" w:color="auto" w:sz="4" w:space="0"/>
          <w:left w:val="none" w:color="auto" w:sz="6" w:space="0"/>
          <w:bottom w:val="single" w:color="auto" w:sz="4" w:space="0"/>
          <w:right w:val="none" w:color="auto" w:sz="6" w:space="0"/>
          <w:insideH w:val="single" w:color="auto" w:sz="4" w:space="0"/>
          <w:insideV w:val="single" w:color="auto" w:sz="4" w:space="0"/>
        </w:tblBorders>
        <w:tblLayout w:type="autofit"/>
        <w:tblCellMar>
          <w:top w:w="0" w:type="dxa"/>
          <w:left w:w="108" w:type="dxa"/>
          <w:bottom w:w="0" w:type="dxa"/>
          <w:right w:w="108" w:type="dxa"/>
        </w:tblCellMar>
      </w:tblPr>
      <w:tblGrid>
        <w:gridCol w:w="1625"/>
        <w:gridCol w:w="2448"/>
        <w:gridCol w:w="2839"/>
        <w:gridCol w:w="2690"/>
      </w:tblGrid>
      <w:tr>
        <w:tblPrEx>
          <w:tblBorders>
            <w:top w:val="single" w:color="auto" w:sz="4" w:space="0"/>
            <w:left w:val="none" w:color="auto" w:sz="6" w:space="0"/>
            <w:bottom w:val="single" w:color="auto" w:sz="4" w:space="0"/>
            <w:right w:val="none" w:color="auto" w:sz="6"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61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ascii="宋体" w:hAnsi="宋体" w:cs="宋体"/>
                <w:color w:val="000000" w:themeColor="text1"/>
                <w:kern w:val="0"/>
                <w:szCs w:val="21"/>
                <w:highlight w:val="none"/>
                <w14:textFill>
                  <w14:solidFill>
                    <w14:schemeClr w14:val="tx1"/>
                  </w14:solidFill>
                </w14:textFill>
              </w:rPr>
            </w:pPr>
            <w:commentRangeStart w:id="16"/>
            <w:r>
              <w:rPr>
                <w:rFonts w:hint="eastAsia" w:ascii="宋体" w:hAnsi="宋体" w:cs="宋体"/>
                <w:color w:val="000000" w:themeColor="text1"/>
                <w:kern w:val="0"/>
                <w:szCs w:val="21"/>
                <w:highlight w:val="none"/>
                <w14:textFill>
                  <w14:solidFill>
                    <w14:schemeClr w14:val="tx1"/>
                  </w14:solidFill>
                </w14:textFill>
              </w:rPr>
              <w:t>姓名</w:t>
            </w:r>
          </w:p>
        </w:tc>
        <w:tc>
          <w:tcPr>
            <w:tcW w:w="2438"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部门</w:t>
            </w:r>
            <w:r>
              <w:rPr>
                <w:rFonts w:hint="eastAsia" w:ascii="宋体" w:hAnsi="宋体" w:cs="宋体"/>
                <w:color w:val="000000" w:themeColor="text1"/>
                <w:kern w:val="0"/>
                <w:szCs w:val="21"/>
                <w:highlight w:val="none"/>
                <w:lang w:val="en-US" w:eastAsia="zh-CN"/>
                <w14:textFill>
                  <w14:solidFill>
                    <w14:schemeClr w14:val="tx1"/>
                  </w14:solidFill>
                </w14:textFill>
              </w:rPr>
              <w:t>或职务</w:t>
            </w:r>
          </w:p>
        </w:tc>
        <w:tc>
          <w:tcPr>
            <w:tcW w:w="2828"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电话号码</w:t>
            </w:r>
          </w:p>
        </w:tc>
        <w:tc>
          <w:tcPr>
            <w:tcW w:w="2679" w:type="dxa"/>
            <w:tcBorders>
              <w:top w:val="single" w:color="auto" w:sz="4" w:space="0"/>
              <w:left w:val="single" w:color="auto" w:sz="4" w:space="0"/>
              <w:bottom w:val="single" w:color="auto" w:sz="4" w:space="0"/>
              <w:right w:val="nil"/>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应急系统职位</w:t>
            </w:r>
          </w:p>
        </w:tc>
      </w:tr>
      <w:tr>
        <w:tblPrEx>
          <w:tblBorders>
            <w:top w:val="single" w:color="auto" w:sz="4" w:space="0"/>
            <w:left w:val="none" w:color="auto" w:sz="6" w:space="0"/>
            <w:bottom w:val="single" w:color="auto" w:sz="4" w:space="0"/>
            <w:right w:val="none" w:color="auto" w:sz="6"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619" w:type="dxa"/>
            <w:tcBorders>
              <w:top w:val="single" w:color="auto" w:sz="4" w:space="0"/>
              <w:left w:val="nil"/>
              <w:bottom w:val="single" w:color="auto" w:sz="4" w:space="0"/>
              <w:right w:val="single" w:color="auto" w:sz="4" w:space="0"/>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刘小勇</w:t>
            </w:r>
          </w:p>
        </w:tc>
        <w:tc>
          <w:tcPr>
            <w:tcW w:w="2438"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主要负责人</w:t>
            </w:r>
          </w:p>
        </w:tc>
        <w:tc>
          <w:tcPr>
            <w:tcW w:w="2828"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cs="Times New Roman"/>
                <w:color w:val="000000" w:themeColor="text1"/>
                <w:szCs w:val="21"/>
                <w:highlight w:val="none"/>
                <w:lang w:val="en-US" w:eastAsia="zh-CN"/>
                <w14:textFill>
                  <w14:solidFill>
                    <w14:schemeClr w14:val="tx1"/>
                  </w14:solidFill>
                </w14:textFill>
              </w:rPr>
              <w:t>13802225855</w:t>
            </w:r>
          </w:p>
        </w:tc>
        <w:tc>
          <w:tcPr>
            <w:tcW w:w="2679" w:type="dxa"/>
            <w:tcBorders>
              <w:top w:val="single" w:color="auto" w:sz="4" w:space="0"/>
              <w:left w:val="single" w:color="auto" w:sz="4" w:space="0"/>
              <w:bottom w:val="single" w:color="auto" w:sz="4" w:space="0"/>
              <w:right w:val="nil"/>
            </w:tcBorders>
            <w:noWrap/>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总指挥</w:t>
            </w:r>
          </w:p>
        </w:tc>
      </w:tr>
      <w:tr>
        <w:tblPrEx>
          <w:tblBorders>
            <w:top w:val="single" w:color="auto" w:sz="4" w:space="0"/>
            <w:left w:val="none" w:color="auto" w:sz="6" w:space="0"/>
            <w:bottom w:val="single" w:color="auto" w:sz="4" w:space="0"/>
            <w:right w:val="none" w:color="auto" w:sz="6"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619" w:type="dxa"/>
            <w:tcBorders>
              <w:top w:val="single" w:color="auto" w:sz="4" w:space="0"/>
              <w:left w:val="nil"/>
              <w:bottom w:val="single" w:color="auto" w:sz="4" w:space="0"/>
              <w:right w:val="single" w:color="auto" w:sz="4" w:space="0"/>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甘月军</w:t>
            </w:r>
          </w:p>
        </w:tc>
        <w:tc>
          <w:tcPr>
            <w:tcW w:w="2438"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副总经理</w:t>
            </w:r>
          </w:p>
        </w:tc>
        <w:tc>
          <w:tcPr>
            <w:tcW w:w="2828"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13421345129</w:t>
            </w:r>
          </w:p>
        </w:tc>
        <w:tc>
          <w:tcPr>
            <w:tcW w:w="2679" w:type="dxa"/>
            <w:tcBorders>
              <w:top w:val="single" w:color="auto" w:sz="4" w:space="0"/>
              <w:left w:val="single" w:color="auto" w:sz="4" w:space="0"/>
              <w:bottom w:val="single" w:color="auto" w:sz="4" w:space="0"/>
              <w:right w:val="nil"/>
            </w:tcBorders>
            <w:noWrap/>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副总指挥</w:t>
            </w:r>
          </w:p>
        </w:tc>
      </w:tr>
      <w:tr>
        <w:tblPrEx>
          <w:tblBorders>
            <w:top w:val="single" w:color="auto" w:sz="4" w:space="0"/>
            <w:left w:val="none" w:color="auto" w:sz="6" w:space="0"/>
            <w:bottom w:val="single" w:color="auto" w:sz="4" w:space="0"/>
            <w:right w:val="none" w:color="auto" w:sz="6"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619" w:type="dxa"/>
            <w:tcBorders>
              <w:top w:val="single" w:color="auto" w:sz="4" w:space="0"/>
              <w:left w:val="nil"/>
              <w:bottom w:val="single" w:color="auto" w:sz="4" w:space="0"/>
              <w:right w:val="single" w:color="auto" w:sz="4" w:space="0"/>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周德亮</w:t>
            </w:r>
          </w:p>
        </w:tc>
        <w:tc>
          <w:tcPr>
            <w:tcW w:w="2438"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安全主任</w:t>
            </w:r>
          </w:p>
        </w:tc>
        <w:tc>
          <w:tcPr>
            <w:tcW w:w="2828"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18679550212</w:t>
            </w:r>
          </w:p>
        </w:tc>
        <w:tc>
          <w:tcPr>
            <w:tcW w:w="2679" w:type="dxa"/>
            <w:tcBorders>
              <w:top w:val="single" w:color="auto" w:sz="4" w:space="0"/>
              <w:left w:val="single" w:color="auto" w:sz="4" w:space="0"/>
              <w:bottom w:val="single" w:color="auto" w:sz="4" w:space="0"/>
              <w:right w:val="nil"/>
            </w:tcBorders>
            <w:noWrap/>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应急消防组组长</w:t>
            </w:r>
          </w:p>
        </w:tc>
      </w:tr>
      <w:tr>
        <w:tblPrEx>
          <w:tblBorders>
            <w:top w:val="single" w:color="auto" w:sz="4" w:space="0"/>
            <w:left w:val="none" w:color="auto" w:sz="6" w:space="0"/>
            <w:bottom w:val="single" w:color="auto" w:sz="4" w:space="0"/>
            <w:right w:val="none" w:color="auto" w:sz="6"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619" w:type="dxa"/>
            <w:tcBorders>
              <w:top w:val="single" w:color="auto" w:sz="4" w:space="0"/>
              <w:left w:val="nil"/>
              <w:bottom w:val="single" w:color="auto" w:sz="4" w:space="0"/>
              <w:right w:val="single" w:color="auto" w:sz="4" w:space="0"/>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彭忠新</w:t>
            </w:r>
          </w:p>
        </w:tc>
        <w:tc>
          <w:tcPr>
            <w:tcW w:w="2438"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经理</w:t>
            </w:r>
          </w:p>
        </w:tc>
        <w:tc>
          <w:tcPr>
            <w:tcW w:w="2828"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t>18936869599</w:t>
            </w:r>
          </w:p>
        </w:tc>
        <w:tc>
          <w:tcPr>
            <w:tcW w:w="2679" w:type="dxa"/>
            <w:tcBorders>
              <w:top w:val="single" w:color="auto" w:sz="4" w:space="0"/>
              <w:left w:val="single" w:color="auto" w:sz="4" w:space="0"/>
              <w:bottom w:val="single" w:color="auto" w:sz="4" w:space="0"/>
              <w:right w:val="nil"/>
            </w:tcBorders>
            <w:noWrap/>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应急抢险组组长</w:t>
            </w:r>
          </w:p>
        </w:tc>
      </w:tr>
      <w:tr>
        <w:tblPrEx>
          <w:tblBorders>
            <w:top w:val="single" w:color="auto" w:sz="4" w:space="0"/>
            <w:left w:val="none" w:color="auto" w:sz="6" w:space="0"/>
            <w:bottom w:val="single" w:color="auto" w:sz="4" w:space="0"/>
            <w:right w:val="none" w:color="auto" w:sz="6"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619" w:type="dxa"/>
            <w:tcBorders>
              <w:top w:val="single" w:color="auto" w:sz="4" w:space="0"/>
              <w:left w:val="nil"/>
              <w:bottom w:val="single" w:color="auto" w:sz="4" w:space="0"/>
              <w:right w:val="single" w:color="auto" w:sz="4" w:space="0"/>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宋家磊</w:t>
            </w:r>
          </w:p>
        </w:tc>
        <w:tc>
          <w:tcPr>
            <w:tcW w:w="2438" w:type="dxa"/>
            <w:tcBorders>
              <w:top w:val="single" w:color="auto" w:sz="4" w:space="0"/>
              <w:left w:val="single" w:color="auto" w:sz="4" w:space="0"/>
              <w:bottom w:val="single" w:color="auto" w:sz="4" w:space="0"/>
              <w:right w:val="single" w:color="auto" w:sz="4" w:space="0"/>
            </w:tcBorders>
            <w:noWrap/>
            <w:vAlign w:val="center"/>
          </w:tcPr>
          <w:p>
            <w:pPr>
              <w:pStyle w:val="14"/>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经理</w:t>
            </w:r>
          </w:p>
        </w:tc>
        <w:tc>
          <w:tcPr>
            <w:tcW w:w="2828"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cs="Times New Roman"/>
                <w:color w:val="000000" w:themeColor="text1"/>
                <w:szCs w:val="21"/>
                <w:highlight w:val="none"/>
                <w:lang w:val="en-US" w:eastAsia="zh-CN"/>
                <w14:textFill>
                  <w14:solidFill>
                    <w14:schemeClr w14:val="tx1"/>
                  </w14:solidFill>
                </w14:textFill>
              </w:rPr>
              <w:t>13510210346</w:t>
            </w:r>
          </w:p>
        </w:tc>
        <w:tc>
          <w:tcPr>
            <w:tcW w:w="2679" w:type="dxa"/>
            <w:tcBorders>
              <w:top w:val="single" w:color="auto" w:sz="4" w:space="0"/>
              <w:left w:val="single" w:color="auto" w:sz="4" w:space="0"/>
              <w:bottom w:val="single" w:color="auto" w:sz="4" w:space="0"/>
              <w:right w:val="nil"/>
            </w:tcBorders>
            <w:noWrap/>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医疗救护组组长</w:t>
            </w:r>
          </w:p>
        </w:tc>
      </w:tr>
      <w:tr>
        <w:tblPrEx>
          <w:tblBorders>
            <w:top w:val="single" w:color="auto" w:sz="4" w:space="0"/>
            <w:left w:val="none" w:color="auto" w:sz="6" w:space="0"/>
            <w:bottom w:val="single" w:color="auto" w:sz="4" w:space="0"/>
            <w:right w:val="none" w:color="auto" w:sz="6"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619" w:type="dxa"/>
            <w:tcBorders>
              <w:top w:val="single" w:color="auto" w:sz="4" w:space="0"/>
              <w:left w:val="nil"/>
              <w:bottom w:val="single" w:color="auto" w:sz="4" w:space="0"/>
              <w:right w:val="single" w:color="auto" w:sz="4" w:space="0"/>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王健</w:t>
            </w:r>
          </w:p>
        </w:tc>
        <w:tc>
          <w:tcPr>
            <w:tcW w:w="2438" w:type="dxa"/>
            <w:tcBorders>
              <w:top w:val="single" w:color="auto" w:sz="4" w:space="0"/>
              <w:left w:val="single" w:color="auto" w:sz="4" w:space="0"/>
              <w:bottom w:val="single" w:color="auto" w:sz="4" w:space="0"/>
              <w:right w:val="single" w:color="auto" w:sz="4" w:space="0"/>
            </w:tcBorders>
            <w:noWrap/>
            <w:vAlign w:val="center"/>
          </w:tcPr>
          <w:p>
            <w:pPr>
              <w:pStyle w:val="14"/>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宋体" w:hAnsi="宋体" w:cs="宋体"/>
                <w:color w:val="000000" w:themeColor="text1"/>
                <w:szCs w:val="21"/>
                <w:highlight w:val="none"/>
                <w:lang w:val="en-US"/>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工程师</w:t>
            </w:r>
          </w:p>
        </w:tc>
        <w:tc>
          <w:tcPr>
            <w:tcW w:w="2828"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cs="Times New Roman"/>
                <w:color w:val="000000" w:themeColor="text1"/>
                <w:szCs w:val="21"/>
                <w:highlight w:val="none"/>
                <w:lang w:val="en-US" w:eastAsia="zh-CN"/>
                <w14:textFill>
                  <w14:solidFill>
                    <w14:schemeClr w14:val="tx1"/>
                  </w14:solidFill>
                </w14:textFill>
              </w:rPr>
              <w:t>13416169409</w:t>
            </w:r>
          </w:p>
        </w:tc>
        <w:tc>
          <w:tcPr>
            <w:tcW w:w="2679" w:type="dxa"/>
            <w:tcBorders>
              <w:top w:val="single" w:color="auto" w:sz="4" w:space="0"/>
              <w:left w:val="single" w:color="auto" w:sz="4" w:space="0"/>
              <w:bottom w:val="single" w:color="auto" w:sz="4" w:space="0"/>
              <w:right w:val="nil"/>
            </w:tcBorders>
            <w:noWrap/>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环境监测组组长</w:t>
            </w:r>
          </w:p>
        </w:tc>
      </w:tr>
      <w:tr>
        <w:tblPrEx>
          <w:tblBorders>
            <w:top w:val="single" w:color="auto" w:sz="4" w:space="0"/>
            <w:left w:val="none" w:color="auto" w:sz="6" w:space="0"/>
            <w:bottom w:val="single" w:color="auto" w:sz="4" w:space="0"/>
            <w:right w:val="none" w:color="auto" w:sz="6"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619" w:type="dxa"/>
            <w:tcBorders>
              <w:top w:val="single" w:color="auto" w:sz="4" w:space="0"/>
              <w:left w:val="nil"/>
              <w:bottom w:val="single" w:color="auto" w:sz="4" w:space="0"/>
              <w:right w:val="single" w:color="auto" w:sz="4" w:space="0"/>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肖平</w:t>
            </w:r>
          </w:p>
        </w:tc>
        <w:tc>
          <w:tcPr>
            <w:tcW w:w="2438" w:type="dxa"/>
            <w:tcBorders>
              <w:top w:val="single" w:color="auto" w:sz="4" w:space="0"/>
              <w:left w:val="single" w:color="auto" w:sz="4" w:space="0"/>
              <w:bottom w:val="single" w:color="auto" w:sz="4" w:space="0"/>
              <w:right w:val="single" w:color="auto" w:sz="4" w:space="0"/>
            </w:tcBorders>
            <w:noWrap/>
            <w:vAlign w:val="center"/>
          </w:tcPr>
          <w:p>
            <w:pPr>
              <w:pStyle w:val="14"/>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保安队长</w:t>
            </w:r>
          </w:p>
        </w:tc>
        <w:tc>
          <w:tcPr>
            <w:tcW w:w="2828"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cs="Times New Roman"/>
                <w:color w:val="000000" w:themeColor="text1"/>
                <w:szCs w:val="21"/>
                <w:highlight w:val="none"/>
                <w:lang w:val="en-US" w:eastAsia="zh-CN"/>
                <w14:textFill>
                  <w14:solidFill>
                    <w14:schemeClr w14:val="tx1"/>
                  </w14:solidFill>
                </w14:textFill>
              </w:rPr>
              <w:t>13687055515</w:t>
            </w:r>
          </w:p>
        </w:tc>
        <w:tc>
          <w:tcPr>
            <w:tcW w:w="2679" w:type="dxa"/>
            <w:tcBorders>
              <w:top w:val="single" w:color="auto" w:sz="4" w:space="0"/>
              <w:left w:val="single" w:color="auto" w:sz="4" w:space="0"/>
              <w:bottom w:val="single" w:color="auto" w:sz="4" w:space="0"/>
              <w:right w:val="nil"/>
            </w:tcBorders>
            <w:noWrap/>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现场治安组组长</w:t>
            </w:r>
          </w:p>
        </w:tc>
      </w:tr>
      <w:tr>
        <w:tblPrEx>
          <w:tblBorders>
            <w:top w:val="single" w:color="auto" w:sz="4" w:space="0"/>
            <w:left w:val="none" w:color="auto" w:sz="6" w:space="0"/>
            <w:bottom w:val="single" w:color="auto" w:sz="4" w:space="0"/>
            <w:right w:val="none" w:color="auto" w:sz="6"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619" w:type="dxa"/>
            <w:tcBorders>
              <w:top w:val="single" w:color="auto" w:sz="4" w:space="0"/>
              <w:left w:val="nil"/>
              <w:bottom w:val="single" w:color="auto" w:sz="4" w:space="0"/>
              <w:right w:val="single" w:color="auto" w:sz="4" w:space="0"/>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王佳伟</w:t>
            </w:r>
          </w:p>
        </w:tc>
        <w:tc>
          <w:tcPr>
            <w:tcW w:w="2438" w:type="dxa"/>
            <w:tcBorders>
              <w:top w:val="single" w:color="auto" w:sz="4" w:space="0"/>
              <w:left w:val="single" w:color="auto" w:sz="4" w:space="0"/>
              <w:bottom w:val="single" w:color="auto" w:sz="4" w:space="0"/>
              <w:right w:val="single" w:color="auto" w:sz="4" w:space="0"/>
            </w:tcBorders>
            <w:noWrap/>
            <w:vAlign w:val="center"/>
          </w:tcPr>
          <w:p>
            <w:pPr>
              <w:pStyle w:val="14"/>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办公室副主任</w:t>
            </w:r>
          </w:p>
        </w:tc>
        <w:tc>
          <w:tcPr>
            <w:tcW w:w="2828"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cs="Times New Roman"/>
                <w:color w:val="000000" w:themeColor="text1"/>
                <w:szCs w:val="21"/>
                <w:highlight w:val="none"/>
                <w:lang w:val="en-US" w:eastAsia="zh-CN"/>
                <w14:textFill>
                  <w14:solidFill>
                    <w14:schemeClr w14:val="tx1"/>
                  </w14:solidFill>
                </w14:textFill>
              </w:rPr>
              <w:t>15847695629</w:t>
            </w:r>
          </w:p>
        </w:tc>
        <w:tc>
          <w:tcPr>
            <w:tcW w:w="2679" w:type="dxa"/>
            <w:tcBorders>
              <w:top w:val="single" w:color="auto" w:sz="4" w:space="0"/>
              <w:left w:val="single" w:color="auto" w:sz="4" w:space="0"/>
              <w:bottom w:val="single" w:color="auto" w:sz="4" w:space="0"/>
              <w:right w:val="nil"/>
            </w:tcBorders>
            <w:noWrap/>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物资保障组组长</w:t>
            </w:r>
          </w:p>
        </w:tc>
      </w:tr>
      <w:tr>
        <w:tblPrEx>
          <w:tblBorders>
            <w:top w:val="single" w:color="auto" w:sz="4" w:space="0"/>
            <w:left w:val="none" w:color="auto" w:sz="6" w:space="0"/>
            <w:bottom w:val="single" w:color="auto" w:sz="4" w:space="0"/>
            <w:right w:val="none" w:color="auto" w:sz="6"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619" w:type="dxa"/>
            <w:tcBorders>
              <w:top w:val="single" w:color="auto" w:sz="4" w:space="0"/>
              <w:left w:val="nil"/>
              <w:bottom w:val="single" w:color="auto" w:sz="4" w:space="0"/>
              <w:right w:val="single" w:color="auto" w:sz="4" w:space="0"/>
            </w:tcBorders>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汪文飞</w:t>
            </w:r>
          </w:p>
        </w:tc>
        <w:tc>
          <w:tcPr>
            <w:tcW w:w="2438" w:type="dxa"/>
            <w:tcBorders>
              <w:top w:val="single" w:color="auto" w:sz="4" w:space="0"/>
              <w:left w:val="single" w:color="auto" w:sz="4" w:space="0"/>
              <w:bottom w:val="single" w:color="auto" w:sz="4" w:space="0"/>
              <w:right w:val="single" w:color="auto" w:sz="4" w:space="0"/>
            </w:tcBorders>
            <w:noWrap/>
            <w:vAlign w:val="center"/>
          </w:tcPr>
          <w:p>
            <w:pPr>
              <w:pStyle w:val="14"/>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线长</w:t>
            </w:r>
          </w:p>
        </w:tc>
        <w:tc>
          <w:tcPr>
            <w:tcW w:w="2828" w:type="dxa"/>
            <w:tcBorders>
              <w:top w:val="single" w:color="auto" w:sz="4" w:space="0"/>
              <w:left w:val="single" w:color="auto" w:sz="4" w:space="0"/>
              <w:bottom w:val="single" w:color="auto" w:sz="4" w:space="0"/>
              <w:right w:val="single" w:color="auto" w:sz="4" w:space="0"/>
            </w:tcBorders>
            <w:noWrap/>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000000" w:themeColor="text1"/>
                <w:szCs w:val="21"/>
                <w:highlight w:val="none"/>
                <w:lang w:val="en-US" w:eastAsia="zh-CN"/>
                <w14:textFill>
                  <w14:solidFill>
                    <w14:schemeClr w14:val="tx1"/>
                  </w14:solidFill>
                </w14:textFill>
              </w:rPr>
            </w:pPr>
            <w:r>
              <w:rPr>
                <w:rFonts w:hint="default" w:cs="Times New Roman"/>
                <w:color w:val="000000" w:themeColor="text1"/>
                <w:szCs w:val="21"/>
                <w:highlight w:val="none"/>
                <w:lang w:val="en-US" w:eastAsia="zh-CN"/>
                <w14:textFill>
                  <w14:solidFill>
                    <w14:schemeClr w14:val="tx1"/>
                  </w14:solidFill>
                </w14:textFill>
              </w:rPr>
              <w:t>15879519109</w:t>
            </w:r>
          </w:p>
        </w:tc>
        <w:tc>
          <w:tcPr>
            <w:tcW w:w="2679" w:type="dxa"/>
            <w:tcBorders>
              <w:top w:val="single" w:color="auto" w:sz="4" w:space="0"/>
              <w:left w:val="single" w:color="auto" w:sz="4" w:space="0"/>
              <w:bottom w:val="single" w:color="auto" w:sz="4" w:space="0"/>
              <w:right w:val="nil"/>
            </w:tcBorders>
            <w:noWrap/>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通讯联络组组长</w:t>
            </w:r>
            <w:commentRangeEnd w:id="16"/>
            <w:r>
              <w:commentReference w:id="16"/>
            </w:r>
          </w:p>
        </w:tc>
      </w:tr>
    </w:tbl>
    <w:p>
      <w:pPr>
        <w:tabs>
          <w:tab w:val="left" w:pos="2460"/>
        </w:tabs>
        <w:jc w:val="center"/>
        <w:outlineLvl w:val="3"/>
        <w:rPr>
          <w:rFonts w:ascii="宋体" w:hAnsi="宋体"/>
          <w:b/>
          <w:bCs/>
          <w:color w:val="000000" w:themeColor="text1"/>
          <w:kern w:val="0"/>
          <w:highlight w:val="none"/>
          <w14:textFill>
            <w14:solidFill>
              <w14:schemeClr w14:val="tx1"/>
            </w14:solidFill>
          </w14:textFill>
        </w:rPr>
      </w:pPr>
      <w:r>
        <w:rPr>
          <w:rFonts w:ascii="宋体" w:hAnsi="宋体"/>
          <w:b/>
          <w:bCs/>
          <w:color w:val="000000" w:themeColor="text1"/>
          <w:kern w:val="0"/>
          <w:highlight w:val="none"/>
          <w14:textFill>
            <w14:solidFill>
              <w14:schemeClr w14:val="tx1"/>
            </w14:solidFill>
          </w14:textFill>
        </w:rPr>
        <w:t>表</w:t>
      </w:r>
      <w:r>
        <w:rPr>
          <w:rFonts w:hint="eastAsia" w:ascii="宋体" w:hAnsi="宋体"/>
          <w:b/>
          <w:bCs/>
          <w:color w:val="000000" w:themeColor="text1"/>
          <w:kern w:val="0"/>
          <w:highlight w:val="none"/>
          <w:lang w:val="en-US" w:eastAsia="zh-CN"/>
          <w14:textFill>
            <w14:solidFill>
              <w14:schemeClr w14:val="tx1"/>
            </w14:solidFill>
          </w14:textFill>
        </w:rPr>
        <w:t>7</w:t>
      </w:r>
      <w:r>
        <w:rPr>
          <w:rFonts w:ascii="宋体" w:hAnsi="宋体"/>
          <w:b/>
          <w:bCs/>
          <w:color w:val="000000" w:themeColor="text1"/>
          <w:kern w:val="0"/>
          <w:highlight w:val="none"/>
          <w14:textFill>
            <w14:solidFill>
              <w14:schemeClr w14:val="tx1"/>
            </w14:solidFill>
          </w14:textFill>
        </w:rPr>
        <w:t>.4-2外部应急队伍及联系方式</w:t>
      </w:r>
    </w:p>
    <w:tbl>
      <w:tblPr>
        <w:tblStyle w:val="48"/>
        <w:tblW w:w="4998" w:type="pct"/>
        <w:jc w:val="center"/>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Layout w:type="autofit"/>
        <w:tblCellMar>
          <w:top w:w="0" w:type="dxa"/>
          <w:left w:w="108" w:type="dxa"/>
          <w:bottom w:w="0" w:type="dxa"/>
          <w:right w:w="108" w:type="dxa"/>
        </w:tblCellMar>
      </w:tblPr>
      <w:tblGrid>
        <w:gridCol w:w="871"/>
        <w:gridCol w:w="5109"/>
        <w:gridCol w:w="3302"/>
      </w:tblGrid>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74" w:hRule="atLeast"/>
          <w:jc w:val="center"/>
        </w:trPr>
        <w:tc>
          <w:tcPr>
            <w:tcW w:w="469" w:type="pct"/>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p>
        </w:tc>
        <w:tc>
          <w:tcPr>
            <w:tcW w:w="2751" w:type="pct"/>
            <w:vAlign w:val="center"/>
          </w:tcPr>
          <w:p>
            <w:pPr>
              <w:keepNext w:val="0"/>
              <w:keepLines w:val="0"/>
              <w:suppressLineNumbers w:val="0"/>
              <w:bidi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kern w:val="2"/>
                <w:sz w:val="24"/>
                <w:szCs w:val="24"/>
                <w:highlight w:val="none"/>
                <w14:textFill>
                  <w14:solidFill>
                    <w14:schemeClr w14:val="tx1"/>
                  </w14:solidFill>
                </w14:textFill>
              </w:rPr>
              <w:t>宜春市应急管理局</w:t>
            </w:r>
          </w:p>
        </w:tc>
        <w:tc>
          <w:tcPr>
            <w:tcW w:w="1778" w:type="pct"/>
            <w:vAlign w:val="center"/>
          </w:tcPr>
          <w:p>
            <w:pPr>
              <w:keepNext w:val="0"/>
              <w:keepLines w:val="0"/>
              <w:suppressLineNumbers w:val="0"/>
              <w:bidi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kern w:val="2"/>
                <w:sz w:val="24"/>
                <w:szCs w:val="24"/>
                <w:highlight w:val="none"/>
                <w14:textFill>
                  <w14:solidFill>
                    <w14:schemeClr w14:val="tx1"/>
                  </w14:solidFill>
                </w14:textFill>
              </w:rPr>
              <w:t>0795-3590918</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469" w:type="pct"/>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p>
        </w:tc>
        <w:tc>
          <w:tcPr>
            <w:tcW w:w="2751" w:type="pct"/>
            <w:vAlign w:val="center"/>
          </w:tcPr>
          <w:p>
            <w:pPr>
              <w:keepNext w:val="0"/>
              <w:keepLines w:val="0"/>
              <w:suppressLineNumbers w:val="0"/>
              <w:bidi w:val="0"/>
              <w:spacing w:before="0" w:beforeAutospacing="0" w:after="0" w:afterAutospacing="0"/>
              <w:ind w:left="0" w:right="0"/>
              <w:jc w:val="center"/>
              <w:rPr>
                <w:rFonts w:hint="eastAsia" w:ascii="宋体" w:hAnsi="宋体" w:eastAsia="宋体"/>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kern w:val="2"/>
                <w:sz w:val="24"/>
                <w:szCs w:val="24"/>
                <w:highlight w:val="none"/>
                <w14:textFill>
                  <w14:solidFill>
                    <w14:schemeClr w14:val="tx1"/>
                  </w14:solidFill>
                </w14:textFill>
              </w:rPr>
              <w:t>宜春市生态环境局</w:t>
            </w:r>
          </w:p>
        </w:tc>
        <w:tc>
          <w:tcPr>
            <w:tcW w:w="1778" w:type="pct"/>
            <w:vAlign w:val="center"/>
          </w:tcPr>
          <w:p>
            <w:pPr>
              <w:keepNext w:val="0"/>
              <w:keepLines w:val="0"/>
              <w:suppressLineNumbers w:val="0"/>
              <w:bidi w:val="0"/>
              <w:spacing w:before="0" w:beforeAutospacing="0" w:after="0" w:afterAutospacing="0"/>
              <w:ind w:left="0" w:right="0"/>
              <w:jc w:val="center"/>
              <w:rPr>
                <w:rFonts w:hint="eastAsia" w:ascii="宋体" w:hAnsi="宋体" w:eastAsia="宋体"/>
                <w:color w:val="000000" w:themeColor="text1"/>
                <w:szCs w:val="21"/>
                <w:highlight w:val="none"/>
                <w:lang w:eastAsia="zh-CN"/>
                <w14:textFill>
                  <w14:solidFill>
                    <w14:schemeClr w14:val="tx1"/>
                  </w14:solidFill>
                </w14:textFill>
              </w:rPr>
            </w:pPr>
            <w:r>
              <w:rPr>
                <w:rFonts w:hint="default" w:ascii="Times New Roman" w:hAnsi="Times New Roman" w:cs="Times New Roman"/>
                <w:color w:val="000000" w:themeColor="text1"/>
                <w:kern w:val="2"/>
                <w:sz w:val="24"/>
                <w:szCs w:val="24"/>
                <w:highlight w:val="none"/>
                <w14:textFill>
                  <w14:solidFill>
                    <w14:schemeClr w14:val="tx1"/>
                  </w14:solidFill>
                </w14:textFill>
              </w:rPr>
              <w:t>0795-3998865</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469" w:type="pct"/>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p>
        </w:tc>
        <w:tc>
          <w:tcPr>
            <w:tcW w:w="2751" w:type="pct"/>
            <w:vAlign w:val="center"/>
          </w:tcPr>
          <w:p>
            <w:pPr>
              <w:keepNext w:val="0"/>
              <w:keepLines w:val="0"/>
              <w:suppressLineNumbers w:val="0"/>
              <w:bidi w:val="0"/>
              <w:spacing w:before="0" w:beforeAutospacing="0" w:after="0" w:afterAutospacing="0"/>
              <w:ind w:left="0" w:right="0"/>
              <w:jc w:val="center"/>
              <w:rPr>
                <w:rFonts w:hint="default" w:ascii="Times New Roman" w:hAnsi="Times New Roman" w:cs="Times New Roman"/>
                <w:color w:val="000000" w:themeColor="text1"/>
                <w:kern w:val="2"/>
                <w:sz w:val="24"/>
                <w:szCs w:val="24"/>
                <w:highlight w:val="none"/>
                <w14:textFill>
                  <w14:solidFill>
                    <w14:schemeClr w14:val="tx1"/>
                  </w14:solidFill>
                </w14:textFill>
              </w:rPr>
            </w:pPr>
            <w:r>
              <w:rPr>
                <w:rFonts w:hint="default" w:ascii="Times New Roman" w:hAnsi="Times New Roman" w:cs="Times New Roman"/>
                <w:color w:val="000000" w:themeColor="text1"/>
                <w:kern w:val="2"/>
                <w:sz w:val="24"/>
                <w:szCs w:val="24"/>
                <w:highlight w:val="none"/>
                <w14:textFill>
                  <w14:solidFill>
                    <w14:schemeClr w14:val="tx1"/>
                  </w14:solidFill>
                </w14:textFill>
              </w:rPr>
              <w:t>宜春市安全生产应急救援</w:t>
            </w:r>
          </w:p>
          <w:p>
            <w:pPr>
              <w:keepNext w:val="0"/>
              <w:keepLines w:val="0"/>
              <w:suppressLineNumbers w:val="0"/>
              <w:bidi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kern w:val="2"/>
                <w:sz w:val="24"/>
                <w:szCs w:val="24"/>
                <w:highlight w:val="none"/>
                <w14:textFill>
                  <w14:solidFill>
                    <w14:schemeClr w14:val="tx1"/>
                  </w14:solidFill>
                </w14:textFill>
              </w:rPr>
              <w:t>指挥中心</w:t>
            </w:r>
          </w:p>
        </w:tc>
        <w:tc>
          <w:tcPr>
            <w:tcW w:w="1778" w:type="pct"/>
            <w:vAlign w:val="center"/>
          </w:tcPr>
          <w:p>
            <w:pPr>
              <w:keepNext w:val="0"/>
              <w:keepLines w:val="0"/>
              <w:suppressLineNumbers w:val="0"/>
              <w:bidi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kern w:val="2"/>
                <w:sz w:val="24"/>
                <w:szCs w:val="24"/>
                <w:highlight w:val="none"/>
                <w14:textFill>
                  <w14:solidFill>
                    <w14:schemeClr w14:val="tx1"/>
                  </w14:solidFill>
                </w14:textFill>
              </w:rPr>
              <w:t>0795-3562731</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469" w:type="pct"/>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p>
        </w:tc>
        <w:tc>
          <w:tcPr>
            <w:tcW w:w="2751" w:type="pct"/>
            <w:vAlign w:val="center"/>
          </w:tcPr>
          <w:p>
            <w:pPr>
              <w:keepNext w:val="0"/>
              <w:keepLines w:val="0"/>
              <w:suppressLineNumbers w:val="0"/>
              <w:bidi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kern w:val="2"/>
                <w:sz w:val="24"/>
                <w:szCs w:val="24"/>
                <w:highlight w:val="none"/>
                <w:lang w:val="en-US" w:eastAsia="zh-CN"/>
                <w14:textFill>
                  <w14:solidFill>
                    <w14:schemeClr w14:val="tx1"/>
                  </w14:solidFill>
                </w14:textFill>
              </w:rPr>
              <w:t>宜春市</w:t>
            </w:r>
            <w:r>
              <w:rPr>
                <w:rFonts w:hint="eastAsia" w:cs="Times New Roman"/>
                <w:color w:val="000000" w:themeColor="text1"/>
                <w:kern w:val="2"/>
                <w:sz w:val="24"/>
                <w:szCs w:val="24"/>
                <w:highlight w:val="none"/>
                <w:lang w:eastAsia="zh-CN"/>
                <w14:textFill>
                  <w14:solidFill>
                    <w14:schemeClr w14:val="tx1"/>
                  </w14:solidFill>
                </w14:textFill>
              </w:rPr>
              <w:t>宜春经济技术开发区</w:t>
            </w:r>
            <w:r>
              <w:rPr>
                <w:rFonts w:hint="eastAsia" w:ascii="Times New Roman" w:hAnsi="Times New Roman" w:cs="Times New Roman"/>
                <w:color w:val="000000" w:themeColor="text1"/>
                <w:kern w:val="2"/>
                <w:sz w:val="24"/>
                <w:szCs w:val="24"/>
                <w:highlight w:val="none"/>
                <w:lang w:eastAsia="zh-CN"/>
                <w14:textFill>
                  <w14:solidFill>
                    <w14:schemeClr w14:val="tx1"/>
                  </w14:solidFill>
                </w14:textFill>
              </w:rPr>
              <w:t>应急管理局</w:t>
            </w:r>
          </w:p>
        </w:tc>
        <w:tc>
          <w:tcPr>
            <w:tcW w:w="1778" w:type="pct"/>
            <w:vAlign w:val="center"/>
          </w:tcPr>
          <w:p>
            <w:pPr>
              <w:keepNext w:val="0"/>
              <w:keepLines w:val="0"/>
              <w:suppressLineNumbers w:val="0"/>
              <w:bidi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kern w:val="2"/>
                <w:sz w:val="24"/>
                <w:szCs w:val="24"/>
                <w:highlight w:val="none"/>
                <w14:textFill>
                  <w14:solidFill>
                    <w14:schemeClr w14:val="tx1"/>
                  </w14:solidFill>
                </w14:textFill>
              </w:rPr>
              <w:t>0795-3668228</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469" w:type="pct"/>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w:t>
            </w:r>
          </w:p>
        </w:tc>
        <w:tc>
          <w:tcPr>
            <w:tcW w:w="2751" w:type="pct"/>
            <w:vAlign w:val="center"/>
          </w:tcPr>
          <w:p>
            <w:pPr>
              <w:keepNext w:val="0"/>
              <w:keepLines w:val="0"/>
              <w:suppressLineNumbers w:val="0"/>
              <w:bidi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kern w:val="2"/>
                <w:sz w:val="24"/>
                <w:szCs w:val="24"/>
                <w:highlight w:val="none"/>
                <w:lang w:eastAsia="zh-CN"/>
                <w14:textFill>
                  <w14:solidFill>
                    <w14:schemeClr w14:val="tx1"/>
                  </w14:solidFill>
                </w14:textFill>
              </w:rPr>
              <w:t>宜春市生态环境局宜春经济技术开发区分局</w:t>
            </w:r>
          </w:p>
        </w:tc>
        <w:tc>
          <w:tcPr>
            <w:tcW w:w="1778" w:type="pct"/>
            <w:vAlign w:val="center"/>
          </w:tcPr>
          <w:p>
            <w:pPr>
              <w:keepNext w:val="0"/>
              <w:keepLines w:val="0"/>
              <w:suppressLineNumbers w:val="0"/>
              <w:bidi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Times New Roman" w:hAnsi="Times New Roman" w:cs="Times New Roman"/>
                <w:color w:val="000000" w:themeColor="text1"/>
                <w:kern w:val="2"/>
                <w:sz w:val="24"/>
                <w:szCs w:val="24"/>
                <w:highlight w:val="none"/>
                <w:lang w:eastAsia="zh-CN"/>
                <w14:textFill>
                  <w14:solidFill>
                    <w14:schemeClr w14:val="tx1"/>
                  </w14:solidFill>
                </w14:textFill>
              </w:rPr>
              <w:t>0795-3653639</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469" w:type="pct"/>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w:t>
            </w:r>
          </w:p>
        </w:tc>
        <w:tc>
          <w:tcPr>
            <w:tcW w:w="2751" w:type="pct"/>
            <w:vAlign w:val="center"/>
          </w:tcPr>
          <w:p>
            <w:pPr>
              <w:keepNext w:val="0"/>
              <w:keepLines w:val="0"/>
              <w:suppressLineNumbers w:val="0"/>
              <w:bidi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kern w:val="2"/>
                <w:sz w:val="24"/>
                <w:szCs w:val="24"/>
                <w:highlight w:val="none"/>
                <w14:textFill>
                  <w14:solidFill>
                    <w14:schemeClr w14:val="tx1"/>
                  </w14:solidFill>
                </w14:textFill>
              </w:rPr>
              <w:t>宜春市公安局</w:t>
            </w:r>
          </w:p>
        </w:tc>
        <w:tc>
          <w:tcPr>
            <w:tcW w:w="1778" w:type="pct"/>
            <w:vAlign w:val="center"/>
          </w:tcPr>
          <w:p>
            <w:pPr>
              <w:keepNext w:val="0"/>
              <w:keepLines w:val="0"/>
              <w:suppressLineNumbers w:val="0"/>
              <w:bidi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default" w:ascii="Times New Roman" w:hAnsi="Times New Roman" w:cs="Times New Roman"/>
                <w:color w:val="000000" w:themeColor="text1"/>
                <w:kern w:val="2"/>
                <w:sz w:val="24"/>
                <w:szCs w:val="24"/>
                <w:highlight w:val="none"/>
                <w14:textFill>
                  <w14:solidFill>
                    <w14:schemeClr w14:val="tx1"/>
                  </w14:solidFill>
                </w14:textFill>
              </w:rPr>
              <w:t>110</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469" w:type="pct"/>
            <w:vAlign w:val="center"/>
          </w:tcPr>
          <w:p>
            <w:pPr>
              <w:keepNext w:val="0"/>
              <w:keepLines w:val="0"/>
              <w:suppressLineNumbers w:val="0"/>
              <w:spacing w:before="0" w:beforeAutospacing="0" w:after="0" w:afterAutospacing="0"/>
              <w:ind w:left="0" w:right="0"/>
              <w:jc w:val="center"/>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7</w:t>
            </w:r>
          </w:p>
        </w:tc>
        <w:tc>
          <w:tcPr>
            <w:tcW w:w="2751" w:type="pct"/>
            <w:vAlign w:val="center"/>
          </w:tcPr>
          <w:p>
            <w:pPr>
              <w:keepNext w:val="0"/>
              <w:keepLines w:val="0"/>
              <w:suppressLineNumbers w:val="0"/>
              <w:bidi w:val="0"/>
              <w:spacing w:before="0" w:beforeAutospacing="0" w:after="0" w:afterAutospacing="0"/>
              <w:ind w:left="0" w:right="0"/>
              <w:jc w:val="center"/>
              <w:rPr>
                <w:rFonts w:hint="default" w:ascii="宋体" w:hAnsi="宋体" w:eastAsia="宋体"/>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kern w:val="2"/>
                <w:sz w:val="24"/>
                <w:szCs w:val="24"/>
                <w:highlight w:val="none"/>
                <w14:textFill>
                  <w14:solidFill>
                    <w14:schemeClr w14:val="tx1"/>
                  </w14:solidFill>
                </w14:textFill>
              </w:rPr>
              <w:t>宜春市交警支队</w:t>
            </w:r>
          </w:p>
        </w:tc>
        <w:tc>
          <w:tcPr>
            <w:tcW w:w="1778" w:type="pct"/>
            <w:vAlign w:val="center"/>
          </w:tcPr>
          <w:p>
            <w:pPr>
              <w:keepNext w:val="0"/>
              <w:keepLines w:val="0"/>
              <w:suppressLineNumbers w:val="0"/>
              <w:bidi w:val="0"/>
              <w:spacing w:before="0" w:beforeAutospacing="0" w:after="0" w:afterAutospacing="0"/>
              <w:ind w:left="0" w:right="0"/>
              <w:jc w:val="center"/>
              <w:rPr>
                <w:rFonts w:hint="default" w:ascii="宋体" w:hAnsi="宋体" w:eastAsia="宋体"/>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kern w:val="2"/>
                <w:sz w:val="24"/>
                <w:szCs w:val="24"/>
                <w:highlight w:val="none"/>
                <w14:textFill>
                  <w14:solidFill>
                    <w14:schemeClr w14:val="tx1"/>
                  </w14:solidFill>
                </w14:textFill>
              </w:rPr>
              <w:t>122</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469" w:type="pct"/>
            <w:vAlign w:val="center"/>
          </w:tcPr>
          <w:p>
            <w:pPr>
              <w:keepNext w:val="0"/>
              <w:keepLines w:val="0"/>
              <w:suppressLineNumbers w:val="0"/>
              <w:spacing w:before="0" w:beforeAutospacing="0" w:after="0" w:afterAutospacing="0"/>
              <w:ind w:left="0" w:right="0"/>
              <w:jc w:val="center"/>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8</w:t>
            </w:r>
          </w:p>
        </w:tc>
        <w:tc>
          <w:tcPr>
            <w:tcW w:w="2751" w:type="pct"/>
            <w:vAlign w:val="center"/>
          </w:tcPr>
          <w:p>
            <w:pPr>
              <w:keepNext w:val="0"/>
              <w:keepLines w:val="0"/>
              <w:suppressLineNumbers w:val="0"/>
              <w:bidi w:val="0"/>
              <w:spacing w:before="0" w:beforeAutospacing="0" w:after="0" w:afterAutospacing="0"/>
              <w:ind w:left="0" w:right="0"/>
              <w:jc w:val="center"/>
              <w:rPr>
                <w:rFonts w:hint="default" w:ascii="宋体" w:hAnsi="宋体"/>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kern w:val="2"/>
                <w:sz w:val="24"/>
                <w:szCs w:val="24"/>
                <w:highlight w:val="none"/>
                <w14:textFill>
                  <w14:solidFill>
                    <w14:schemeClr w14:val="tx1"/>
                  </w14:solidFill>
                </w14:textFill>
              </w:rPr>
              <w:t>宜春市消防大队</w:t>
            </w:r>
          </w:p>
        </w:tc>
        <w:tc>
          <w:tcPr>
            <w:tcW w:w="1778" w:type="pct"/>
            <w:vAlign w:val="center"/>
          </w:tcPr>
          <w:p>
            <w:pPr>
              <w:keepNext w:val="0"/>
              <w:keepLines w:val="0"/>
              <w:suppressLineNumbers w:val="0"/>
              <w:bidi w:val="0"/>
              <w:spacing w:before="0" w:beforeAutospacing="0" w:after="0" w:afterAutospacing="0"/>
              <w:ind w:left="0" w:right="0"/>
              <w:jc w:val="center"/>
              <w:rPr>
                <w:rFonts w:hint="default" w:ascii="宋体" w:hAnsi="宋体"/>
                <w:color w:val="000000" w:themeColor="text1"/>
                <w:szCs w:val="21"/>
                <w:highlight w:val="none"/>
                <w:lang w:val="en-US" w:eastAsia="zh-CN"/>
                <w14:textFill>
                  <w14:solidFill>
                    <w14:schemeClr w14:val="tx1"/>
                  </w14:solidFill>
                </w14:textFill>
              </w:rPr>
            </w:pPr>
            <w:r>
              <w:rPr>
                <w:rFonts w:hint="default" w:ascii="Times New Roman" w:hAnsi="Times New Roman" w:cs="Times New Roman"/>
                <w:color w:val="000000" w:themeColor="text1"/>
                <w:kern w:val="2"/>
                <w:sz w:val="24"/>
                <w:szCs w:val="24"/>
                <w:highlight w:val="none"/>
                <w14:textFill>
                  <w14:solidFill>
                    <w14:schemeClr w14:val="tx1"/>
                  </w14:solidFill>
                </w14:textFill>
              </w:rPr>
              <w:t>119</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469" w:type="pct"/>
            <w:vAlign w:val="center"/>
          </w:tcPr>
          <w:p>
            <w:pPr>
              <w:keepNext w:val="0"/>
              <w:keepLines w:val="0"/>
              <w:suppressLineNumbers w:val="0"/>
              <w:spacing w:before="0" w:beforeAutospacing="0" w:after="0" w:afterAutospacing="0"/>
              <w:ind w:left="0" w:right="0"/>
              <w:jc w:val="center"/>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9</w:t>
            </w:r>
          </w:p>
        </w:tc>
        <w:tc>
          <w:tcPr>
            <w:tcW w:w="2751" w:type="pct"/>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000000" w:themeColor="text1"/>
                <w:kern w:val="2"/>
                <w:sz w:val="24"/>
                <w:szCs w:val="24"/>
                <w:highlight w:val="none"/>
                <w:lang w:val="en-US" w:eastAsia="zh-CN"/>
                <w14:textFill>
                  <w14:solidFill>
                    <w14:schemeClr w14:val="tx1"/>
                  </w14:solidFill>
                </w14:textFill>
              </w:rPr>
            </w:pPr>
            <w:r>
              <w:rPr>
                <w:rFonts w:hint="eastAsia" w:cs="Times New Roman"/>
                <w:color w:val="000000" w:themeColor="text1"/>
                <w:kern w:val="2"/>
                <w:sz w:val="24"/>
                <w:szCs w:val="24"/>
                <w:highlight w:val="none"/>
                <w:lang w:val="en-US" w:eastAsia="zh-CN"/>
                <w14:textFill>
                  <w14:solidFill>
                    <w14:schemeClr w14:val="tx1"/>
                  </w14:solidFill>
                </w14:textFill>
              </w:rPr>
              <w:t>宜春市人民医院</w:t>
            </w:r>
          </w:p>
        </w:tc>
        <w:tc>
          <w:tcPr>
            <w:tcW w:w="1778" w:type="pct"/>
            <w:vAlign w:val="center"/>
          </w:tcPr>
          <w:p>
            <w:pPr>
              <w:keepNext w:val="0"/>
              <w:keepLines w:val="0"/>
              <w:suppressLineNumbers w:val="0"/>
              <w:bidi w:val="0"/>
              <w:spacing w:before="0" w:beforeAutospacing="0" w:after="0" w:afterAutospacing="0"/>
              <w:ind w:left="0" w:right="0"/>
              <w:jc w:val="center"/>
              <w:rPr>
                <w:rFonts w:hint="default" w:ascii="Times New Roman" w:hAnsi="Times New Roman" w:eastAsia="宋体" w:cs="Times New Roman"/>
                <w:color w:val="000000" w:themeColor="text1"/>
                <w:kern w:val="2"/>
                <w:sz w:val="24"/>
                <w:szCs w:val="24"/>
                <w:highlight w:val="none"/>
                <w:lang w:val="en-US" w:eastAsia="zh-CN"/>
                <w14:textFill>
                  <w14:solidFill>
                    <w14:schemeClr w14:val="tx1"/>
                  </w14:solidFill>
                </w14:textFill>
              </w:rPr>
            </w:pPr>
            <w:r>
              <w:rPr>
                <w:rFonts w:hint="eastAsia" w:cs="Times New Roman"/>
                <w:color w:val="000000" w:themeColor="text1"/>
                <w:kern w:val="2"/>
                <w:sz w:val="24"/>
                <w:szCs w:val="24"/>
                <w:highlight w:val="none"/>
                <w:lang w:val="en-US" w:eastAsia="zh-CN"/>
                <w14:textFill>
                  <w14:solidFill>
                    <w14:schemeClr w14:val="tx1"/>
                  </w14:solidFill>
                </w14:textFill>
              </w:rPr>
              <w:t>120</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469" w:type="pct"/>
            <w:vAlign w:val="center"/>
          </w:tcPr>
          <w:p>
            <w:pPr>
              <w:keepNext w:val="0"/>
              <w:keepLines w:val="0"/>
              <w:suppressLineNumbers w:val="0"/>
              <w:spacing w:before="0" w:beforeAutospacing="0" w:after="0" w:afterAutospacing="0"/>
              <w:ind w:left="0" w:right="0"/>
              <w:jc w:val="center"/>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10</w:t>
            </w:r>
          </w:p>
        </w:tc>
        <w:tc>
          <w:tcPr>
            <w:tcW w:w="2751" w:type="pct"/>
            <w:vAlign w:val="center"/>
          </w:tcPr>
          <w:p>
            <w:pPr>
              <w:keepNext w:val="0"/>
              <w:keepLines w:val="0"/>
              <w:suppressLineNumbers w:val="0"/>
              <w:bidi w:val="0"/>
              <w:spacing w:before="0" w:beforeAutospacing="0" w:after="0" w:afterAutospacing="0"/>
              <w:ind w:left="0" w:right="0"/>
              <w:jc w:val="center"/>
              <w:rPr>
                <w:rFonts w:hint="default" w:cs="Times New Roman"/>
                <w:color w:val="000000" w:themeColor="text1"/>
                <w:kern w:val="2"/>
                <w:sz w:val="24"/>
                <w:szCs w:val="24"/>
                <w:highlight w:val="none"/>
                <w:lang w:val="en-US" w:eastAsia="zh-CN"/>
                <w14:textFill>
                  <w14:solidFill>
                    <w14:schemeClr w14:val="tx1"/>
                  </w14:solidFill>
                </w14:textFill>
              </w:rPr>
            </w:pPr>
            <w:r>
              <w:rPr>
                <w:rFonts w:hint="eastAsia" w:cs="Times New Roman"/>
                <w:color w:val="000000" w:themeColor="text1"/>
                <w:kern w:val="2"/>
                <w:sz w:val="24"/>
                <w:szCs w:val="24"/>
                <w:highlight w:val="none"/>
                <w:lang w:val="en-US" w:eastAsia="zh-CN"/>
                <w14:textFill>
                  <w14:solidFill>
                    <w14:schemeClr w14:val="tx1"/>
                  </w14:solidFill>
                </w14:textFill>
              </w:rPr>
              <w:t>宜春经济技术开发区管理委员会</w:t>
            </w:r>
          </w:p>
        </w:tc>
        <w:tc>
          <w:tcPr>
            <w:tcW w:w="1778" w:type="pct"/>
            <w:vAlign w:val="center"/>
          </w:tcPr>
          <w:p>
            <w:pPr>
              <w:keepNext w:val="0"/>
              <w:keepLines w:val="0"/>
              <w:suppressLineNumbers w:val="0"/>
              <w:bidi w:val="0"/>
              <w:spacing w:before="0" w:beforeAutospacing="0" w:after="0" w:afterAutospacing="0"/>
              <w:ind w:left="0" w:right="0"/>
              <w:jc w:val="center"/>
              <w:rPr>
                <w:rFonts w:hint="eastAsia" w:cs="Times New Roman"/>
                <w:color w:val="000000" w:themeColor="text1"/>
                <w:kern w:val="2"/>
                <w:sz w:val="24"/>
                <w:szCs w:val="24"/>
                <w:highlight w:val="none"/>
                <w:lang w:val="en-US" w:eastAsia="zh-CN"/>
                <w14:textFill>
                  <w14:solidFill>
                    <w14:schemeClr w14:val="tx1"/>
                  </w14:solidFill>
                </w14:textFill>
              </w:rPr>
            </w:pPr>
            <w:r>
              <w:rPr>
                <w:rFonts w:hint="eastAsia" w:ascii="Times New Roman" w:hAnsi="Times New Roman" w:cs="Times New Roman"/>
                <w:color w:val="000000" w:themeColor="text1"/>
                <w:kern w:val="2"/>
                <w:sz w:val="24"/>
                <w:szCs w:val="24"/>
                <w:highlight w:val="none"/>
                <w:lang w:eastAsia="zh-CN"/>
                <w14:textFill>
                  <w14:solidFill>
                    <w14:schemeClr w14:val="tx1"/>
                  </w14:solidFill>
                </w14:textFill>
              </w:rPr>
              <w:t>0795-3668066</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469" w:type="pct"/>
            <w:vAlign w:val="center"/>
          </w:tcPr>
          <w:p>
            <w:pPr>
              <w:keepNext w:val="0"/>
              <w:keepLines w:val="0"/>
              <w:suppressLineNumbers w:val="0"/>
              <w:spacing w:before="0" w:beforeAutospacing="0" w:after="0" w:afterAutospacing="0"/>
              <w:ind w:left="0" w:right="0"/>
              <w:jc w:val="center"/>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11</w:t>
            </w:r>
          </w:p>
        </w:tc>
        <w:tc>
          <w:tcPr>
            <w:tcW w:w="2751" w:type="pct"/>
            <w:vAlign w:val="center"/>
          </w:tcPr>
          <w:p>
            <w:pPr>
              <w:keepNext w:val="0"/>
              <w:keepLines w:val="0"/>
              <w:suppressLineNumbers w:val="0"/>
              <w:bidi w:val="0"/>
              <w:spacing w:before="0" w:beforeAutospacing="0" w:after="0" w:afterAutospacing="0"/>
              <w:ind w:left="0" w:right="0"/>
              <w:jc w:val="center"/>
              <w:rPr>
                <w:rFonts w:hint="eastAsia" w:cs="Times New Roman"/>
                <w:color w:val="000000" w:themeColor="text1"/>
                <w:kern w:val="2"/>
                <w:sz w:val="24"/>
                <w:szCs w:val="24"/>
                <w:highlight w:val="none"/>
                <w:lang w:val="en-US" w:eastAsia="zh-CN"/>
                <w14:textFill>
                  <w14:solidFill>
                    <w14:schemeClr w14:val="tx1"/>
                  </w14:solidFill>
                </w14:textFill>
              </w:rPr>
            </w:pPr>
            <w:r>
              <w:rPr>
                <w:rFonts w:hint="eastAsia" w:cs="Times New Roman"/>
                <w:color w:val="000000" w:themeColor="text1"/>
                <w:kern w:val="2"/>
                <w:sz w:val="24"/>
                <w:szCs w:val="24"/>
                <w:highlight w:val="none"/>
                <w:lang w:val="en-US" w:eastAsia="zh-CN"/>
                <w14:textFill>
                  <w14:solidFill>
                    <w14:schemeClr w14:val="tx1"/>
                  </w14:solidFill>
                </w14:textFill>
              </w:rPr>
              <w:t>宜春生态环境监测中心</w:t>
            </w:r>
          </w:p>
        </w:tc>
        <w:tc>
          <w:tcPr>
            <w:tcW w:w="1778" w:type="pct"/>
            <w:vAlign w:val="center"/>
          </w:tcPr>
          <w:p>
            <w:pPr>
              <w:keepNext w:val="0"/>
              <w:keepLines w:val="0"/>
              <w:suppressLineNumbers w:val="0"/>
              <w:bidi w:val="0"/>
              <w:spacing w:before="0" w:beforeAutospacing="0" w:after="0" w:afterAutospacing="0"/>
              <w:ind w:left="0" w:right="0"/>
              <w:jc w:val="center"/>
              <w:rPr>
                <w:rFonts w:hint="eastAsia" w:ascii="Times New Roman" w:hAnsi="Times New Roman" w:cs="Times New Roman"/>
                <w:color w:val="000000" w:themeColor="text1"/>
                <w:kern w:val="2"/>
                <w:sz w:val="24"/>
                <w:szCs w:val="24"/>
                <w:highlight w:val="none"/>
                <w:lang w:eastAsia="zh-CN"/>
                <w14:textFill>
                  <w14:solidFill>
                    <w14:schemeClr w14:val="tx1"/>
                  </w14:solidFill>
                </w14:textFill>
              </w:rPr>
            </w:pPr>
            <w:r>
              <w:rPr>
                <w:rFonts w:hint="eastAsia" w:cs="Times New Roman"/>
                <w:color w:val="000000" w:themeColor="text1"/>
                <w:kern w:val="2"/>
                <w:sz w:val="24"/>
                <w:szCs w:val="24"/>
                <w:highlight w:val="none"/>
                <w:lang w:val="en-US" w:eastAsia="zh-CN"/>
                <w14:textFill>
                  <w14:solidFill>
                    <w14:schemeClr w14:val="tx1"/>
                  </w14:solidFill>
                </w14:textFill>
              </w:rPr>
              <w:t>0795-3998059</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469" w:type="pct"/>
            <w:vAlign w:val="center"/>
          </w:tcPr>
          <w:p>
            <w:pPr>
              <w:keepNext w:val="0"/>
              <w:keepLines w:val="0"/>
              <w:suppressLineNumbers w:val="0"/>
              <w:spacing w:before="0" w:beforeAutospacing="0" w:after="0" w:afterAutospacing="0"/>
              <w:ind w:left="0" w:right="0"/>
              <w:jc w:val="center"/>
              <w:rPr>
                <w:rFonts w:hint="default" w:ascii="宋体" w:hAnsi="宋体"/>
                <w:color w:val="000000" w:themeColor="text1"/>
                <w:szCs w:val="21"/>
                <w:highlight w:val="none"/>
                <w:lang w:val="en-US" w:eastAsia="zh-CN"/>
                <w14:textFill>
                  <w14:solidFill>
                    <w14:schemeClr w14:val="tx1"/>
                  </w14:solidFill>
                </w14:textFill>
              </w:rPr>
            </w:pPr>
            <w:bookmarkStart w:id="632" w:name="_Toc10668_WPSOffice_Level2"/>
            <w:bookmarkStart w:id="633" w:name="_Toc306975711"/>
            <w:bookmarkStart w:id="634" w:name="_Toc305937036"/>
            <w:bookmarkStart w:id="635" w:name="_Toc43203022"/>
            <w:bookmarkStart w:id="636" w:name="_Toc1747"/>
            <w:bookmarkStart w:id="637" w:name="_Toc46857543"/>
            <w:bookmarkStart w:id="638" w:name="_Toc19993_WPSOffice_Level2"/>
            <w:bookmarkStart w:id="639" w:name="_Toc408503157"/>
            <w:bookmarkStart w:id="640" w:name="_Toc342165919"/>
            <w:r>
              <w:rPr>
                <w:rFonts w:hint="eastAsia" w:ascii="宋体" w:hAnsi="宋体"/>
                <w:color w:val="000000" w:themeColor="text1"/>
                <w:szCs w:val="21"/>
                <w:highlight w:val="none"/>
                <w:lang w:val="en-US" w:eastAsia="zh-CN"/>
                <w14:textFill>
                  <w14:solidFill>
                    <w14:schemeClr w14:val="tx1"/>
                  </w14:solidFill>
                </w14:textFill>
              </w:rPr>
              <w:t>12</w:t>
            </w:r>
          </w:p>
        </w:tc>
        <w:tc>
          <w:tcPr>
            <w:tcW w:w="2751" w:type="pct"/>
            <w:vAlign w:val="center"/>
          </w:tcPr>
          <w:p>
            <w:pPr>
              <w:keepNext w:val="0"/>
              <w:keepLines w:val="0"/>
              <w:suppressLineNumbers w:val="0"/>
              <w:bidi w:val="0"/>
              <w:spacing w:before="0" w:beforeAutospacing="0" w:after="0" w:afterAutospacing="0"/>
              <w:ind w:left="0" w:right="0"/>
              <w:jc w:val="center"/>
              <w:rPr>
                <w:rFonts w:hint="eastAsia" w:cs="Times New Roman"/>
                <w:color w:val="FF0000"/>
                <w:kern w:val="2"/>
                <w:sz w:val="24"/>
                <w:szCs w:val="24"/>
                <w:highlight w:val="none"/>
                <w:lang w:val="en-US" w:eastAsia="zh-CN"/>
              </w:rPr>
            </w:pPr>
            <w:r>
              <w:rPr>
                <w:rFonts w:hint="eastAsia" w:cs="Times New Roman"/>
                <w:color w:val="FF0000"/>
                <w:kern w:val="2"/>
                <w:sz w:val="24"/>
                <w:szCs w:val="24"/>
                <w:highlight w:val="none"/>
                <w:lang w:val="en-US" w:eastAsia="zh-CN"/>
              </w:rPr>
              <w:t>宜春经济技术开发区</w:t>
            </w:r>
            <w:r>
              <w:rPr>
                <w:rFonts w:hint="default" w:ascii="Times New Roman" w:hAnsi="Times New Roman" w:cs="Times New Roman"/>
                <w:color w:val="FF0000"/>
                <w:kern w:val="2"/>
                <w:sz w:val="24"/>
                <w:szCs w:val="24"/>
                <w:highlight w:val="none"/>
              </w:rPr>
              <w:t>公安局</w:t>
            </w:r>
          </w:p>
        </w:tc>
        <w:tc>
          <w:tcPr>
            <w:tcW w:w="1778" w:type="pct"/>
            <w:vAlign w:val="center"/>
          </w:tcPr>
          <w:p>
            <w:pPr>
              <w:keepNext w:val="0"/>
              <w:keepLines w:val="0"/>
              <w:suppressLineNumbers w:val="0"/>
              <w:bidi w:val="0"/>
              <w:spacing w:before="0" w:beforeAutospacing="0" w:after="0" w:afterAutospacing="0"/>
              <w:ind w:left="0" w:right="0"/>
              <w:jc w:val="center"/>
              <w:rPr>
                <w:rFonts w:hint="default" w:cs="Times New Roman"/>
                <w:color w:val="FF0000"/>
                <w:kern w:val="2"/>
                <w:sz w:val="24"/>
                <w:szCs w:val="24"/>
                <w:highlight w:val="none"/>
                <w:lang w:val="en-US" w:eastAsia="zh-CN"/>
              </w:rPr>
            </w:pPr>
            <w:r>
              <w:rPr>
                <w:rFonts w:hint="eastAsia" w:cs="Times New Roman"/>
                <w:color w:val="FF0000"/>
                <w:kern w:val="2"/>
                <w:sz w:val="24"/>
                <w:szCs w:val="24"/>
                <w:highlight w:val="none"/>
                <w:lang w:val="en-US" w:eastAsia="zh-CN"/>
              </w:rPr>
              <w:t>0795-3653299</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469" w:type="pct"/>
            <w:vAlign w:val="center"/>
          </w:tcPr>
          <w:p>
            <w:pPr>
              <w:keepNext w:val="0"/>
              <w:keepLines w:val="0"/>
              <w:suppressLineNumbers w:val="0"/>
              <w:spacing w:before="0" w:beforeAutospacing="0" w:after="0" w:afterAutospacing="0"/>
              <w:ind w:left="0" w:right="0"/>
              <w:jc w:val="center"/>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13</w:t>
            </w:r>
          </w:p>
        </w:tc>
        <w:tc>
          <w:tcPr>
            <w:tcW w:w="2751" w:type="pct"/>
            <w:vAlign w:val="center"/>
          </w:tcPr>
          <w:p>
            <w:pPr>
              <w:keepNext w:val="0"/>
              <w:keepLines w:val="0"/>
              <w:suppressLineNumbers w:val="0"/>
              <w:bidi w:val="0"/>
              <w:spacing w:before="0" w:beforeAutospacing="0" w:after="0" w:afterAutospacing="0"/>
              <w:ind w:left="0" w:right="0"/>
              <w:jc w:val="center"/>
              <w:rPr>
                <w:rFonts w:hint="eastAsia" w:cs="Times New Roman"/>
                <w:color w:val="FF0000"/>
                <w:kern w:val="2"/>
                <w:sz w:val="24"/>
                <w:szCs w:val="24"/>
                <w:highlight w:val="none"/>
                <w:lang w:val="en-US" w:eastAsia="zh-CN"/>
              </w:rPr>
            </w:pPr>
            <w:r>
              <w:rPr>
                <w:rFonts w:hint="eastAsia" w:cs="Times New Roman"/>
                <w:color w:val="FF0000"/>
                <w:kern w:val="2"/>
                <w:sz w:val="24"/>
                <w:szCs w:val="24"/>
                <w:highlight w:val="none"/>
                <w:lang w:val="en-US" w:eastAsia="zh-CN"/>
              </w:rPr>
              <w:t>宜春经济技术开发区</w:t>
            </w:r>
            <w:r>
              <w:rPr>
                <w:rFonts w:hint="default" w:ascii="Times New Roman" w:hAnsi="Times New Roman" w:cs="Times New Roman"/>
                <w:color w:val="FF0000"/>
                <w:kern w:val="2"/>
                <w:sz w:val="24"/>
                <w:szCs w:val="24"/>
                <w:highlight w:val="none"/>
              </w:rPr>
              <w:t>消防大队</w:t>
            </w:r>
          </w:p>
        </w:tc>
        <w:tc>
          <w:tcPr>
            <w:tcW w:w="1778" w:type="pct"/>
            <w:vAlign w:val="center"/>
          </w:tcPr>
          <w:p>
            <w:pPr>
              <w:keepNext w:val="0"/>
              <w:keepLines w:val="0"/>
              <w:suppressLineNumbers w:val="0"/>
              <w:bidi w:val="0"/>
              <w:spacing w:before="0" w:beforeAutospacing="0" w:after="0" w:afterAutospacing="0"/>
              <w:ind w:left="0" w:right="0"/>
              <w:jc w:val="center"/>
              <w:rPr>
                <w:rFonts w:hint="default" w:cs="Times New Roman"/>
                <w:color w:val="FF0000"/>
                <w:kern w:val="2"/>
                <w:sz w:val="24"/>
                <w:szCs w:val="24"/>
                <w:highlight w:val="none"/>
                <w:lang w:val="en-US" w:eastAsia="zh-CN"/>
              </w:rPr>
            </w:pPr>
            <w:r>
              <w:rPr>
                <w:rFonts w:hint="eastAsia" w:cs="Times New Roman"/>
                <w:color w:val="FF0000"/>
                <w:kern w:val="2"/>
                <w:sz w:val="24"/>
                <w:szCs w:val="24"/>
                <w:highlight w:val="none"/>
                <w:lang w:val="en-US" w:eastAsia="zh-CN"/>
              </w:rPr>
              <w:t>0795-3668066</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469" w:type="pct"/>
            <w:vAlign w:val="center"/>
          </w:tcPr>
          <w:p>
            <w:pPr>
              <w:keepNext w:val="0"/>
              <w:keepLines w:val="0"/>
              <w:suppressLineNumbers w:val="0"/>
              <w:spacing w:before="0" w:beforeAutospacing="0" w:after="0" w:afterAutospacing="0"/>
              <w:ind w:left="0" w:right="0"/>
              <w:jc w:val="center"/>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14</w:t>
            </w:r>
          </w:p>
        </w:tc>
        <w:tc>
          <w:tcPr>
            <w:tcW w:w="2751" w:type="pct"/>
            <w:vAlign w:val="center"/>
          </w:tcPr>
          <w:p>
            <w:pPr>
              <w:keepNext w:val="0"/>
              <w:keepLines w:val="0"/>
              <w:suppressLineNumbers w:val="0"/>
              <w:bidi w:val="0"/>
              <w:spacing w:before="0" w:beforeAutospacing="0" w:after="0" w:afterAutospacing="0"/>
              <w:ind w:left="0" w:right="0"/>
              <w:jc w:val="center"/>
              <w:rPr>
                <w:rFonts w:hint="eastAsia" w:cs="Times New Roman"/>
                <w:color w:val="FF0000"/>
                <w:kern w:val="2"/>
                <w:sz w:val="24"/>
                <w:szCs w:val="24"/>
                <w:highlight w:val="none"/>
                <w:lang w:val="en-US" w:eastAsia="zh-CN"/>
              </w:rPr>
            </w:pPr>
            <w:r>
              <w:rPr>
                <w:rFonts w:hint="eastAsia" w:eastAsia="宋体" w:cs="Times New Roman"/>
                <w:color w:val="FF0000"/>
                <w:kern w:val="2"/>
                <w:sz w:val="24"/>
                <w:szCs w:val="24"/>
                <w:highlight w:val="none"/>
                <w:lang w:val="en-US" w:eastAsia="zh-CN"/>
              </w:rPr>
              <w:t>金园街道卫生服务中心</w:t>
            </w:r>
          </w:p>
        </w:tc>
        <w:tc>
          <w:tcPr>
            <w:tcW w:w="1778" w:type="pct"/>
            <w:vAlign w:val="center"/>
          </w:tcPr>
          <w:p>
            <w:pPr>
              <w:keepNext w:val="0"/>
              <w:keepLines w:val="0"/>
              <w:suppressLineNumbers w:val="0"/>
              <w:bidi w:val="0"/>
              <w:spacing w:before="0" w:beforeAutospacing="0" w:after="0" w:afterAutospacing="0"/>
              <w:ind w:left="0" w:right="0"/>
              <w:jc w:val="center"/>
              <w:rPr>
                <w:rFonts w:hint="default" w:cs="Times New Roman"/>
                <w:color w:val="FF0000"/>
                <w:kern w:val="2"/>
                <w:sz w:val="24"/>
                <w:szCs w:val="24"/>
                <w:highlight w:val="none"/>
                <w:lang w:val="en-US" w:eastAsia="zh-CN"/>
              </w:rPr>
            </w:pPr>
            <w:r>
              <w:rPr>
                <w:rFonts w:hint="eastAsia" w:cs="Times New Roman"/>
                <w:color w:val="FF0000"/>
                <w:kern w:val="2"/>
                <w:sz w:val="24"/>
                <w:szCs w:val="24"/>
                <w:highlight w:val="none"/>
                <w:lang w:val="en-US" w:eastAsia="zh-CN"/>
              </w:rPr>
              <w:t>0795-3665677</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469" w:type="pct"/>
            <w:vAlign w:val="center"/>
          </w:tcPr>
          <w:p>
            <w:pPr>
              <w:keepNext w:val="0"/>
              <w:keepLines w:val="0"/>
              <w:suppressLineNumbers w:val="0"/>
              <w:spacing w:before="0" w:beforeAutospacing="0" w:after="0" w:afterAutospacing="0"/>
              <w:ind w:left="0" w:right="0"/>
              <w:jc w:val="center"/>
              <w:rPr>
                <w:rFonts w:hint="default"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15</w:t>
            </w:r>
          </w:p>
        </w:tc>
        <w:tc>
          <w:tcPr>
            <w:tcW w:w="2751" w:type="pct"/>
            <w:vAlign w:val="center"/>
          </w:tcPr>
          <w:p>
            <w:pPr>
              <w:keepNext w:val="0"/>
              <w:keepLines w:val="0"/>
              <w:suppressLineNumbers w:val="0"/>
              <w:bidi w:val="0"/>
              <w:spacing w:before="0" w:beforeAutospacing="0" w:after="0" w:afterAutospacing="0"/>
              <w:ind w:left="0" w:right="0"/>
              <w:jc w:val="center"/>
              <w:rPr>
                <w:rFonts w:hint="default" w:cs="Times New Roman"/>
                <w:color w:val="FF0000"/>
                <w:kern w:val="2"/>
                <w:sz w:val="24"/>
                <w:szCs w:val="24"/>
                <w:highlight w:val="none"/>
                <w:lang w:val="en-US" w:eastAsia="zh-CN"/>
              </w:rPr>
            </w:pPr>
            <w:r>
              <w:rPr>
                <w:rFonts w:hint="eastAsia" w:cs="Times New Roman"/>
                <w:color w:val="FF0000"/>
                <w:kern w:val="2"/>
                <w:sz w:val="24"/>
                <w:szCs w:val="24"/>
                <w:highlight w:val="none"/>
                <w:lang w:val="en-US" w:eastAsia="zh-CN"/>
              </w:rPr>
              <w:t>宜春经济技术开发区</w:t>
            </w:r>
            <w:r>
              <w:rPr>
                <w:rFonts w:hint="eastAsia" w:eastAsia="宋体" w:cs="Times New Roman"/>
                <w:color w:val="FF0000"/>
                <w:kern w:val="2"/>
                <w:sz w:val="24"/>
                <w:szCs w:val="24"/>
                <w:highlight w:val="none"/>
                <w:lang w:val="en-US" w:eastAsia="zh-CN"/>
              </w:rPr>
              <w:t>交警支队</w:t>
            </w:r>
          </w:p>
        </w:tc>
        <w:tc>
          <w:tcPr>
            <w:tcW w:w="1778" w:type="pct"/>
            <w:vAlign w:val="center"/>
          </w:tcPr>
          <w:p>
            <w:pPr>
              <w:keepNext w:val="0"/>
              <w:keepLines w:val="0"/>
              <w:suppressLineNumbers w:val="0"/>
              <w:bidi w:val="0"/>
              <w:spacing w:before="0" w:beforeAutospacing="0" w:after="0" w:afterAutospacing="0"/>
              <w:ind w:left="0" w:right="0"/>
              <w:jc w:val="center"/>
              <w:rPr>
                <w:rFonts w:hint="default" w:cs="Times New Roman"/>
                <w:color w:val="FF0000"/>
                <w:kern w:val="2"/>
                <w:sz w:val="24"/>
                <w:szCs w:val="24"/>
                <w:highlight w:val="none"/>
                <w:lang w:val="en-US" w:eastAsia="zh-CN"/>
              </w:rPr>
            </w:pPr>
            <w:r>
              <w:rPr>
                <w:rFonts w:hint="eastAsia" w:cs="Times New Roman"/>
                <w:color w:val="FF0000"/>
                <w:kern w:val="2"/>
                <w:sz w:val="24"/>
                <w:szCs w:val="24"/>
                <w:highlight w:val="none"/>
                <w:lang w:val="en-US" w:eastAsia="zh-CN"/>
              </w:rPr>
              <w:t>0795-3919683</w:t>
            </w:r>
          </w:p>
        </w:tc>
      </w:tr>
    </w:tbl>
    <w:p>
      <w:pPr>
        <w:pStyle w:val="3"/>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.5资金保障</w:t>
      </w:r>
      <w:bookmarkEnd w:id="632"/>
      <w:bookmarkEnd w:id="633"/>
      <w:bookmarkEnd w:id="634"/>
      <w:bookmarkEnd w:id="635"/>
      <w:bookmarkEnd w:id="636"/>
      <w:bookmarkEnd w:id="637"/>
      <w:bookmarkEnd w:id="638"/>
      <w:bookmarkEnd w:id="639"/>
      <w:bookmarkEnd w:id="640"/>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企业要保证所需突发环境污染事件应急准备和救援工作资金，用于应急物资储备和应急设施的建设，以及保证应急状态时应急经费的及时到位。企业应急准备和救援工作资金除来自企业自身外，企业可办理相关责任险或其他险种，为突发环境污染事件应急处置人员办理意外伤害保险，突发环境污染事件发生后，各保险企业可快速介入，及时做好理赔工作，减少和弥补企业的损失。</w:t>
      </w:r>
    </w:p>
    <w:p>
      <w:pPr>
        <w:pStyle w:val="3"/>
        <w:rPr>
          <w:color w:val="000000" w:themeColor="text1"/>
          <w:highlight w:val="none"/>
          <w14:textFill>
            <w14:solidFill>
              <w14:schemeClr w14:val="tx1"/>
            </w14:solidFill>
          </w14:textFill>
        </w:rPr>
      </w:pPr>
      <w:bookmarkStart w:id="641" w:name="_Toc43203023"/>
      <w:bookmarkStart w:id="642" w:name="_Toc652"/>
      <w:bookmarkStart w:id="643" w:name="_Toc644_WPSOffice_Level2"/>
      <w:bookmarkStart w:id="644" w:name="_Toc305937037"/>
      <w:bookmarkStart w:id="645" w:name="_Toc46857544"/>
      <w:bookmarkStart w:id="646" w:name="_Toc408503158"/>
      <w:bookmarkStart w:id="647" w:name="_Toc342165920"/>
      <w:bookmarkStart w:id="648" w:name="_Toc26753_WPSOffice_Level2"/>
      <w:bookmarkStart w:id="649" w:name="_Toc306975712"/>
      <w:r>
        <w:rPr>
          <w:rFonts w:hint="eastAsia"/>
          <w:color w:val="000000" w:themeColor="text1"/>
          <w:highlight w:val="none"/>
          <w:lang w:val="en-US" w:eastAsia="zh-CN"/>
          <w14:textFill>
            <w14:solidFill>
              <w14:schemeClr w14:val="tx1"/>
            </w14:solidFill>
          </w14:textFill>
        </w:rPr>
        <w:t>7</w:t>
      </w:r>
      <w:r>
        <w:rPr>
          <w:rFonts w:hint="eastAsia"/>
          <w:color w:val="000000" w:themeColor="text1"/>
          <w:highlight w:val="none"/>
          <w14:textFill>
            <w14:solidFill>
              <w14:schemeClr w14:val="tx1"/>
            </w14:solidFill>
          </w14:textFill>
        </w:rPr>
        <w:t>.6物资装备保障</w:t>
      </w:r>
      <w:bookmarkEnd w:id="641"/>
      <w:bookmarkEnd w:id="642"/>
      <w:bookmarkEnd w:id="643"/>
      <w:bookmarkEnd w:id="644"/>
      <w:bookmarkEnd w:id="645"/>
      <w:bookmarkEnd w:id="646"/>
      <w:bookmarkEnd w:id="647"/>
      <w:bookmarkEnd w:id="648"/>
      <w:bookmarkEnd w:id="649"/>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本预案的要求，企业须及时配齐所需的消防物资、堵漏物资、医疗物资、监测物资、标识物资等其他物资。加强对物资储备的监督管理，委派专人对应急物资进行管理，应急物资按照规定存放在物资仓库内，不得随意转移，此外，及时对应急物资予以补充和更新。发生重、特大突发环境事件时，积极配合当地政府和</w:t>
      </w:r>
      <w:r>
        <w:rPr>
          <w:rFonts w:hint="eastAsia" w:ascii="宋体" w:hAnsi="宋体" w:cs="宋体"/>
          <w:color w:val="000000" w:themeColor="text1"/>
          <w:sz w:val="24"/>
          <w:highlight w:val="none"/>
          <w:lang w:eastAsia="zh-CN"/>
          <w14:textFill>
            <w14:solidFill>
              <w14:schemeClr w14:val="tx1"/>
            </w14:solidFill>
          </w14:textFill>
        </w:rPr>
        <w:t>生态环境局</w:t>
      </w:r>
      <w:r>
        <w:rPr>
          <w:rFonts w:hint="eastAsia" w:ascii="宋体" w:hAnsi="宋体" w:cs="宋体"/>
          <w:color w:val="000000" w:themeColor="text1"/>
          <w:sz w:val="24"/>
          <w:highlight w:val="none"/>
          <w14:textFill>
            <w14:solidFill>
              <w14:schemeClr w14:val="tx1"/>
            </w14:solidFill>
          </w14:textFill>
        </w:rPr>
        <w:t>做好应急物资、装备的保障。</w:t>
      </w:r>
    </w:p>
    <w:bookmarkEnd w:id="610"/>
    <w:p>
      <w:pPr>
        <w:widowControl/>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企业突发环境事件应急处置设施（备）和应急处置物资由物资保障组负责管理，包括：应急设施、消防设施、堵漏器材、医疗救护仪器及药品、个人防护装备器材、应急交通工具等。用于应急处置的物资，特别是处理泄漏物、消解和吸收污染物的物资（如消防沙等），采用就近原则，备足、备齐，定置明确，能保证现场应急处理（置）人员在第一时间内启用。用于应急处置的物资，做到调用方便、迅速。相关应急物资如表6.6-1所示，常用的急救药品，需定期维护更新。</w:t>
      </w:r>
    </w:p>
    <w:p>
      <w:pPr>
        <w:spacing w:line="360" w:lineRule="auto"/>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表</w:t>
      </w:r>
      <w:r>
        <w:rPr>
          <w:rFonts w:hint="eastAsia" w:ascii="宋体" w:hAnsi="宋体" w:cs="宋体"/>
          <w:b/>
          <w:bCs/>
          <w:color w:val="000000" w:themeColor="text1"/>
          <w:highlight w:val="none"/>
          <w:lang w:val="en-US" w:eastAsia="zh-CN"/>
          <w14:textFill>
            <w14:solidFill>
              <w14:schemeClr w14:val="tx1"/>
            </w14:solidFill>
          </w14:textFill>
        </w:rPr>
        <w:t>7</w:t>
      </w:r>
      <w:r>
        <w:rPr>
          <w:rFonts w:hint="eastAsia" w:ascii="宋体" w:hAnsi="宋体" w:cs="宋体"/>
          <w:b/>
          <w:bCs/>
          <w:color w:val="000000" w:themeColor="text1"/>
          <w:highlight w:val="none"/>
          <w14:textFill>
            <w14:solidFill>
              <w14:schemeClr w14:val="tx1"/>
            </w14:solidFill>
          </w14:textFill>
        </w:rPr>
        <w:t>.6-1  厂区内应急物资情况一览表</w:t>
      </w:r>
    </w:p>
    <w:tbl>
      <w:tblPr>
        <w:tblStyle w:val="48"/>
        <w:tblW w:w="8897"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17"/>
        <w:gridCol w:w="2510"/>
        <w:gridCol w:w="1134"/>
        <w:gridCol w:w="1276"/>
        <w:gridCol w:w="1559"/>
        <w:gridCol w:w="1701"/>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8" w:hRule="exact"/>
          <w:jc w:val="center"/>
        </w:trPr>
        <w:tc>
          <w:tcPr>
            <w:tcW w:w="717" w:type="dxa"/>
            <w:shd w:val="clear" w:color="auto" w:fill="auto"/>
            <w:vAlign w:val="center"/>
          </w:tcPr>
          <w:p>
            <w:pPr>
              <w:keepNext w:val="0"/>
              <w:keepLines w:val="0"/>
              <w:suppressLineNumbers w:val="0"/>
              <w:tabs>
                <w:tab w:val="left" w:pos="2715"/>
              </w:tabs>
              <w:spacing w:before="0" w:beforeAutospacing="0" w:after="0" w:afterAutospacing="0"/>
              <w:ind w:left="0" w:right="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序号</w:t>
            </w: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名称</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单位</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数量</w:t>
            </w:r>
          </w:p>
        </w:tc>
        <w:tc>
          <w:tcPr>
            <w:tcW w:w="1559"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功能</w:t>
            </w:r>
          </w:p>
        </w:tc>
        <w:tc>
          <w:tcPr>
            <w:tcW w:w="1701"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存放地点</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8"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胶手套</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双</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30</w:t>
            </w:r>
          </w:p>
        </w:tc>
        <w:tc>
          <w:tcPr>
            <w:tcW w:w="1559" w:type="dxa"/>
            <w:vMerge w:val="restart"/>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身体防护（废气废气非正常排放、火灾、化学品泄露）</w:t>
            </w:r>
          </w:p>
        </w:tc>
        <w:tc>
          <w:tcPr>
            <w:tcW w:w="1701" w:type="dxa"/>
            <w:vMerge w:val="restart"/>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应急物资库</w:t>
            </w:r>
            <w:r>
              <w:rPr>
                <w:rFonts w:hint="eastAsia" w:ascii="宋体" w:hAnsi="宋体"/>
                <w:color w:val="000000" w:themeColor="text1"/>
                <w:szCs w:val="21"/>
                <w:highlight w:val="none"/>
                <w14:textFill>
                  <w14:solidFill>
                    <w14:schemeClr w14:val="tx1"/>
                  </w14:solidFill>
                </w14:textFill>
              </w:rPr>
              <w:br w:type="textWrapping"/>
            </w:r>
            <w:r>
              <w:rPr>
                <w:rFonts w:hint="eastAsia" w:ascii="宋体" w:hAnsi="宋体"/>
                <w:color w:val="000000" w:themeColor="text1"/>
                <w:szCs w:val="21"/>
                <w:highlight w:val="none"/>
                <w14:textFill>
                  <w14:solidFill>
                    <w14:schemeClr w14:val="tx1"/>
                  </w14:solidFill>
                </w14:textFill>
              </w:rPr>
              <w:t>（设在仓库内）</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8"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胶鞋</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双</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30</w:t>
            </w:r>
          </w:p>
        </w:tc>
        <w:tc>
          <w:tcPr>
            <w:tcW w:w="1559"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c>
          <w:tcPr>
            <w:tcW w:w="1701"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3"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全身防化服</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套</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w:t>
            </w:r>
          </w:p>
        </w:tc>
        <w:tc>
          <w:tcPr>
            <w:tcW w:w="1559" w:type="dxa"/>
            <w:vMerge w:val="continue"/>
            <w:shd w:val="clear" w:color="auto" w:fill="auto"/>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c>
          <w:tcPr>
            <w:tcW w:w="1701"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8"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防护镜</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个</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w:t>
            </w:r>
          </w:p>
        </w:tc>
        <w:tc>
          <w:tcPr>
            <w:tcW w:w="1559" w:type="dxa"/>
            <w:vMerge w:val="continue"/>
            <w:shd w:val="clear" w:color="auto" w:fill="auto"/>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c>
          <w:tcPr>
            <w:tcW w:w="1701"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3"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防毒面具</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套</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w:t>
            </w:r>
          </w:p>
        </w:tc>
        <w:tc>
          <w:tcPr>
            <w:tcW w:w="1559" w:type="dxa"/>
            <w:vMerge w:val="continue"/>
            <w:shd w:val="clear" w:color="auto" w:fill="auto"/>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c>
          <w:tcPr>
            <w:tcW w:w="1701"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7"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口罩</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个</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40</w:t>
            </w:r>
          </w:p>
        </w:tc>
        <w:tc>
          <w:tcPr>
            <w:tcW w:w="1559" w:type="dxa"/>
            <w:vMerge w:val="continue"/>
            <w:shd w:val="clear" w:color="auto" w:fill="auto"/>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c>
          <w:tcPr>
            <w:tcW w:w="1701"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安全马甲</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件</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30</w:t>
            </w:r>
          </w:p>
        </w:tc>
        <w:tc>
          <w:tcPr>
            <w:tcW w:w="1559" w:type="dxa"/>
            <w:vMerge w:val="continue"/>
            <w:shd w:val="clear" w:color="auto" w:fill="auto"/>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c>
          <w:tcPr>
            <w:tcW w:w="1701"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2"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污水泵</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台</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p>
        </w:tc>
        <w:tc>
          <w:tcPr>
            <w:tcW w:w="1559" w:type="dxa"/>
            <w:vMerge w:val="continue"/>
            <w:shd w:val="clear" w:color="auto" w:fill="auto"/>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c>
          <w:tcPr>
            <w:tcW w:w="1701"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9"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隔离带</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米</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500</w:t>
            </w:r>
          </w:p>
        </w:tc>
        <w:tc>
          <w:tcPr>
            <w:tcW w:w="1559"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隔离（火灾）</w:t>
            </w:r>
          </w:p>
        </w:tc>
        <w:tc>
          <w:tcPr>
            <w:tcW w:w="1701"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33"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充电电筒</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个</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w:t>
            </w:r>
          </w:p>
        </w:tc>
        <w:tc>
          <w:tcPr>
            <w:tcW w:w="1559"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应急照明</w:t>
            </w:r>
          </w:p>
        </w:tc>
        <w:tc>
          <w:tcPr>
            <w:tcW w:w="1701"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9"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铁铲</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把</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15</w:t>
            </w:r>
          </w:p>
        </w:tc>
        <w:tc>
          <w:tcPr>
            <w:tcW w:w="1559" w:type="dxa"/>
            <w:vMerge w:val="restart"/>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应急抢险（火灾）</w:t>
            </w:r>
          </w:p>
        </w:tc>
        <w:tc>
          <w:tcPr>
            <w:tcW w:w="1701"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9"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镐头</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把</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w:t>
            </w:r>
          </w:p>
        </w:tc>
        <w:tc>
          <w:tcPr>
            <w:tcW w:w="1559"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c>
          <w:tcPr>
            <w:tcW w:w="1701"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9"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千斤顶</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个</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p>
        </w:tc>
        <w:tc>
          <w:tcPr>
            <w:tcW w:w="1559"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c>
          <w:tcPr>
            <w:tcW w:w="1701"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4"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撬棍</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根</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p>
        </w:tc>
        <w:tc>
          <w:tcPr>
            <w:tcW w:w="1559" w:type="dxa"/>
            <w:vMerge w:val="continue"/>
            <w:shd w:val="clear" w:color="auto" w:fill="auto"/>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c>
          <w:tcPr>
            <w:tcW w:w="1701"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4"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塑料膜</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m</w:t>
            </w:r>
            <w:r>
              <w:rPr>
                <w:rFonts w:ascii="宋体" w:hAnsi="宋体"/>
                <w:color w:val="000000" w:themeColor="text1"/>
                <w:szCs w:val="21"/>
                <w:highlight w:val="none"/>
                <w:vertAlign w:val="superscript"/>
                <w14:textFill>
                  <w14:solidFill>
                    <w14:schemeClr w14:val="tx1"/>
                  </w14:solidFill>
                </w14:textFill>
              </w:rPr>
              <w:t>2</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100</w:t>
            </w:r>
          </w:p>
        </w:tc>
        <w:tc>
          <w:tcPr>
            <w:tcW w:w="1559" w:type="dxa"/>
            <w:vMerge w:val="continue"/>
            <w:shd w:val="clear" w:color="auto" w:fill="auto"/>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c>
          <w:tcPr>
            <w:tcW w:w="1701"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5"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石灰</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吨</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p>
        </w:tc>
        <w:tc>
          <w:tcPr>
            <w:tcW w:w="1559" w:type="dxa"/>
            <w:vMerge w:val="continue"/>
            <w:shd w:val="clear" w:color="auto" w:fill="auto"/>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c>
          <w:tcPr>
            <w:tcW w:w="1701"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0"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电缆线</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m</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200</w:t>
            </w:r>
          </w:p>
        </w:tc>
        <w:tc>
          <w:tcPr>
            <w:tcW w:w="1559" w:type="dxa"/>
            <w:vMerge w:val="continue"/>
            <w:shd w:val="clear" w:color="auto" w:fill="auto"/>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c>
          <w:tcPr>
            <w:tcW w:w="1701"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0"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吊装带</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条</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p>
        </w:tc>
        <w:tc>
          <w:tcPr>
            <w:tcW w:w="1559" w:type="dxa"/>
            <w:vMerge w:val="continue"/>
            <w:shd w:val="clear" w:color="auto" w:fill="auto"/>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c>
          <w:tcPr>
            <w:tcW w:w="1701"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5"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对讲机</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个</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w:t>
            </w:r>
          </w:p>
        </w:tc>
        <w:tc>
          <w:tcPr>
            <w:tcW w:w="1559" w:type="dxa"/>
            <w:vMerge w:val="restart"/>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通讯联络</w:t>
            </w:r>
          </w:p>
        </w:tc>
        <w:tc>
          <w:tcPr>
            <w:tcW w:w="1701"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0"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手持扩音器</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个</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p>
        </w:tc>
        <w:tc>
          <w:tcPr>
            <w:tcW w:w="1559"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c>
          <w:tcPr>
            <w:tcW w:w="1701"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6"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急救箱</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个</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p>
        </w:tc>
        <w:tc>
          <w:tcPr>
            <w:tcW w:w="1559" w:type="dxa"/>
            <w:vMerge w:val="restart"/>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伤员救护</w:t>
            </w:r>
          </w:p>
        </w:tc>
        <w:tc>
          <w:tcPr>
            <w:tcW w:w="1701"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4"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医用氧气袋</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个</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p>
        </w:tc>
        <w:tc>
          <w:tcPr>
            <w:tcW w:w="1559"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c>
          <w:tcPr>
            <w:tcW w:w="1701"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9"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苏生器</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台</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p>
        </w:tc>
        <w:tc>
          <w:tcPr>
            <w:tcW w:w="1559"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c>
          <w:tcPr>
            <w:tcW w:w="1701"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9"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担架</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副</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w:t>
            </w:r>
          </w:p>
        </w:tc>
        <w:tc>
          <w:tcPr>
            <w:tcW w:w="1559"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c>
          <w:tcPr>
            <w:tcW w:w="1701" w:type="dxa"/>
            <w:vMerge w:val="continue"/>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4"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消防沙、泡沫剂、沙袋</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m</w:t>
            </w:r>
            <w:r>
              <w:rPr>
                <w:rFonts w:ascii="宋体" w:hAnsi="宋体"/>
                <w:color w:val="000000" w:themeColor="text1"/>
                <w:szCs w:val="21"/>
                <w:highlight w:val="none"/>
                <w:vertAlign w:val="superscript"/>
                <w14:textFill>
                  <w14:solidFill>
                    <w14:schemeClr w14:val="tx1"/>
                  </w14:solidFill>
                </w14:textFill>
              </w:rPr>
              <w:t>3</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w:t>
            </w:r>
          </w:p>
        </w:tc>
        <w:tc>
          <w:tcPr>
            <w:tcW w:w="1559"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消防</w:t>
            </w:r>
          </w:p>
        </w:tc>
        <w:tc>
          <w:tcPr>
            <w:tcW w:w="1701"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车间旁</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9"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干粉灭火器</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支</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10</w:t>
            </w:r>
          </w:p>
        </w:tc>
        <w:tc>
          <w:tcPr>
            <w:tcW w:w="1559"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消防</w:t>
            </w:r>
          </w:p>
        </w:tc>
        <w:tc>
          <w:tcPr>
            <w:tcW w:w="1701"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办公楼</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4"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干粉灭火器</w:t>
            </w:r>
          </w:p>
          <w:p>
            <w:pPr>
              <w:pStyle w:val="58"/>
              <w:keepNext w:val="0"/>
              <w:keepLines w:val="0"/>
              <w:suppressLineNumbers w:val="0"/>
              <w:spacing w:before="0" w:beforeAutospacing="0" w:after="0" w:afterAutospacing="0"/>
              <w:ind w:left="0" w:right="0"/>
              <w:rPr>
                <w:rFonts w:ascii="宋体" w:hAnsi="宋体" w:eastAsia="宋体"/>
                <w:color w:val="000000" w:themeColor="text1"/>
                <w:highlight w:val="none"/>
                <w14:textFill>
                  <w14:solidFill>
                    <w14:schemeClr w14:val="tx1"/>
                  </w14:solidFill>
                </w14:textFill>
              </w:rPr>
            </w:pP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支</w:t>
            </w:r>
          </w:p>
          <w:p>
            <w:pPr>
              <w:pStyle w:val="58"/>
              <w:keepNext w:val="0"/>
              <w:keepLines w:val="0"/>
              <w:suppressLineNumbers w:val="0"/>
              <w:spacing w:before="0" w:beforeAutospacing="0" w:after="0" w:afterAutospacing="0"/>
              <w:ind w:left="0" w:right="0"/>
              <w:rPr>
                <w:rFonts w:ascii="宋体" w:hAnsi="宋体" w:eastAsia="宋体"/>
                <w:color w:val="000000" w:themeColor="text1"/>
                <w:highlight w:val="none"/>
                <w14:textFill>
                  <w14:solidFill>
                    <w14:schemeClr w14:val="tx1"/>
                  </w14:solidFill>
                </w14:textFill>
              </w:rPr>
            </w:pPr>
          </w:p>
          <w:p>
            <w:pPr>
              <w:pStyle w:val="58"/>
              <w:keepNext w:val="0"/>
              <w:keepLines w:val="0"/>
              <w:suppressLineNumbers w:val="0"/>
              <w:spacing w:before="0" w:beforeAutospacing="0" w:after="0" w:afterAutospacing="0"/>
              <w:ind w:left="0" w:right="0"/>
              <w:rPr>
                <w:rFonts w:ascii="宋体" w:hAnsi="宋体" w:eastAsia="宋体"/>
                <w:color w:val="000000" w:themeColor="text1"/>
                <w:highlight w:val="none"/>
                <w14:textFill>
                  <w14:solidFill>
                    <w14:schemeClr w14:val="tx1"/>
                  </w14:solidFill>
                </w14:textFill>
              </w:rPr>
            </w:pPr>
          </w:p>
          <w:p>
            <w:pPr>
              <w:pStyle w:val="58"/>
              <w:keepNext w:val="0"/>
              <w:keepLines w:val="0"/>
              <w:suppressLineNumbers w:val="0"/>
              <w:spacing w:before="0" w:beforeAutospacing="0" w:after="0" w:afterAutospacing="0"/>
              <w:ind w:left="0" w:right="0"/>
              <w:rPr>
                <w:rFonts w:ascii="宋体" w:hAnsi="宋体" w:eastAsia="宋体"/>
                <w:color w:val="000000" w:themeColor="text1"/>
                <w:highlight w:val="none"/>
                <w14:textFill>
                  <w14:solidFill>
                    <w14:schemeClr w14:val="tx1"/>
                  </w14:solidFill>
                </w14:textFill>
              </w:rPr>
            </w:pPr>
          </w:p>
          <w:p>
            <w:pPr>
              <w:pStyle w:val="58"/>
              <w:keepNext w:val="0"/>
              <w:keepLines w:val="0"/>
              <w:suppressLineNumbers w:val="0"/>
              <w:spacing w:before="0" w:beforeAutospacing="0" w:after="0" w:afterAutospacing="0"/>
              <w:ind w:left="0" w:right="0"/>
              <w:rPr>
                <w:rFonts w:ascii="宋体" w:hAnsi="宋体" w:eastAsia="宋体"/>
                <w:color w:val="000000" w:themeColor="text1"/>
                <w:highlight w:val="none"/>
                <w14:textFill>
                  <w14:solidFill>
                    <w14:schemeClr w14:val="tx1"/>
                  </w14:solidFill>
                </w14:textFill>
              </w:rPr>
            </w:pP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w:t>
            </w:r>
          </w:p>
        </w:tc>
        <w:tc>
          <w:tcPr>
            <w:tcW w:w="1559"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消防</w:t>
            </w:r>
          </w:p>
        </w:tc>
        <w:tc>
          <w:tcPr>
            <w:tcW w:w="1701"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车间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70"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干粉灭火器</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支</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8</w:t>
            </w:r>
          </w:p>
        </w:tc>
        <w:tc>
          <w:tcPr>
            <w:tcW w:w="1559"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消防</w:t>
            </w:r>
          </w:p>
        </w:tc>
        <w:tc>
          <w:tcPr>
            <w:tcW w:w="1701"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职工宿舍</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9"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干粉灭火器</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支</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p>
        </w:tc>
        <w:tc>
          <w:tcPr>
            <w:tcW w:w="1559"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消防</w:t>
            </w:r>
          </w:p>
        </w:tc>
        <w:tc>
          <w:tcPr>
            <w:tcW w:w="1701" w:type="dxa"/>
            <w:shd w:val="clear" w:color="auto" w:fill="auto"/>
            <w:vAlign w:val="center"/>
          </w:tcPr>
          <w:p>
            <w:pPr>
              <w:keepNext w:val="0"/>
              <w:keepLines w:val="0"/>
              <w:suppressLineNumbers w:val="0"/>
              <w:spacing w:before="0" w:beforeAutospacing="0" w:after="0" w:afterAutospacing="0"/>
              <w:ind w:left="0" w:right="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厂房</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9"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olor w:val="FF0000"/>
                <w:szCs w:val="21"/>
                <w:highlight w:val="none"/>
              </w:rPr>
            </w:pPr>
            <w:r>
              <w:rPr>
                <w:rFonts w:hint="eastAsia" w:ascii="宋体" w:hAnsi="宋体" w:eastAsia="宋体"/>
                <w:color w:val="FF0000"/>
                <w:szCs w:val="21"/>
                <w:highlight w:val="none"/>
              </w:rPr>
              <w:t>管道封堵气囊</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olor w:val="FF0000"/>
                <w:szCs w:val="21"/>
                <w:highlight w:val="none"/>
                <w:lang w:val="en-US" w:eastAsia="zh-CN"/>
              </w:rPr>
            </w:pPr>
            <w:r>
              <w:rPr>
                <w:rFonts w:hint="eastAsia" w:ascii="宋体" w:hAnsi="宋体" w:eastAsia="宋体"/>
                <w:color w:val="FF0000"/>
                <w:szCs w:val="21"/>
                <w:highlight w:val="none"/>
                <w:lang w:val="en-US" w:eastAsia="zh-CN"/>
              </w:rPr>
              <w:t>个</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olor w:val="FF0000"/>
                <w:szCs w:val="21"/>
                <w:highlight w:val="none"/>
                <w:lang w:val="en-US" w:eastAsia="zh-CN"/>
              </w:rPr>
            </w:pPr>
            <w:r>
              <w:rPr>
                <w:rFonts w:hint="eastAsia" w:ascii="宋体" w:hAnsi="宋体" w:eastAsia="宋体"/>
                <w:color w:val="FF0000"/>
                <w:szCs w:val="21"/>
                <w:highlight w:val="none"/>
                <w:lang w:val="en-US" w:eastAsia="zh-CN"/>
              </w:rPr>
              <w:t>10</w:t>
            </w:r>
          </w:p>
        </w:tc>
        <w:tc>
          <w:tcPr>
            <w:tcW w:w="1559" w:type="dxa"/>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olor w:val="FF0000"/>
                <w:szCs w:val="21"/>
                <w:highlight w:val="none"/>
              </w:rPr>
            </w:pPr>
            <w:r>
              <w:rPr>
                <w:rFonts w:hint="eastAsia" w:ascii="宋体" w:hAnsi="宋体" w:eastAsia="宋体"/>
                <w:color w:val="FF0000"/>
                <w:szCs w:val="21"/>
                <w:highlight w:val="none"/>
              </w:rPr>
              <w:t>消防</w:t>
            </w:r>
          </w:p>
        </w:tc>
        <w:tc>
          <w:tcPr>
            <w:tcW w:w="1701" w:type="dxa"/>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olor w:val="FF0000"/>
                <w:szCs w:val="21"/>
                <w:highlight w:val="none"/>
                <w:lang w:val="en-US" w:eastAsia="zh-CN"/>
              </w:rPr>
            </w:pPr>
            <w:r>
              <w:rPr>
                <w:rFonts w:hint="eastAsia" w:ascii="宋体" w:hAnsi="宋体" w:eastAsia="宋体"/>
                <w:color w:val="FF0000"/>
                <w:szCs w:val="21"/>
                <w:highlight w:val="none"/>
                <w:lang w:val="en-US" w:eastAsia="zh-CN"/>
              </w:rPr>
              <w:t>管道</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9"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olor w:val="FF0000"/>
                <w:szCs w:val="21"/>
                <w:highlight w:val="none"/>
                <w:lang w:val="en-US" w:eastAsia="zh-CN"/>
              </w:rPr>
            </w:pPr>
            <w:r>
              <w:rPr>
                <w:rFonts w:hint="eastAsia" w:ascii="宋体" w:hAnsi="宋体" w:eastAsia="宋体"/>
                <w:color w:val="FF0000"/>
                <w:szCs w:val="21"/>
                <w:highlight w:val="none"/>
                <w:lang w:val="en-US" w:eastAsia="zh-CN"/>
              </w:rPr>
              <w:t>絮凝剂（</w:t>
            </w:r>
            <w:r>
              <w:rPr>
                <w:rFonts w:hint="eastAsia" w:ascii="宋体" w:hAnsi="宋体" w:eastAsia="宋体"/>
                <w:color w:val="FF0000"/>
                <w:szCs w:val="21"/>
                <w:highlight w:val="none"/>
                <w:lang w:val="en-US" w:eastAsia="zh-CN"/>
              </w:rPr>
              <w:fldChar w:fldCharType="begin"/>
            </w:r>
            <w:r>
              <w:rPr>
                <w:rFonts w:hint="eastAsia" w:ascii="宋体" w:hAnsi="宋体" w:eastAsia="宋体"/>
                <w:color w:val="FF0000"/>
                <w:szCs w:val="21"/>
                <w:highlight w:val="none"/>
                <w:lang w:val="en-US" w:eastAsia="zh-CN"/>
              </w:rPr>
              <w:instrText xml:space="preserve"> HYPERLINK "https://baike.baidu.com/item/%E7%A1%AB%E9%85%B8%E9%93%9D?fromModule=lemma_inlink" \t "https://baike.baidu.com/item/%E7%B5%AE%E5%87%9D%E5%89%82/_blank" </w:instrText>
            </w:r>
            <w:r>
              <w:rPr>
                <w:rFonts w:hint="eastAsia" w:ascii="宋体" w:hAnsi="宋体" w:eastAsia="宋体"/>
                <w:color w:val="FF0000"/>
                <w:szCs w:val="21"/>
                <w:highlight w:val="none"/>
                <w:lang w:val="en-US" w:eastAsia="zh-CN"/>
              </w:rPr>
              <w:fldChar w:fldCharType="separate"/>
            </w:r>
            <w:r>
              <w:rPr>
                <w:rFonts w:hint="default" w:ascii="宋体" w:hAnsi="宋体" w:eastAsia="宋体"/>
                <w:color w:val="FF0000"/>
                <w:szCs w:val="21"/>
                <w:highlight w:val="none"/>
                <w:lang w:val="en-US" w:eastAsia="zh-CN"/>
              </w:rPr>
              <w:t>硫酸铝</w:t>
            </w:r>
            <w:r>
              <w:rPr>
                <w:rFonts w:hint="default" w:ascii="宋体" w:hAnsi="宋体" w:eastAsia="宋体"/>
                <w:color w:val="FF0000"/>
                <w:szCs w:val="21"/>
                <w:highlight w:val="none"/>
                <w:lang w:val="en-US" w:eastAsia="zh-CN"/>
              </w:rPr>
              <w:fldChar w:fldCharType="end"/>
            </w:r>
            <w:r>
              <w:rPr>
                <w:rFonts w:hint="eastAsia" w:ascii="宋体" w:hAnsi="宋体" w:eastAsia="宋体"/>
                <w:color w:val="FF0000"/>
                <w:szCs w:val="21"/>
                <w:highlight w:val="none"/>
                <w:lang w:val="en-US" w:eastAsia="zh-CN"/>
              </w:rPr>
              <w:t>）</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olor w:val="FF0000"/>
                <w:szCs w:val="21"/>
                <w:highlight w:val="none"/>
                <w:lang w:val="en-US" w:eastAsia="zh-CN"/>
              </w:rPr>
            </w:pPr>
            <w:r>
              <w:rPr>
                <w:rFonts w:hint="eastAsia" w:ascii="宋体" w:hAnsi="宋体" w:eastAsia="宋体"/>
                <w:color w:val="FF0000"/>
                <w:szCs w:val="21"/>
                <w:highlight w:val="none"/>
                <w:lang w:val="en-US" w:eastAsia="zh-CN"/>
              </w:rPr>
              <w:t>Kg</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olor w:val="FF0000"/>
                <w:szCs w:val="21"/>
                <w:highlight w:val="none"/>
                <w:lang w:val="en-US" w:eastAsia="zh-CN"/>
              </w:rPr>
            </w:pPr>
            <w:r>
              <w:rPr>
                <w:rFonts w:hint="eastAsia" w:ascii="宋体" w:hAnsi="宋体" w:eastAsia="宋体"/>
                <w:color w:val="FF0000"/>
                <w:szCs w:val="21"/>
                <w:highlight w:val="none"/>
                <w:lang w:val="en-US" w:eastAsia="zh-CN"/>
              </w:rPr>
              <w:t>500</w:t>
            </w:r>
          </w:p>
        </w:tc>
        <w:tc>
          <w:tcPr>
            <w:tcW w:w="1559" w:type="dxa"/>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olor w:val="FF0000"/>
                <w:szCs w:val="21"/>
                <w:highlight w:val="none"/>
                <w:lang w:val="en-US" w:eastAsia="zh-CN"/>
              </w:rPr>
            </w:pPr>
            <w:r>
              <w:rPr>
                <w:rFonts w:hint="eastAsia" w:ascii="宋体" w:hAnsi="宋体" w:eastAsia="宋体"/>
                <w:color w:val="FF0000"/>
                <w:szCs w:val="21"/>
                <w:highlight w:val="none"/>
              </w:rPr>
              <w:t>消防</w:t>
            </w:r>
          </w:p>
        </w:tc>
        <w:tc>
          <w:tcPr>
            <w:tcW w:w="1701" w:type="dxa"/>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olor w:val="FF0000"/>
                <w:szCs w:val="21"/>
                <w:highlight w:val="none"/>
                <w:lang w:val="en-US" w:eastAsia="zh-CN"/>
              </w:rPr>
            </w:pPr>
            <w:r>
              <w:rPr>
                <w:rFonts w:hint="eastAsia" w:ascii="宋体" w:hAnsi="宋体" w:eastAsia="宋体"/>
                <w:color w:val="FF0000"/>
                <w:szCs w:val="21"/>
                <w:highlight w:val="none"/>
                <w:lang w:val="en-US" w:eastAsia="zh-CN"/>
              </w:rPr>
              <w:t>污水处理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9"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olor w:val="FF0000"/>
                <w:szCs w:val="21"/>
                <w:highlight w:val="none"/>
                <w:lang w:val="en-US" w:eastAsia="zh-CN"/>
              </w:rPr>
            </w:pPr>
            <w:r>
              <w:rPr>
                <w:rFonts w:hint="eastAsia" w:ascii="宋体" w:hAnsi="宋体" w:eastAsia="宋体"/>
                <w:color w:val="FF0000"/>
                <w:szCs w:val="21"/>
                <w:highlight w:val="none"/>
                <w:lang w:val="en-US" w:eastAsia="zh-CN"/>
              </w:rPr>
              <w:t>吸附剂（活性炭）</w:t>
            </w:r>
          </w:p>
        </w:tc>
        <w:tc>
          <w:tcPr>
            <w:tcW w:w="1134" w:type="dxa"/>
            <w:shd w:val="clear" w:color="auto" w:fill="auto"/>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Times New Roman"/>
                <w:color w:val="FF0000"/>
                <w:kern w:val="2"/>
                <w:sz w:val="21"/>
                <w:szCs w:val="21"/>
                <w:highlight w:val="none"/>
                <w:lang w:val="en-US" w:eastAsia="zh-CN" w:bidi="ar-SA"/>
              </w:rPr>
            </w:pPr>
            <w:r>
              <w:rPr>
                <w:rFonts w:hint="eastAsia" w:ascii="宋体" w:hAnsi="宋体" w:eastAsia="宋体"/>
                <w:color w:val="FF0000"/>
                <w:szCs w:val="21"/>
                <w:highlight w:val="none"/>
                <w:lang w:val="en-US" w:eastAsia="zh-CN"/>
              </w:rPr>
              <w:t>Kg</w:t>
            </w:r>
          </w:p>
        </w:tc>
        <w:tc>
          <w:tcPr>
            <w:tcW w:w="1276" w:type="dxa"/>
            <w:shd w:val="clear" w:color="auto" w:fill="auto"/>
            <w:vAlign w:val="center"/>
          </w:tcPr>
          <w:p>
            <w:pPr>
              <w:keepNext w:val="0"/>
              <w:keepLines w:val="0"/>
              <w:suppressLineNumbers w:val="0"/>
              <w:spacing w:before="0" w:beforeAutospacing="0" w:after="0" w:afterAutospacing="0"/>
              <w:ind w:left="0" w:leftChars="0" w:right="0" w:rightChars="0"/>
              <w:jc w:val="center"/>
              <w:rPr>
                <w:rFonts w:hint="default" w:ascii="宋体" w:hAnsi="宋体" w:eastAsia="宋体" w:cs="Times New Roman"/>
                <w:color w:val="FF0000"/>
                <w:kern w:val="2"/>
                <w:sz w:val="21"/>
                <w:szCs w:val="21"/>
                <w:highlight w:val="none"/>
                <w:lang w:val="en-US" w:eastAsia="zh-CN" w:bidi="ar-SA"/>
              </w:rPr>
            </w:pPr>
            <w:r>
              <w:rPr>
                <w:rFonts w:hint="eastAsia" w:ascii="宋体" w:hAnsi="宋体" w:eastAsia="宋体"/>
                <w:color w:val="FF0000"/>
                <w:szCs w:val="21"/>
                <w:highlight w:val="none"/>
                <w:lang w:val="en-US" w:eastAsia="zh-CN"/>
              </w:rPr>
              <w:t>2000</w:t>
            </w:r>
          </w:p>
        </w:tc>
        <w:tc>
          <w:tcPr>
            <w:tcW w:w="1559" w:type="dxa"/>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olor w:val="FF0000"/>
                <w:szCs w:val="21"/>
                <w:highlight w:val="none"/>
                <w:lang w:val="en-US" w:eastAsia="zh-CN"/>
              </w:rPr>
            </w:pPr>
            <w:r>
              <w:rPr>
                <w:rFonts w:hint="eastAsia" w:ascii="宋体" w:hAnsi="宋体" w:eastAsia="宋体"/>
                <w:color w:val="FF0000"/>
                <w:szCs w:val="21"/>
                <w:highlight w:val="none"/>
              </w:rPr>
              <w:t>消防</w:t>
            </w:r>
          </w:p>
        </w:tc>
        <w:tc>
          <w:tcPr>
            <w:tcW w:w="1701" w:type="dxa"/>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olor w:val="FF0000"/>
                <w:szCs w:val="21"/>
                <w:highlight w:val="none"/>
                <w:lang w:val="en-US" w:eastAsia="zh-CN"/>
              </w:rPr>
            </w:pPr>
            <w:r>
              <w:rPr>
                <w:rFonts w:hint="eastAsia" w:ascii="宋体" w:hAnsi="宋体"/>
                <w:color w:val="FF0000"/>
                <w:szCs w:val="21"/>
                <w:highlight w:val="none"/>
              </w:rPr>
              <w:t>车间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9" w:hRule="exact"/>
          <w:jc w:val="center"/>
        </w:trPr>
        <w:tc>
          <w:tcPr>
            <w:tcW w:w="717" w:type="dxa"/>
            <w:shd w:val="clear" w:color="auto" w:fill="auto"/>
            <w:vAlign w:val="center"/>
          </w:tcPr>
          <w:p>
            <w:pPr>
              <w:pStyle w:val="217"/>
              <w:keepNext w:val="0"/>
              <w:keepLines w:val="0"/>
              <w:numPr>
                <w:ilvl w:val="0"/>
                <w:numId w:val="10"/>
              </w:numPr>
              <w:suppressLineNumbers w:val="0"/>
              <w:spacing w:before="0" w:beforeAutospacing="0" w:after="0" w:afterAutospacing="0"/>
              <w:ind w:right="0" w:firstLineChars="0"/>
              <w:jc w:val="center"/>
              <w:rPr>
                <w:rFonts w:ascii="宋体" w:hAnsi="宋体"/>
                <w:color w:val="000000" w:themeColor="text1"/>
                <w:szCs w:val="21"/>
                <w:highlight w:val="none"/>
                <w14:textFill>
                  <w14:solidFill>
                    <w14:schemeClr w14:val="tx1"/>
                  </w14:solidFill>
                </w14:textFill>
              </w:rPr>
            </w:pPr>
          </w:p>
        </w:tc>
        <w:tc>
          <w:tcPr>
            <w:tcW w:w="2510" w:type="dxa"/>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olor w:val="FF0000"/>
                <w:szCs w:val="21"/>
                <w:highlight w:val="none"/>
                <w:lang w:val="en-US" w:eastAsia="zh-CN"/>
              </w:rPr>
            </w:pPr>
            <w:r>
              <w:rPr>
                <w:rFonts w:hint="eastAsia" w:ascii="宋体" w:hAnsi="宋体" w:eastAsia="宋体"/>
                <w:color w:val="FF0000"/>
                <w:szCs w:val="21"/>
                <w:highlight w:val="none"/>
                <w:lang w:val="en-US" w:eastAsia="zh-CN"/>
              </w:rPr>
              <w:t>活性炭面罩</w:t>
            </w:r>
          </w:p>
        </w:tc>
        <w:tc>
          <w:tcPr>
            <w:tcW w:w="1134" w:type="dxa"/>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olor w:val="FF0000"/>
                <w:szCs w:val="21"/>
                <w:highlight w:val="none"/>
                <w:lang w:val="en-US" w:eastAsia="zh-CN"/>
              </w:rPr>
            </w:pPr>
            <w:r>
              <w:rPr>
                <w:rFonts w:hint="eastAsia" w:ascii="宋体" w:hAnsi="宋体" w:eastAsia="宋体"/>
                <w:color w:val="FF0000"/>
                <w:szCs w:val="21"/>
                <w:highlight w:val="none"/>
                <w:lang w:val="en-US" w:eastAsia="zh-CN"/>
              </w:rPr>
              <w:t>个</w:t>
            </w:r>
          </w:p>
        </w:tc>
        <w:tc>
          <w:tcPr>
            <w:tcW w:w="1276" w:type="dxa"/>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olor w:val="FF0000"/>
                <w:szCs w:val="21"/>
                <w:highlight w:val="none"/>
                <w:lang w:val="en-US" w:eastAsia="zh-CN"/>
              </w:rPr>
            </w:pPr>
            <w:r>
              <w:rPr>
                <w:rFonts w:hint="eastAsia" w:ascii="宋体" w:hAnsi="宋体" w:eastAsia="宋体"/>
                <w:color w:val="FF0000"/>
                <w:szCs w:val="21"/>
                <w:highlight w:val="none"/>
                <w:lang w:val="en-US" w:eastAsia="zh-CN"/>
              </w:rPr>
              <w:t>50</w:t>
            </w:r>
          </w:p>
        </w:tc>
        <w:tc>
          <w:tcPr>
            <w:tcW w:w="1559" w:type="dxa"/>
            <w:shd w:val="clear" w:color="auto" w:fill="auto"/>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Times New Roman"/>
                <w:color w:val="FF0000"/>
                <w:kern w:val="2"/>
                <w:sz w:val="21"/>
                <w:szCs w:val="21"/>
                <w:highlight w:val="none"/>
                <w:lang w:val="en-US" w:eastAsia="zh-CN" w:bidi="ar-SA"/>
              </w:rPr>
            </w:pPr>
            <w:r>
              <w:rPr>
                <w:rFonts w:hint="eastAsia" w:ascii="宋体" w:hAnsi="宋体"/>
                <w:color w:val="FF0000"/>
                <w:szCs w:val="21"/>
                <w:highlight w:val="none"/>
              </w:rPr>
              <w:t>消防</w:t>
            </w:r>
          </w:p>
        </w:tc>
        <w:tc>
          <w:tcPr>
            <w:tcW w:w="1701" w:type="dxa"/>
            <w:shd w:val="clear" w:color="auto" w:fill="auto"/>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Times New Roman"/>
                <w:color w:val="FF0000"/>
                <w:kern w:val="2"/>
                <w:sz w:val="21"/>
                <w:szCs w:val="21"/>
                <w:highlight w:val="none"/>
                <w:lang w:val="en-US" w:eastAsia="zh-CN" w:bidi="ar-SA"/>
              </w:rPr>
            </w:pPr>
            <w:r>
              <w:rPr>
                <w:rFonts w:hint="eastAsia" w:ascii="宋体" w:hAnsi="宋体"/>
                <w:color w:val="FF0000"/>
                <w:szCs w:val="21"/>
                <w:highlight w:val="none"/>
              </w:rPr>
              <w:t>厂房</w:t>
            </w:r>
          </w:p>
        </w:tc>
      </w:tr>
    </w:tbl>
    <w:p>
      <w:pPr>
        <w:pStyle w:val="47"/>
        <w:ind w:firstLine="0" w:firstLineChars="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应急物资情况图如下：</w:t>
      </w:r>
    </w:p>
    <w:p>
      <w:pPr>
        <w:pStyle w:val="47"/>
        <w:spacing w:line="360" w:lineRule="auto"/>
        <w:ind w:firstLine="0" w:firstLineChars="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drawing>
          <wp:inline distT="0" distB="0" distL="114300" distR="114300">
            <wp:extent cx="2792730" cy="2992755"/>
            <wp:effectExtent l="0" t="0" r="7620" b="1714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26"/>
                    <a:stretch>
                      <a:fillRect/>
                    </a:stretch>
                  </pic:blipFill>
                  <pic:spPr>
                    <a:xfrm>
                      <a:off x="0" y="0"/>
                      <a:ext cx="2792730" cy="2992755"/>
                    </a:xfrm>
                    <a:prstGeom prst="rect">
                      <a:avLst/>
                    </a:prstGeom>
                    <a:noFill/>
                    <a:ln>
                      <a:noFill/>
                    </a:ln>
                  </pic:spPr>
                </pic:pic>
              </a:graphicData>
            </a:graphic>
          </wp:inline>
        </w:drawing>
      </w:r>
      <w:r>
        <w:rPr>
          <w:color w:val="000000" w:themeColor="text1"/>
          <w:highlight w:val="none"/>
          <w14:textFill>
            <w14:solidFill>
              <w14:schemeClr w14:val="tx1"/>
            </w14:solidFill>
          </w14:textFill>
        </w:rPr>
        <w:drawing>
          <wp:inline distT="0" distB="0" distL="114300" distR="114300">
            <wp:extent cx="2835910" cy="2997835"/>
            <wp:effectExtent l="0" t="0" r="2540" b="1206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27"/>
                    <a:stretch>
                      <a:fillRect/>
                    </a:stretch>
                  </pic:blipFill>
                  <pic:spPr>
                    <a:xfrm>
                      <a:off x="0" y="0"/>
                      <a:ext cx="2835910" cy="2997835"/>
                    </a:xfrm>
                    <a:prstGeom prst="rect">
                      <a:avLst/>
                    </a:prstGeom>
                    <a:noFill/>
                    <a:ln>
                      <a:noFill/>
                    </a:ln>
                  </pic:spPr>
                </pic:pic>
              </a:graphicData>
            </a:graphic>
          </wp:inline>
        </w:drawing>
      </w:r>
    </w:p>
    <w:p>
      <w:pPr>
        <w:pStyle w:val="47"/>
        <w:spacing w:line="360" w:lineRule="auto"/>
        <w:ind w:firstLine="0" w:firstLineChars="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drawing>
          <wp:inline distT="0" distB="0" distL="0" distR="0">
            <wp:extent cx="5631180" cy="4228465"/>
            <wp:effectExtent l="19050" t="0" r="7548" b="0"/>
            <wp:docPr id="8" name="图片 3" descr="C:\Users\ADMINI~1.PC-\AppData\Local\Temp\WeChat Files\2626ddaf2f1bec172a6bc56532397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C:\Users\ADMINI~1.PC-\AppData\Local\Temp\WeChat Files\2626ddaf2f1bec172a6bc56532397be.jpg"/>
                    <pic:cNvPicPr>
                      <a:picLocks noChangeAspect="1" noChangeArrowheads="1"/>
                    </pic:cNvPicPr>
                  </pic:nvPicPr>
                  <pic:blipFill>
                    <a:blip r:embed="rId28"/>
                    <a:srcRect/>
                    <a:stretch>
                      <a:fillRect/>
                    </a:stretch>
                  </pic:blipFill>
                  <pic:spPr>
                    <a:xfrm>
                      <a:off x="0" y="0"/>
                      <a:ext cx="5638215" cy="4233713"/>
                    </a:xfrm>
                    <a:prstGeom prst="rect">
                      <a:avLst/>
                    </a:prstGeom>
                    <a:noFill/>
                    <a:ln w="9525">
                      <a:noFill/>
                      <a:miter lim="800000"/>
                      <a:headEnd/>
                      <a:tailEnd/>
                    </a:ln>
                  </pic:spPr>
                </pic:pic>
              </a:graphicData>
            </a:graphic>
          </wp:inline>
        </w:drawing>
      </w:r>
    </w:p>
    <w:p>
      <w:pPr>
        <w:pStyle w:val="47"/>
        <w:ind w:firstLine="480"/>
        <w:rPr>
          <w:rFonts w:ascii="宋体" w:hAnsi="宋体" w:cs="宋体"/>
          <w:color w:val="000000" w:themeColor="text1"/>
          <w:highlight w:val="none"/>
          <w14:textFill>
            <w14:solidFill>
              <w14:schemeClr w14:val="tx1"/>
            </w14:solidFill>
          </w14:textFill>
        </w:rPr>
      </w:pPr>
    </w:p>
    <w:p>
      <w:pPr>
        <w:pStyle w:val="47"/>
        <w:spacing w:line="360" w:lineRule="auto"/>
        <w:ind w:firstLine="480"/>
        <w:rPr>
          <w:rFonts w:ascii="宋体" w:hAnsi="宋体" w:cs="宋体"/>
          <w:color w:val="000000" w:themeColor="text1"/>
          <w:highlight w:val="none"/>
          <w14:textFill>
            <w14:solidFill>
              <w14:schemeClr w14:val="tx1"/>
            </w14:solidFill>
          </w14:textFill>
        </w:rPr>
        <w:sectPr>
          <w:pgSz w:w="11906" w:h="16838"/>
          <w:pgMar w:top="1440" w:right="1418" w:bottom="1440" w:left="1418" w:header="851" w:footer="992" w:gutter="0"/>
          <w:cols w:space="425" w:num="1"/>
          <w:docGrid w:type="lines" w:linePitch="312" w:charSpace="0"/>
        </w:sectPr>
      </w:pPr>
    </w:p>
    <w:bookmarkEnd w:id="580"/>
    <w:bookmarkEnd w:id="581"/>
    <w:bookmarkEnd w:id="582"/>
    <w:p>
      <w:pPr>
        <w:pStyle w:val="2"/>
        <w:jc w:val="center"/>
        <w:rPr>
          <w:color w:val="000000" w:themeColor="text1"/>
          <w:highlight w:val="none"/>
          <w14:textFill>
            <w14:solidFill>
              <w14:schemeClr w14:val="tx1"/>
            </w14:solidFill>
          </w14:textFill>
        </w:rPr>
      </w:pPr>
      <w:bookmarkStart w:id="650" w:name="_Toc408503159"/>
      <w:bookmarkStart w:id="651" w:name="_Toc5357_WPSOffice_Level1"/>
      <w:bookmarkStart w:id="652" w:name="_Toc23660_WPSOffice_Level1"/>
      <w:bookmarkStart w:id="653" w:name="_Toc43203024"/>
      <w:bookmarkStart w:id="654" w:name="_Toc46857545"/>
      <w:bookmarkStart w:id="655" w:name="_Toc18404"/>
      <w:r>
        <w:rPr>
          <w:rFonts w:hint="eastAsia"/>
          <w:color w:val="000000" w:themeColor="text1"/>
          <w:highlight w:val="none"/>
          <w14:textFill>
            <w14:solidFill>
              <w14:schemeClr w14:val="tx1"/>
            </w14:solidFill>
          </w14:textFill>
        </w:rPr>
        <w:t>第</w:t>
      </w:r>
      <w:r>
        <w:rPr>
          <w:rFonts w:hint="eastAsia"/>
          <w:color w:val="000000" w:themeColor="text1"/>
          <w:highlight w:val="none"/>
          <w:lang w:val="en-US" w:eastAsia="zh-CN"/>
          <w14:textFill>
            <w14:solidFill>
              <w14:schemeClr w14:val="tx1"/>
            </w14:solidFill>
          </w14:textFill>
        </w:rPr>
        <w:t>八</w:t>
      </w:r>
      <w:r>
        <w:rPr>
          <w:rFonts w:hint="eastAsia"/>
          <w:color w:val="000000" w:themeColor="text1"/>
          <w:highlight w:val="none"/>
          <w14:textFill>
            <w14:solidFill>
              <w14:schemeClr w14:val="tx1"/>
            </w14:solidFill>
          </w14:textFill>
        </w:rPr>
        <w:t>章</w:t>
      </w:r>
      <w:bookmarkEnd w:id="650"/>
      <w:bookmarkEnd w:id="651"/>
      <w:bookmarkEnd w:id="652"/>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应急培训与演练</w:t>
      </w:r>
      <w:bookmarkEnd w:id="653"/>
      <w:bookmarkEnd w:id="654"/>
      <w:bookmarkEnd w:id="655"/>
    </w:p>
    <w:p>
      <w:pPr>
        <w:pStyle w:val="3"/>
        <w:rPr>
          <w:color w:val="000000" w:themeColor="text1"/>
          <w:highlight w:val="none"/>
          <w14:textFill>
            <w14:solidFill>
              <w14:schemeClr w14:val="tx1"/>
            </w14:solidFill>
          </w14:textFill>
        </w:rPr>
      </w:pPr>
      <w:bookmarkStart w:id="656" w:name="_Toc225244073"/>
      <w:bookmarkStart w:id="657" w:name="_Toc43203025"/>
      <w:bookmarkStart w:id="658" w:name="_Toc387260910"/>
      <w:bookmarkStart w:id="659" w:name="_Toc224965895"/>
      <w:bookmarkStart w:id="660" w:name="_Toc8768"/>
      <w:bookmarkStart w:id="661" w:name="_Toc46857546"/>
      <w:bookmarkStart w:id="662" w:name="_Toc304956870"/>
      <w:bookmarkStart w:id="663" w:name="_Toc301798275"/>
      <w:bookmarkStart w:id="664" w:name="_Toc300841415"/>
      <w:bookmarkStart w:id="665" w:name="_Toc462232994"/>
      <w:bookmarkStart w:id="666" w:name="_Toc408503160"/>
      <w:bookmarkStart w:id="667" w:name="_Toc170632623"/>
      <w:bookmarkStart w:id="668" w:name="_Toc27424_WPSOffice_Level2"/>
      <w:bookmarkStart w:id="669" w:name="_Toc5080_WPSOffice_Level2"/>
      <w:bookmarkStart w:id="670" w:name="_Toc171561519"/>
      <w:bookmarkStart w:id="671" w:name="_Toc342165922"/>
      <w:bookmarkStart w:id="672" w:name="_Toc165165604"/>
      <w:bookmarkStart w:id="673" w:name="_Toc166424776"/>
      <w:bookmarkStart w:id="674" w:name="_Toc161808495"/>
      <w:r>
        <w:rPr>
          <w:rFonts w:hint="eastAsia"/>
          <w:color w:val="000000" w:themeColor="text1"/>
          <w:highlight w:val="none"/>
          <w:lang w:val="en-US" w:eastAsia="zh-CN"/>
          <w14:textFill>
            <w14:solidFill>
              <w14:schemeClr w14:val="tx1"/>
            </w14:solidFill>
          </w14:textFill>
        </w:rPr>
        <w:t>8</w:t>
      </w:r>
      <w:r>
        <w:rPr>
          <w:color w:val="000000" w:themeColor="text1"/>
          <w:highlight w:val="none"/>
          <w14:textFill>
            <w14:solidFill>
              <w14:schemeClr w14:val="tx1"/>
            </w14:solidFill>
          </w14:textFill>
        </w:rPr>
        <w:t>.1培训</w:t>
      </w:r>
      <w:bookmarkEnd w:id="656"/>
      <w:bookmarkEnd w:id="657"/>
      <w:bookmarkEnd w:id="658"/>
      <w:bookmarkEnd w:id="659"/>
      <w:bookmarkEnd w:id="660"/>
      <w:bookmarkEnd w:id="661"/>
      <w:bookmarkEnd w:id="662"/>
      <w:bookmarkEnd w:id="663"/>
      <w:bookmarkEnd w:id="664"/>
      <w:bookmarkEnd w:id="665"/>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公司安全部门负责组织应急抢险队伍成员每年3次以上培训，培训方式可送外部消防机构或外部消防机构来厂现场培训。</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依据对本公司单位员工、周边工厂企业、人员情况的分析结果，明确培训如下内容：本公司事故应急救援和突发环境污染事故处理的人员培训分二个层次开展。</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1、现场班组级</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现场班组级是及时处理事故、紧急避险、自救互救的重要环节，同时也是事故及早发现、及时上报的关键，一般危险化学品事故在这一层次上能够及时处理而避免，对班组职工开展事故急救处理培训非常重要。每季开展一次，培训内容：</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（1）针对各岗位可能发生的事故，在紧急情况下如何进行紧急停车、避险、报警的方法；</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（2）针对各岗位可能导致人员伤害类别，现场进行紧急救护方法；</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（3）针对各岗位可能发生的事故，如何采取有效措施控制事故和避免事故扩大化；</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（4）针对可能发生的事故应急救援必须使用的防护装备以及相关环境应急设施，学会使用方法；</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（5）针对可能发生的事故学习消防器材和各类设备的使用方法；</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（6）掌握车间存在危险化学品特性、健康危害、危险性、急救方法。</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2、公司级</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由经理、安管员及义务消防队员组成，成员能够熟练使用现场装备、设施等对事故进行可靠控制。它是应急救援的指挥部与操作者之间的联系，同时也是事故得到及时可靠处理的关键。每年进行二次，培训内容：</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（1）包括班组级培训所有内容。</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（2）掌握应急救援预案，事故时按照预案有条不紊地组织应急救援。</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（3）针对车间生产实际情况，熟悉如何有效控制事故，避免事故失控和扩大化。</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（4）各部门依据应急救援的职责和分工开展工作。</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（5）组织应急物资的调运。</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（6）申请外部救援力量的报警方法，以及发布事故消息，组织周边社区、政府部门的疏散方法等；</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（7）事故现场的警戒和隔离，以及事故现场的洗消方法。</w:t>
      </w:r>
    </w:p>
    <w:p>
      <w:pPr>
        <w:pStyle w:val="3"/>
        <w:rPr>
          <w:color w:val="000000" w:themeColor="text1"/>
          <w:highlight w:val="none"/>
          <w14:textFill>
            <w14:solidFill>
              <w14:schemeClr w14:val="tx1"/>
            </w14:solidFill>
          </w14:textFill>
        </w:rPr>
      </w:pPr>
      <w:bookmarkStart w:id="675" w:name="_Toc43203026"/>
      <w:bookmarkStart w:id="676" w:name="_Toc300841416"/>
      <w:bookmarkStart w:id="677" w:name="_Toc304956871"/>
      <w:bookmarkStart w:id="678" w:name="_Toc22578"/>
      <w:bookmarkStart w:id="679" w:name="_Toc46857547"/>
      <w:bookmarkStart w:id="680" w:name="_Toc462232995"/>
      <w:bookmarkStart w:id="681" w:name="_Toc301798276"/>
      <w:bookmarkStart w:id="682" w:name="_Toc225244074"/>
      <w:bookmarkStart w:id="683" w:name="_Toc224965896"/>
      <w:bookmarkStart w:id="684" w:name="_Toc387260911"/>
      <w:r>
        <w:rPr>
          <w:rFonts w:hint="eastAsia"/>
          <w:color w:val="000000" w:themeColor="text1"/>
          <w:highlight w:val="none"/>
          <w:lang w:val="en-US" w:eastAsia="zh-CN"/>
          <w14:textFill>
            <w14:solidFill>
              <w14:schemeClr w14:val="tx1"/>
            </w14:solidFill>
          </w14:textFill>
        </w:rPr>
        <w:t>8</w:t>
      </w:r>
      <w:r>
        <w:rPr>
          <w:color w:val="000000" w:themeColor="text1"/>
          <w:highlight w:val="none"/>
          <w14:textFill>
            <w14:solidFill>
              <w14:schemeClr w14:val="tx1"/>
            </w14:solidFill>
          </w14:textFill>
        </w:rPr>
        <w:t>.2演练</w:t>
      </w:r>
      <w:bookmarkEnd w:id="675"/>
      <w:bookmarkEnd w:id="676"/>
      <w:bookmarkEnd w:id="677"/>
      <w:bookmarkEnd w:id="678"/>
      <w:bookmarkEnd w:id="679"/>
      <w:bookmarkEnd w:id="680"/>
      <w:bookmarkEnd w:id="681"/>
      <w:bookmarkEnd w:id="682"/>
      <w:bookmarkEnd w:id="683"/>
      <w:bookmarkEnd w:id="684"/>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公司应急指挥领导小组从实际出发，针对危险目标可能发生的事故，每年组织1次逃生演习和1次事故应急救援综合演练。把指挥机构和救援队伍训练成一支思想好、技术精、作风硬的指挥班子和抢救队伍。一旦发生事故，指挥机构能正确指挥，各救援队伍能根据各自任务及时有效地排除险情、控制并消灭事故、抢救伤员，做好应急救援工作。每年年底根据实际情况编制下年的演练计划。计划包括：</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（1）演练组织与准备；</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（2）演练范围与频次；</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（3）演练组织等。</w:t>
      </w:r>
    </w:p>
    <w:p>
      <w:pPr>
        <w:pStyle w:val="4"/>
        <w:rPr>
          <w:color w:val="000000" w:themeColor="text1"/>
          <w:highlight w:val="none"/>
          <w14:textFill>
            <w14:solidFill>
              <w14:schemeClr w14:val="tx1"/>
            </w14:solidFill>
          </w14:textFill>
        </w:rPr>
      </w:pPr>
      <w:bookmarkStart w:id="685" w:name="_Toc304956872"/>
      <w:bookmarkStart w:id="686" w:name="_Toc301798277"/>
      <w:bookmarkStart w:id="687" w:name="_Toc43203027"/>
      <w:bookmarkStart w:id="688" w:name="_Toc462232996"/>
      <w:bookmarkStart w:id="689" w:name="_Toc300841417"/>
      <w:r>
        <w:rPr>
          <w:rFonts w:hint="eastAsia"/>
          <w:color w:val="000000" w:themeColor="text1"/>
          <w:highlight w:val="none"/>
          <w:lang w:val="en-US" w:eastAsia="zh-CN"/>
          <w14:textFill>
            <w14:solidFill>
              <w14:schemeClr w14:val="tx1"/>
            </w14:solidFill>
          </w14:textFill>
        </w:rPr>
        <w:t>8</w:t>
      </w:r>
      <w:r>
        <w:rPr>
          <w:color w:val="000000" w:themeColor="text1"/>
          <w:highlight w:val="none"/>
          <w14:textFill>
            <w14:solidFill>
              <w14:schemeClr w14:val="tx1"/>
            </w14:solidFill>
          </w14:textFill>
        </w:rPr>
        <w:t>.2.1演练组织与级别</w:t>
      </w:r>
      <w:bookmarkEnd w:id="685"/>
      <w:bookmarkEnd w:id="686"/>
      <w:bookmarkEnd w:id="687"/>
      <w:bookmarkEnd w:id="688"/>
      <w:bookmarkEnd w:id="689"/>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应急演练分为部门、公司级演练和配合政府部门演练三级；部门级的演练由部门负责人（现场指挥）组织进行，公司安全、环保、技术及相关部门派员观摩指导；公司级演练由公司应急指挥小组组织进行，各相关部门参加；与政府有关部门的联合演练，由政府有关部门组织进行，公司应急领导小组成员参加，相关部门人员参加配合。</w:t>
      </w:r>
    </w:p>
    <w:p>
      <w:pPr>
        <w:pStyle w:val="4"/>
        <w:rPr>
          <w:color w:val="000000" w:themeColor="text1"/>
          <w:highlight w:val="none"/>
          <w14:textFill>
            <w14:solidFill>
              <w14:schemeClr w14:val="tx1"/>
            </w14:solidFill>
          </w14:textFill>
        </w:rPr>
      </w:pPr>
      <w:bookmarkStart w:id="690" w:name="_Toc301798278"/>
      <w:bookmarkStart w:id="691" w:name="_Toc462232997"/>
      <w:bookmarkStart w:id="692" w:name="_Toc304956873"/>
      <w:bookmarkStart w:id="693" w:name="_Toc43203028"/>
      <w:bookmarkStart w:id="694" w:name="_Toc300841418"/>
      <w:r>
        <w:rPr>
          <w:rFonts w:hint="eastAsia"/>
          <w:color w:val="000000" w:themeColor="text1"/>
          <w:highlight w:val="none"/>
          <w:lang w:val="en-US" w:eastAsia="zh-CN"/>
          <w14:textFill>
            <w14:solidFill>
              <w14:schemeClr w14:val="tx1"/>
            </w14:solidFill>
          </w14:textFill>
        </w:rPr>
        <w:t>8</w:t>
      </w:r>
      <w:r>
        <w:rPr>
          <w:color w:val="000000" w:themeColor="text1"/>
          <w:highlight w:val="none"/>
          <w14:textFill>
            <w14:solidFill>
              <w14:schemeClr w14:val="tx1"/>
            </w14:solidFill>
          </w14:textFill>
        </w:rPr>
        <w:t>.2.2演练准备</w:t>
      </w:r>
      <w:bookmarkEnd w:id="690"/>
      <w:bookmarkEnd w:id="691"/>
      <w:bookmarkEnd w:id="692"/>
      <w:bookmarkEnd w:id="693"/>
      <w:bookmarkEnd w:id="694"/>
    </w:p>
    <w:p>
      <w:pPr>
        <w:autoSpaceDE w:val="0"/>
        <w:autoSpaceDN w:val="0"/>
        <w:adjustRightInd w:val="0"/>
        <w:spacing w:line="360" w:lineRule="auto"/>
        <w:ind w:firstLine="480" w:firstLineChars="200"/>
        <w:jc w:val="left"/>
        <w:rPr>
          <w:rFonts w:eastAsia="仿宋_GB2312"/>
          <w:bCs/>
          <w:color w:val="000000" w:themeColor="text1"/>
          <w:sz w:val="28"/>
          <w:szCs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演练应制订演练方案，按演练级别报应急指挥负责人审批；演练前应落实所需的各种器材装备与物资、交通车辆、防护器材的准备，以确保演练顺利进行；演练前应通知周边社区、企业人员，必要时与新闻媒体沟通，以避免造成不必要的影响。</w:t>
      </w:r>
    </w:p>
    <w:p>
      <w:pPr>
        <w:pStyle w:val="4"/>
        <w:rPr>
          <w:color w:val="000000" w:themeColor="text1"/>
          <w:highlight w:val="none"/>
          <w14:textFill>
            <w14:solidFill>
              <w14:schemeClr w14:val="tx1"/>
            </w14:solidFill>
          </w14:textFill>
        </w:rPr>
      </w:pPr>
      <w:bookmarkStart w:id="695" w:name="_Toc462232998"/>
      <w:bookmarkStart w:id="696" w:name="_Toc43203029"/>
      <w:r>
        <w:rPr>
          <w:rFonts w:hint="eastAsia"/>
          <w:color w:val="000000" w:themeColor="text1"/>
          <w:highlight w:val="none"/>
          <w:lang w:val="en-US" w:eastAsia="zh-CN"/>
          <w14:textFill>
            <w14:solidFill>
              <w14:schemeClr w14:val="tx1"/>
            </w14:solidFill>
          </w14:textFill>
        </w:rPr>
        <w:t>8</w:t>
      </w:r>
      <w:r>
        <w:rPr>
          <w:color w:val="000000" w:themeColor="text1"/>
          <w:highlight w:val="none"/>
          <w14:textFill>
            <w14:solidFill>
              <w14:schemeClr w14:val="tx1"/>
            </w14:solidFill>
          </w14:textFill>
        </w:rPr>
        <w:t>.2.3演练科目与内容</w:t>
      </w:r>
      <w:bookmarkEnd w:id="695"/>
      <w:bookmarkEnd w:id="696"/>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根据公司环境风险情况，针对性的设定演练科目及演练内容：</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①废水设施故障导致废水超标排放处理演练；</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②废水、化学品泄漏处理演练；</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③废气处理设施故障事故演练；</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④其他环保处理设施故障应急救援演练；</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⑤火灾爆炸的应急救援演练；</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以上演练科目每年最少进行一次。每年对演练次数、内容、效果进行考核。确保演练能达到预期目的。</w:t>
      </w:r>
    </w:p>
    <w:p>
      <w:pPr>
        <w:pStyle w:val="4"/>
        <w:rPr>
          <w:color w:val="000000" w:themeColor="text1"/>
          <w:highlight w:val="none"/>
          <w14:textFill>
            <w14:solidFill>
              <w14:schemeClr w14:val="tx1"/>
            </w14:solidFill>
          </w14:textFill>
        </w:rPr>
      </w:pPr>
      <w:bookmarkStart w:id="697" w:name="_Toc304956874"/>
      <w:bookmarkStart w:id="698" w:name="_Toc43203030"/>
      <w:bookmarkStart w:id="699" w:name="_Toc301798279"/>
      <w:bookmarkStart w:id="700" w:name="_Toc300841419"/>
      <w:bookmarkStart w:id="701" w:name="_Toc462232999"/>
      <w:r>
        <w:rPr>
          <w:rFonts w:hint="eastAsia"/>
          <w:color w:val="000000" w:themeColor="text1"/>
          <w:highlight w:val="none"/>
          <w:lang w:val="en-US" w:eastAsia="zh-CN"/>
          <w14:textFill>
            <w14:solidFill>
              <w14:schemeClr w14:val="tx1"/>
            </w14:solidFill>
          </w14:textFill>
        </w:rPr>
        <w:t>8</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4演练频次与范围</w:t>
      </w:r>
      <w:bookmarkEnd w:id="697"/>
      <w:bookmarkEnd w:id="698"/>
      <w:bookmarkEnd w:id="699"/>
      <w:bookmarkEnd w:id="700"/>
      <w:bookmarkEnd w:id="701"/>
    </w:p>
    <w:p>
      <w:pPr>
        <w:adjustRightInd w:val="0"/>
        <w:snapToGrid w:val="0"/>
        <w:spacing w:line="360" w:lineRule="auto"/>
        <w:ind w:firstLine="555"/>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部门演练（或训练）以报警、报告程序、现场应急处置、紧急疏散等熟悉应急响应和某项应急功能的单项演练，演练频次每年5次以上；公司级演练以多个应急小组之间或某些外部应急组织之间相互协调进行的演练与公司级预案全部或部分功能的综合演练，演练频次每年2次以上。与政府有关部门的演练，视政府组织频次情况确定，亦可结合公司级组织的演练进行</w:t>
      </w:r>
      <w:r>
        <w:rPr>
          <w:rFonts w:hint="eastAsia" w:ascii="宋体" w:hAnsi="宋体" w:cs="宋体"/>
          <w:color w:val="000000" w:themeColor="text1"/>
          <w:sz w:val="24"/>
          <w:highlight w:val="none"/>
          <w:lang w:eastAsia="zh-CN"/>
          <w14:textFill>
            <w14:solidFill>
              <w14:schemeClr w14:val="tx1"/>
            </w14:solidFill>
          </w14:textFill>
        </w:rPr>
        <w:t>。</w:t>
      </w:r>
    </w:p>
    <w:p>
      <w:pPr>
        <w:pStyle w:val="4"/>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8</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5</w:t>
      </w:r>
      <w:r>
        <w:rPr>
          <w:color w:val="000000" w:themeColor="text1"/>
          <w:highlight w:val="none"/>
          <w14:textFill>
            <w14:solidFill>
              <w14:schemeClr w14:val="tx1"/>
            </w14:solidFill>
          </w14:textFill>
        </w:rPr>
        <w:t>演</w:t>
      </w:r>
      <w:r>
        <w:rPr>
          <w:rFonts w:eastAsia="宋体"/>
          <w:color w:val="000000" w:themeColor="text1"/>
          <w:highlight w:val="none"/>
          <w14:textFill>
            <w14:solidFill>
              <w14:schemeClr w14:val="tx1"/>
            </w14:solidFill>
          </w14:textFill>
        </w:rPr>
        <w:t>练</w:t>
      </w:r>
      <w:r>
        <w:rPr>
          <w:rFonts w:hint="eastAsia" w:eastAsia="宋体"/>
          <w:color w:val="000000" w:themeColor="text1"/>
          <w:highlight w:val="none"/>
          <w:lang w:val="en-US" w:eastAsia="zh-CN"/>
          <w14:textFill>
            <w14:solidFill>
              <w14:schemeClr w14:val="tx1"/>
            </w14:solidFill>
          </w14:textFill>
        </w:rPr>
        <w:t>暴露</w:t>
      </w:r>
      <w:r>
        <w:rPr>
          <w:rFonts w:hint="default" w:eastAsia="宋体"/>
          <w:color w:val="000000" w:themeColor="text1"/>
          <w:highlight w:val="none"/>
          <w:lang w:val="en-US" w:eastAsia="zh-CN"/>
          <w14:textFill>
            <w14:solidFill>
              <w14:schemeClr w14:val="tx1"/>
            </w14:solidFill>
          </w14:textFill>
        </w:rPr>
        <w:t>问题及解决措施</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演练</w:t>
      </w:r>
      <w:r>
        <w:rPr>
          <w:rFonts w:hint="eastAsia" w:ascii="宋体" w:hAnsi="宋体" w:cs="宋体"/>
          <w:color w:val="000000" w:themeColor="text1"/>
          <w:sz w:val="24"/>
          <w:highlight w:val="none"/>
          <w:lang w:val="en-US" w:eastAsia="zh-CN"/>
          <w14:textFill>
            <w14:solidFill>
              <w14:schemeClr w14:val="tx1"/>
            </w14:solidFill>
          </w14:textFill>
        </w:rPr>
        <w:t>过程中可能暴露的问题有以下几点</w:t>
      </w:r>
      <w:r>
        <w:rPr>
          <w:rFonts w:hint="eastAsia" w:ascii="宋体" w:hAnsi="宋体" w:cs="宋体"/>
          <w:color w:val="000000" w:themeColor="text1"/>
          <w:sz w:val="24"/>
          <w:highlight w:val="none"/>
          <w14:textFill>
            <w14:solidFill>
              <w14:schemeClr w14:val="tx1"/>
            </w14:solidFill>
          </w14:textFill>
        </w:rPr>
        <w:t>：</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①废水设施故障导致废水超标排放；</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②废水、化学品泄漏；</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③废气处理设施故障；</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④其他环保处理设施故障；</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⑤火灾爆炸；</w:t>
      </w:r>
    </w:p>
    <w:p>
      <w:pPr>
        <w:adjustRightInd w:val="0"/>
        <w:snapToGrid w:val="0"/>
        <w:spacing w:line="360" w:lineRule="auto"/>
        <w:ind w:firstLine="555"/>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应对以上问题应及时组织应急演练小组，对相应问题及时停止并处理</w:t>
      </w:r>
      <w:r>
        <w:rPr>
          <w:rFonts w:hint="eastAsia" w:ascii="宋体" w:hAnsi="宋体" w:cs="宋体"/>
          <w:color w:val="000000" w:themeColor="text1"/>
          <w:sz w:val="24"/>
          <w:highlight w:val="none"/>
          <w:lang w:eastAsia="zh-CN"/>
          <w14:textFill>
            <w14:solidFill>
              <w14:schemeClr w14:val="tx1"/>
            </w14:solidFill>
          </w14:textFill>
        </w:rPr>
        <w:t>。</w:t>
      </w:r>
    </w:p>
    <w:p>
      <w:pPr>
        <w:adjustRightInd w:val="0"/>
        <w:snapToGrid w:val="0"/>
        <w:spacing w:line="360" w:lineRule="auto"/>
        <w:ind w:firstLine="555"/>
        <w:rPr>
          <w:rFonts w:hint="eastAsia" w:ascii="宋体" w:hAnsi="宋体" w:cs="宋体"/>
          <w:color w:val="000000" w:themeColor="text1"/>
          <w:sz w:val="24"/>
          <w:highlight w:val="none"/>
          <w:lang w:eastAsia="zh-CN"/>
          <w14:textFill>
            <w14:solidFill>
              <w14:schemeClr w14:val="tx1"/>
            </w14:solidFill>
          </w14:textFill>
        </w:rPr>
      </w:pPr>
    </w:p>
    <w:p>
      <w:pPr>
        <w:adjustRightInd w:val="0"/>
        <w:snapToGrid w:val="0"/>
        <w:spacing w:line="360" w:lineRule="auto"/>
        <w:ind w:firstLine="555"/>
        <w:rPr>
          <w:rFonts w:hint="eastAsia" w:ascii="宋体" w:hAnsi="宋体" w:cs="宋体"/>
          <w:color w:val="000000" w:themeColor="text1"/>
          <w:sz w:val="24"/>
          <w:highlight w:val="none"/>
          <w:lang w:eastAsia="zh-CN"/>
          <w14:textFill>
            <w14:solidFill>
              <w14:schemeClr w14:val="tx1"/>
            </w14:solidFill>
          </w14:textFill>
        </w:rPr>
      </w:pPr>
    </w:p>
    <w:p>
      <w:pPr>
        <w:adjustRightInd w:val="0"/>
        <w:snapToGrid w:val="0"/>
        <w:spacing w:line="360" w:lineRule="auto"/>
        <w:ind w:firstLine="555"/>
        <w:rPr>
          <w:rFonts w:hint="eastAsia" w:ascii="宋体" w:hAnsi="宋体" w:cs="宋体"/>
          <w:color w:val="000000" w:themeColor="text1"/>
          <w:sz w:val="24"/>
          <w:highlight w:val="none"/>
          <w:lang w:eastAsia="zh-CN"/>
          <w14:textFill>
            <w14:solidFill>
              <w14:schemeClr w14:val="tx1"/>
            </w14:solidFill>
          </w14:textFill>
        </w:rPr>
      </w:pPr>
    </w:p>
    <w:p>
      <w:pPr>
        <w:adjustRightInd w:val="0"/>
        <w:snapToGrid w:val="0"/>
        <w:spacing w:line="360" w:lineRule="auto"/>
        <w:ind w:firstLine="555"/>
        <w:rPr>
          <w:rFonts w:hint="eastAsia" w:ascii="宋体" w:hAnsi="宋体" w:cs="宋体"/>
          <w:color w:val="000000" w:themeColor="text1"/>
          <w:sz w:val="24"/>
          <w:highlight w:val="none"/>
          <w:lang w:eastAsia="zh-CN"/>
          <w14:textFill>
            <w14:solidFill>
              <w14:schemeClr w14:val="tx1"/>
            </w14:solidFill>
          </w14:textFill>
        </w:rPr>
      </w:pPr>
    </w:p>
    <w:p>
      <w:pPr>
        <w:adjustRightInd w:val="0"/>
        <w:snapToGrid w:val="0"/>
        <w:spacing w:line="360" w:lineRule="auto"/>
        <w:ind w:firstLine="555"/>
        <w:rPr>
          <w:rFonts w:hint="eastAsia" w:ascii="宋体" w:hAnsi="宋体" w:cs="宋体"/>
          <w:color w:val="000000" w:themeColor="text1"/>
          <w:sz w:val="24"/>
          <w:highlight w:val="none"/>
          <w:lang w:eastAsia="zh-CN"/>
          <w14:textFill>
            <w14:solidFill>
              <w14:schemeClr w14:val="tx1"/>
            </w14:solidFill>
          </w14:textFill>
        </w:rPr>
      </w:pPr>
    </w:p>
    <w:p>
      <w:pPr>
        <w:adjustRightInd w:val="0"/>
        <w:snapToGrid w:val="0"/>
        <w:spacing w:line="360" w:lineRule="auto"/>
        <w:ind w:firstLine="555"/>
        <w:rPr>
          <w:rFonts w:hint="eastAsia" w:ascii="宋体" w:hAnsi="宋体" w:cs="宋体"/>
          <w:color w:val="000000" w:themeColor="text1"/>
          <w:sz w:val="24"/>
          <w:highlight w:val="none"/>
          <w:lang w:eastAsia="zh-CN"/>
          <w14:textFill>
            <w14:solidFill>
              <w14:schemeClr w14:val="tx1"/>
            </w14:solidFill>
          </w14:textFill>
        </w:rPr>
      </w:pPr>
    </w:p>
    <w:p>
      <w:pPr>
        <w:adjustRightInd w:val="0"/>
        <w:snapToGrid w:val="0"/>
        <w:spacing w:line="360" w:lineRule="auto"/>
        <w:ind w:firstLine="555"/>
        <w:rPr>
          <w:rFonts w:hint="eastAsia" w:ascii="宋体" w:hAnsi="宋体" w:cs="宋体"/>
          <w:color w:val="000000" w:themeColor="text1"/>
          <w:sz w:val="24"/>
          <w:highlight w:val="none"/>
          <w:lang w:eastAsia="zh-CN"/>
          <w14:textFill>
            <w14:solidFill>
              <w14:schemeClr w14:val="tx1"/>
            </w14:solidFill>
          </w14:textFill>
        </w:rPr>
      </w:pPr>
    </w:p>
    <w:bookmarkEnd w:id="666"/>
    <w:bookmarkEnd w:id="667"/>
    <w:bookmarkEnd w:id="668"/>
    <w:bookmarkEnd w:id="669"/>
    <w:bookmarkEnd w:id="670"/>
    <w:bookmarkEnd w:id="671"/>
    <w:p>
      <w:pPr>
        <w:pStyle w:val="2"/>
        <w:jc w:val="center"/>
        <w:rPr>
          <w:color w:val="000000" w:themeColor="text1"/>
          <w:highlight w:val="none"/>
          <w14:textFill>
            <w14:solidFill>
              <w14:schemeClr w14:val="tx1"/>
            </w14:solidFill>
          </w14:textFill>
        </w:rPr>
      </w:pPr>
      <w:bookmarkStart w:id="702" w:name="_Toc306975705"/>
      <w:bookmarkStart w:id="703" w:name="_Toc408503172"/>
      <w:bookmarkStart w:id="704" w:name="_Toc23225"/>
      <w:bookmarkStart w:id="705" w:name="_Toc24412_WPSOffice_Level2"/>
      <w:bookmarkStart w:id="706" w:name="_Toc43203031"/>
      <w:bookmarkStart w:id="707" w:name="_Toc342165924"/>
      <w:bookmarkStart w:id="708" w:name="_Toc28959_WPSOffice_Level2"/>
      <w:bookmarkStart w:id="709" w:name="_Toc46857548"/>
      <w:bookmarkStart w:id="710" w:name="_Toc305937030"/>
      <w:r>
        <w:rPr>
          <w:rFonts w:hint="eastAsia"/>
          <w:color w:val="000000" w:themeColor="text1"/>
          <w:highlight w:val="none"/>
          <w14:textFill>
            <w14:solidFill>
              <w14:schemeClr w14:val="tx1"/>
            </w14:solidFill>
          </w14:textFill>
        </w:rPr>
        <w:t>第</w:t>
      </w:r>
      <w:r>
        <w:rPr>
          <w:rFonts w:hint="eastAsia"/>
          <w:color w:val="000000" w:themeColor="text1"/>
          <w:highlight w:val="none"/>
          <w:lang w:val="en-US" w:eastAsia="zh-CN"/>
          <w14:textFill>
            <w14:solidFill>
              <w14:schemeClr w14:val="tx1"/>
            </w14:solidFill>
          </w14:textFill>
        </w:rPr>
        <w:t>九</w:t>
      </w:r>
      <w:r>
        <w:rPr>
          <w:rFonts w:hint="eastAsia"/>
          <w:color w:val="000000" w:themeColor="text1"/>
          <w:highlight w:val="none"/>
          <w14:textFill>
            <w14:solidFill>
              <w14:schemeClr w14:val="tx1"/>
            </w14:solidFill>
          </w14:textFill>
        </w:rPr>
        <w:t>章</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奖惩</w:t>
      </w:r>
      <w:bookmarkEnd w:id="702"/>
      <w:bookmarkEnd w:id="703"/>
      <w:bookmarkEnd w:id="704"/>
      <w:bookmarkEnd w:id="705"/>
      <w:bookmarkEnd w:id="706"/>
      <w:bookmarkEnd w:id="707"/>
      <w:bookmarkEnd w:id="708"/>
      <w:bookmarkEnd w:id="709"/>
      <w:bookmarkEnd w:id="710"/>
    </w:p>
    <w:p>
      <w:pPr>
        <w:pStyle w:val="3"/>
        <w:rPr>
          <w:color w:val="000000" w:themeColor="text1"/>
          <w:highlight w:val="none"/>
          <w14:textFill>
            <w14:solidFill>
              <w14:schemeClr w14:val="tx1"/>
            </w14:solidFill>
          </w14:textFill>
        </w:rPr>
      </w:pPr>
      <w:bookmarkStart w:id="711" w:name="_Toc43203032"/>
      <w:bookmarkStart w:id="712" w:name="_Toc408503173"/>
      <w:bookmarkStart w:id="713" w:name="_Toc342165925"/>
      <w:bookmarkStart w:id="714" w:name="_Toc19388"/>
      <w:bookmarkStart w:id="715" w:name="_Toc46857549"/>
      <w:bookmarkStart w:id="716" w:name="_Toc305937031"/>
      <w:bookmarkStart w:id="717" w:name="_Toc306975706"/>
      <w:r>
        <w:rPr>
          <w:rFonts w:hint="eastAsia"/>
          <w:color w:val="000000" w:themeColor="text1"/>
          <w:highlight w:val="none"/>
          <w:lang w:val="en-US" w:eastAsia="zh-CN"/>
          <w14:textFill>
            <w14:solidFill>
              <w14:schemeClr w14:val="tx1"/>
            </w14:solidFill>
          </w14:textFill>
        </w:rPr>
        <w:t>9</w:t>
      </w:r>
      <w:r>
        <w:rPr>
          <w:color w:val="000000" w:themeColor="text1"/>
          <w:highlight w:val="none"/>
          <w14:textFill>
            <w14:solidFill>
              <w14:schemeClr w14:val="tx1"/>
            </w14:solidFill>
          </w14:textFill>
        </w:rPr>
        <w:t>.1奖励</w:t>
      </w:r>
      <w:bookmarkEnd w:id="711"/>
      <w:bookmarkEnd w:id="712"/>
      <w:bookmarkEnd w:id="713"/>
      <w:bookmarkEnd w:id="714"/>
      <w:bookmarkEnd w:id="715"/>
      <w:bookmarkEnd w:id="716"/>
      <w:bookmarkEnd w:id="717"/>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企业在突发环境事件应急救援行动中，对有下列事迹之一的部门和个人，依据有关规定给予奖励。</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bookmarkStart w:id="718" w:name="_Toc378105747"/>
      <w:bookmarkStart w:id="719" w:name="_Toc395805069"/>
      <w:bookmarkStart w:id="720" w:name="_Toc403659450"/>
      <w:bookmarkStart w:id="721" w:name="_Toc396934443"/>
      <w:bookmarkStart w:id="722" w:name="_Toc402875781"/>
      <w:bookmarkStart w:id="723" w:name="_Toc383072862"/>
      <w:bookmarkStart w:id="724" w:name="_Toc405384616"/>
      <w:bookmarkStart w:id="725" w:name="_Toc399352271"/>
      <w:bookmarkStart w:id="726" w:name="_Toc408503174"/>
      <w:bookmarkStart w:id="727" w:name="_Toc405881628"/>
      <w:bookmarkStart w:id="728" w:name="_Toc383173069"/>
      <w:bookmarkStart w:id="729" w:name="_Toc396237313"/>
      <w:r>
        <w:rPr>
          <w:rFonts w:hint="eastAsia" w:ascii="宋体" w:hAnsi="宋体" w:cs="宋体"/>
          <w:color w:val="000000" w:themeColor="text1"/>
          <w:sz w:val="24"/>
          <w:highlight w:val="none"/>
          <w14:textFill>
            <w14:solidFill>
              <w14:schemeClr w14:val="tx1"/>
            </w14:solidFill>
          </w14:textFill>
        </w:rPr>
        <w:t>1、出色完成应急处理任务，成绩显著的；</w:t>
      </w:r>
      <w:bookmarkEnd w:id="718"/>
      <w:bookmarkEnd w:id="719"/>
      <w:bookmarkEnd w:id="720"/>
      <w:bookmarkEnd w:id="721"/>
      <w:bookmarkEnd w:id="722"/>
      <w:bookmarkEnd w:id="723"/>
      <w:bookmarkEnd w:id="724"/>
      <w:bookmarkEnd w:id="725"/>
      <w:bookmarkEnd w:id="726"/>
      <w:bookmarkEnd w:id="727"/>
      <w:bookmarkEnd w:id="728"/>
      <w:bookmarkEnd w:id="729"/>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2、防范和处理突发环境事件有功，使国家、集体和人民群众的生命财产免受或减少损失的；</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3、对突发环境事件应急准备与响应提出重大建议，实施效果显著的；</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4、有其它特殊贡献的。</w:t>
      </w:r>
    </w:p>
    <w:p>
      <w:pPr>
        <w:pStyle w:val="3"/>
        <w:rPr>
          <w:color w:val="000000" w:themeColor="text1"/>
          <w:highlight w:val="none"/>
          <w14:textFill>
            <w14:solidFill>
              <w14:schemeClr w14:val="tx1"/>
            </w14:solidFill>
          </w14:textFill>
        </w:rPr>
      </w:pPr>
      <w:bookmarkStart w:id="730" w:name="_Toc305937032"/>
      <w:bookmarkStart w:id="731" w:name="_Toc342165926"/>
      <w:bookmarkStart w:id="732" w:name="_Toc408503175"/>
      <w:bookmarkStart w:id="733" w:name="_Toc46857550"/>
      <w:bookmarkStart w:id="734" w:name="_Toc306975707"/>
      <w:bookmarkStart w:id="735" w:name="_Toc43203033"/>
      <w:bookmarkStart w:id="736" w:name="_Toc7648"/>
      <w:r>
        <w:rPr>
          <w:rFonts w:hint="eastAsia"/>
          <w:color w:val="000000" w:themeColor="text1"/>
          <w:highlight w:val="none"/>
          <w:lang w:val="en-US" w:eastAsia="zh-CN"/>
          <w14:textFill>
            <w14:solidFill>
              <w14:schemeClr w14:val="tx1"/>
            </w14:solidFill>
          </w14:textFill>
        </w:rPr>
        <w:t>9</w:t>
      </w:r>
      <w:r>
        <w:rPr>
          <w:rFonts w:hint="eastAsia"/>
          <w:color w:val="000000" w:themeColor="text1"/>
          <w:highlight w:val="none"/>
          <w14:textFill>
            <w14:solidFill>
              <w14:schemeClr w14:val="tx1"/>
            </w14:solidFill>
          </w14:textFill>
        </w:rPr>
        <w:t>.2责任追究</w:t>
      </w:r>
      <w:bookmarkEnd w:id="730"/>
      <w:bookmarkEnd w:id="731"/>
      <w:bookmarkEnd w:id="732"/>
      <w:bookmarkEnd w:id="733"/>
      <w:bookmarkEnd w:id="734"/>
      <w:bookmarkEnd w:id="735"/>
      <w:bookmarkEnd w:id="736"/>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造成突发环境事件的部门和个人，应根据有关法律规定排除危害，并对直接受到损失的其他单位或个人进行赔偿；构成犯罪的，追究刑事责任。</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在突发环境事件应急处置行动中，有下列行为之一的，按照法律和规定，对有关责任人员视情节严重程度和危害后果，给予相应行政处分；构成犯罪的，由司法机关依法追究刑事责任。</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1、不认真履行环保法律、法规，引发突发环境事件的；</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2、不按照突发环境事件应急预案，拒绝承担应急准备义务的；</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3、不按规定报告、通报突发环境事件真实情况的；</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4、盗窃、贪污、挪用应急资金、准备和物资的；</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5、拒不执行应急预案，不服从命令和指挥或在事件应急响应时临阵脱逃的；</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6、阻碍应急工作人员依法履行职责或进行破坏活动的；</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7、散布谣言，扰乱社会秩序的；</w:t>
      </w:r>
    </w:p>
    <w:p>
      <w:pPr>
        <w:adjustRightInd w:val="0"/>
        <w:snapToGrid w:val="0"/>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8、其他对突发环境事件应急工作造成危害的；</w:t>
      </w:r>
    </w:p>
    <w:p>
      <w:pPr>
        <w:pStyle w:val="3"/>
        <w:adjustRightInd w:val="0"/>
        <w:snapToGrid w:val="0"/>
        <w:spacing w:before="0" w:after="0" w:line="360" w:lineRule="auto"/>
        <w:rPr>
          <w:color w:val="000000" w:themeColor="text1"/>
          <w:highlight w:val="none"/>
          <w14:textFill>
            <w14:solidFill>
              <w14:schemeClr w14:val="tx1"/>
            </w14:solidFill>
          </w14:textFill>
        </w:rPr>
      </w:pPr>
      <w:bookmarkStart w:id="737" w:name="_Toc306975708"/>
      <w:bookmarkStart w:id="738" w:name="_Toc166424779"/>
      <w:bookmarkStart w:id="739" w:name="_Toc408503176"/>
      <w:bookmarkStart w:id="740" w:name="_Toc342165927"/>
      <w:bookmarkStart w:id="741" w:name="_Toc22726_WPSOffice_Level2"/>
      <w:bookmarkStart w:id="742" w:name="_Toc22057_WPSOffice_Level2"/>
      <w:r>
        <w:rPr>
          <w:rFonts w:hint="eastAsia" w:ascii="Times New Roman" w:hAnsi="Times New Roman" w:eastAsia="仿宋_GB2312"/>
          <w:color w:val="000000" w:themeColor="text1"/>
          <w:highlight w:val="none"/>
          <w14:textFill>
            <w14:solidFill>
              <w14:schemeClr w14:val="tx1"/>
            </w14:solidFill>
          </w14:textFill>
        </w:rPr>
        <w:br w:type="page"/>
      </w:r>
      <w:bookmarkStart w:id="743" w:name="_Toc46857551"/>
      <w:bookmarkStart w:id="744" w:name="_Toc43203034"/>
      <w:bookmarkStart w:id="745" w:name="_Toc19234"/>
      <w:r>
        <w:rPr>
          <w:rFonts w:hint="eastAsia"/>
          <w:color w:val="000000" w:themeColor="text1"/>
          <w:highlight w:val="none"/>
          <w14:textFill>
            <w14:solidFill>
              <w14:schemeClr w14:val="tx1"/>
            </w14:solidFill>
          </w14:textFill>
        </w:rPr>
        <w:t>第</w:t>
      </w:r>
      <w:r>
        <w:rPr>
          <w:rFonts w:hint="eastAsia"/>
          <w:color w:val="000000" w:themeColor="text1"/>
          <w:highlight w:val="none"/>
          <w:lang w:val="en-US" w:eastAsia="zh-CN"/>
          <w14:textFill>
            <w14:solidFill>
              <w14:schemeClr w14:val="tx1"/>
            </w14:solidFill>
          </w14:textFill>
        </w:rPr>
        <w:t>十</w:t>
      </w:r>
      <w:r>
        <w:rPr>
          <w:rFonts w:hint="eastAsia"/>
          <w:color w:val="000000" w:themeColor="text1"/>
          <w:highlight w:val="none"/>
          <w14:textFill>
            <w14:solidFill>
              <w14:schemeClr w14:val="tx1"/>
            </w14:solidFill>
          </w14:textFill>
        </w:rPr>
        <w:t>章</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预案评审、发布和更新</w:t>
      </w:r>
      <w:bookmarkEnd w:id="737"/>
      <w:bookmarkEnd w:id="738"/>
      <w:bookmarkEnd w:id="739"/>
      <w:bookmarkEnd w:id="740"/>
      <w:bookmarkEnd w:id="741"/>
      <w:bookmarkEnd w:id="742"/>
      <w:bookmarkEnd w:id="743"/>
      <w:bookmarkEnd w:id="744"/>
      <w:bookmarkEnd w:id="745"/>
    </w:p>
    <w:p>
      <w:pPr>
        <w:pStyle w:val="3"/>
        <w:rPr>
          <w:color w:val="000000" w:themeColor="text1"/>
          <w:highlight w:val="none"/>
          <w14:textFill>
            <w14:solidFill>
              <w14:schemeClr w14:val="tx1"/>
            </w14:solidFill>
          </w14:textFill>
        </w:rPr>
      </w:pPr>
      <w:bookmarkStart w:id="746" w:name="_Toc24253"/>
      <w:bookmarkStart w:id="747" w:name="_Toc43203035"/>
      <w:bookmarkStart w:id="748" w:name="_Toc354489590"/>
      <w:bookmarkStart w:id="749" w:name="_Toc408503177"/>
      <w:bookmarkStart w:id="750" w:name="_Toc46857552"/>
      <w:r>
        <w:rPr>
          <w:rFonts w:hint="eastAsia"/>
          <w:color w:val="000000" w:themeColor="text1"/>
          <w:highlight w:val="none"/>
          <w:lang w:val="en-US" w:eastAsia="zh-CN"/>
          <w14:textFill>
            <w14:solidFill>
              <w14:schemeClr w14:val="tx1"/>
            </w14:solidFill>
          </w14:textFill>
        </w:rPr>
        <w:t>10</w:t>
      </w: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预案评审</w:t>
      </w:r>
      <w:bookmarkEnd w:id="746"/>
      <w:bookmarkEnd w:id="747"/>
      <w:bookmarkEnd w:id="748"/>
      <w:bookmarkEnd w:id="749"/>
      <w:bookmarkEnd w:id="750"/>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1、内部评审：企业每年至少对预案进行一次评审，由总指挥主持，评审内容有：应急机构是否完善、应急资源是否充分、应急措施是否得当等。</w:t>
      </w:r>
    </w:p>
    <w:p>
      <w:pPr>
        <w:adjustRightInd w:val="0"/>
        <w:snapToGrid w:val="0"/>
        <w:spacing w:line="360" w:lineRule="auto"/>
        <w:ind w:firstLine="57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2、外部评审：本次预案发布前，应先组织评估，报送</w:t>
      </w:r>
      <w:r>
        <w:rPr>
          <w:rFonts w:hint="eastAsia" w:ascii="宋体" w:hAnsi="宋体" w:cs="宋体"/>
          <w:color w:val="000000" w:themeColor="text1"/>
          <w:sz w:val="24"/>
          <w:highlight w:val="none"/>
          <w:lang w:eastAsia="zh-CN"/>
          <w14:textFill>
            <w14:solidFill>
              <w14:schemeClr w14:val="tx1"/>
            </w14:solidFill>
          </w14:textFill>
        </w:rPr>
        <w:t>生态环境局</w:t>
      </w:r>
      <w:r>
        <w:rPr>
          <w:rFonts w:hint="eastAsia" w:ascii="宋体" w:hAnsi="宋体" w:cs="宋体"/>
          <w:color w:val="000000" w:themeColor="text1"/>
          <w:sz w:val="24"/>
          <w:highlight w:val="none"/>
          <w14:textFill>
            <w14:solidFill>
              <w14:schemeClr w14:val="tx1"/>
            </w14:solidFill>
          </w14:textFill>
        </w:rPr>
        <w:t>进行备案，经通过后发布。</w:t>
      </w:r>
    </w:p>
    <w:p>
      <w:pPr>
        <w:pStyle w:val="3"/>
        <w:rPr>
          <w:rFonts w:hint="eastAsia" w:eastAsia="黑体"/>
          <w:color w:val="000000" w:themeColor="text1"/>
          <w:highlight w:val="none"/>
          <w:lang w:val="en-US" w:eastAsia="zh-CN"/>
          <w14:textFill>
            <w14:solidFill>
              <w14:schemeClr w14:val="tx1"/>
            </w14:solidFill>
          </w14:textFill>
        </w:rPr>
      </w:pPr>
      <w:bookmarkStart w:id="751" w:name="_Toc408503178"/>
      <w:bookmarkStart w:id="752" w:name="_Toc32370"/>
      <w:bookmarkStart w:id="753" w:name="_Toc43203036"/>
      <w:bookmarkStart w:id="754" w:name="_Toc46857553"/>
      <w:bookmarkStart w:id="755" w:name="_Toc354489591"/>
      <w:r>
        <w:rPr>
          <w:rFonts w:hint="eastAsia"/>
          <w:color w:val="000000" w:themeColor="text1"/>
          <w:highlight w:val="none"/>
          <w:lang w:val="en-US" w:eastAsia="zh-CN"/>
          <w14:textFill>
            <w14:solidFill>
              <w14:schemeClr w14:val="tx1"/>
            </w14:solidFill>
          </w14:textFill>
        </w:rPr>
        <w:t>10</w:t>
      </w: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预案</w:t>
      </w:r>
      <w:bookmarkEnd w:id="751"/>
      <w:bookmarkEnd w:id="752"/>
      <w:bookmarkEnd w:id="753"/>
      <w:bookmarkEnd w:id="754"/>
      <w:bookmarkEnd w:id="755"/>
      <w:r>
        <w:rPr>
          <w:rFonts w:hint="eastAsia"/>
          <w:color w:val="000000" w:themeColor="text1"/>
          <w:highlight w:val="none"/>
          <w:lang w:val="en-US" w:eastAsia="zh-CN"/>
          <w14:textFill>
            <w14:solidFill>
              <w14:schemeClr w14:val="tx1"/>
            </w14:solidFill>
          </w14:textFill>
        </w:rPr>
        <w:t>发布</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本预案由总经理签署后发布，发布时应在文本封面注明生效日期及发布人签名。</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生效预案应及时抄送至宜春市</w:t>
      </w:r>
      <w:r>
        <w:rPr>
          <w:rFonts w:hint="eastAsia" w:ascii="宋体" w:hAnsi="宋体" w:cs="宋体"/>
          <w:color w:val="000000" w:themeColor="text1"/>
          <w:sz w:val="24"/>
          <w:highlight w:val="none"/>
          <w:lang w:eastAsia="zh-CN"/>
          <w14:textFill>
            <w14:solidFill>
              <w14:schemeClr w14:val="tx1"/>
            </w14:solidFill>
          </w14:textFill>
        </w:rPr>
        <w:t>宜春市生态环境局宜春经济技术开发区分局</w:t>
      </w:r>
      <w:r>
        <w:rPr>
          <w:rFonts w:hint="eastAsia" w:ascii="宋体" w:hAnsi="宋体" w:cs="宋体"/>
          <w:color w:val="000000" w:themeColor="text1"/>
          <w:sz w:val="24"/>
          <w:highlight w:val="none"/>
          <w14:textFill>
            <w14:solidFill>
              <w14:schemeClr w14:val="tx1"/>
            </w14:solidFill>
          </w14:textFill>
        </w:rPr>
        <w:t>。</w:t>
      </w:r>
    </w:p>
    <w:p>
      <w:pPr>
        <w:adjustRightInd w:val="0"/>
        <w:snapToGrid w:val="0"/>
        <w:spacing w:line="360" w:lineRule="auto"/>
        <w:ind w:firstLine="555"/>
        <w:rPr>
          <w:rFonts w:eastAsia="仿宋_GB2312"/>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本预案应当在主要负责人签署实施之日起30日内报</w:t>
      </w:r>
      <w:r>
        <w:rPr>
          <w:rFonts w:hint="eastAsia" w:ascii="宋体" w:hAnsi="宋体" w:cs="宋体"/>
          <w:color w:val="000000" w:themeColor="text1"/>
          <w:sz w:val="24"/>
          <w:highlight w:val="none"/>
          <w:lang w:eastAsia="zh-CN"/>
          <w14:textFill>
            <w14:solidFill>
              <w14:schemeClr w14:val="tx1"/>
            </w14:solidFill>
          </w14:textFill>
        </w:rPr>
        <w:t>宜春市生态环境局宜春经济技术开发区分局</w:t>
      </w:r>
      <w:r>
        <w:rPr>
          <w:rFonts w:hint="eastAsia" w:ascii="宋体" w:hAnsi="宋体" w:cs="宋体"/>
          <w:color w:val="000000" w:themeColor="text1"/>
          <w:sz w:val="24"/>
          <w:highlight w:val="none"/>
          <w14:textFill>
            <w14:solidFill>
              <w14:schemeClr w14:val="tx1"/>
            </w14:solidFill>
          </w14:textFill>
        </w:rPr>
        <w:t>备案。</w:t>
      </w:r>
    </w:p>
    <w:p>
      <w:pPr>
        <w:pStyle w:val="3"/>
        <w:rPr>
          <w:color w:val="000000" w:themeColor="text1"/>
          <w:highlight w:val="none"/>
          <w14:textFill>
            <w14:solidFill>
              <w14:schemeClr w14:val="tx1"/>
            </w14:solidFill>
          </w14:textFill>
        </w:rPr>
      </w:pPr>
      <w:bookmarkStart w:id="756" w:name="_Toc354489592"/>
      <w:bookmarkStart w:id="757" w:name="_Toc46857554"/>
      <w:bookmarkStart w:id="758" w:name="_Toc18867"/>
      <w:bookmarkStart w:id="759" w:name="_Toc408503179"/>
      <w:bookmarkStart w:id="760" w:name="_Toc43203037"/>
      <w:r>
        <w:rPr>
          <w:rFonts w:hint="eastAsia"/>
          <w:color w:val="000000" w:themeColor="text1"/>
          <w:highlight w:val="none"/>
          <w:lang w:val="en-US" w:eastAsia="zh-CN"/>
          <w14:textFill>
            <w14:solidFill>
              <w14:schemeClr w14:val="tx1"/>
            </w14:solidFill>
          </w14:textFill>
        </w:rPr>
        <w:t>10</w:t>
      </w:r>
      <w:r>
        <w:rPr>
          <w:rFonts w:hint="eastAsia"/>
          <w:color w:val="000000" w:themeColor="text1"/>
          <w:highlight w:val="none"/>
          <w14:textFill>
            <w14:solidFill>
              <w14:schemeClr w14:val="tx1"/>
            </w14:solidFill>
          </w14:textFill>
        </w:rPr>
        <w:t>.3</w:t>
      </w:r>
      <w:r>
        <w:rPr>
          <w:color w:val="000000" w:themeColor="text1"/>
          <w:highlight w:val="none"/>
          <w14:textFill>
            <w14:solidFill>
              <w14:schemeClr w14:val="tx1"/>
            </w14:solidFill>
          </w14:textFill>
        </w:rPr>
        <w:t>预案更新</w:t>
      </w:r>
      <w:bookmarkEnd w:id="756"/>
      <w:bookmarkEnd w:id="757"/>
      <w:bookmarkEnd w:id="758"/>
      <w:bookmarkEnd w:id="759"/>
      <w:bookmarkEnd w:id="760"/>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环境应急预案每三年至少修订一次；有下列情形之一的，企业应当及时组织进行修订评审，然后重新发布。并抄送至相关部门。</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1、本单位生产工艺和技术发生变化的；</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2、相关单位和人员发生变化或者应急组织指挥体系或职责调整的；</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3、周围环境或者环境敏感点发生变化的；</w:t>
      </w:r>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4、环境应急预案依据的法律、法规、规章等发生变化的；环境保护主管部门或者企业认为应当适时修订的其他情形。</w:t>
      </w:r>
    </w:p>
    <w:bookmarkEnd w:id="672"/>
    <w:bookmarkEnd w:id="673"/>
    <w:bookmarkEnd w:id="674"/>
    <w:p>
      <w:pPr>
        <w:adjustRightInd w:val="0"/>
        <w:snapToGrid w:val="0"/>
        <w:spacing w:line="360" w:lineRule="auto"/>
        <w:rPr>
          <w:rFonts w:eastAsia="仿宋_GB2312"/>
          <w:color w:val="000000" w:themeColor="text1"/>
          <w:sz w:val="24"/>
          <w:highlight w:val="none"/>
          <w14:textFill>
            <w14:solidFill>
              <w14:schemeClr w14:val="tx1"/>
            </w14:solidFill>
          </w14:textFill>
        </w:rPr>
      </w:pPr>
    </w:p>
    <w:p>
      <w:pPr>
        <w:adjustRightInd w:val="0"/>
        <w:snapToGrid w:val="0"/>
        <w:spacing w:line="360" w:lineRule="auto"/>
        <w:ind w:firstLine="555"/>
        <w:rPr>
          <w:rFonts w:eastAsia="仿宋_GB2312"/>
          <w:color w:val="000000" w:themeColor="text1"/>
          <w:sz w:val="24"/>
          <w:highlight w:val="none"/>
          <w14:textFill>
            <w14:solidFill>
              <w14:schemeClr w14:val="tx1"/>
            </w14:solidFill>
          </w14:textFill>
        </w:rPr>
        <w:sectPr>
          <w:pgSz w:w="11906" w:h="16838"/>
          <w:pgMar w:top="1440" w:right="1418" w:bottom="1440" w:left="1418" w:header="851" w:footer="992" w:gutter="0"/>
          <w:cols w:space="425" w:num="1"/>
          <w:docGrid w:type="lines" w:linePitch="312" w:charSpace="0"/>
        </w:sectPr>
      </w:pPr>
    </w:p>
    <w:p>
      <w:pPr>
        <w:pStyle w:val="2"/>
        <w:adjustRightInd w:val="0"/>
        <w:snapToGrid w:val="0"/>
        <w:spacing w:line="360" w:lineRule="auto"/>
        <w:rPr>
          <w:rFonts w:ascii="仿宋_GB2312" w:eastAsia="仿宋_GB2312"/>
          <w:color w:val="000000" w:themeColor="text1"/>
          <w:sz w:val="36"/>
          <w:szCs w:val="36"/>
          <w:highlight w:val="none"/>
          <w14:textFill>
            <w14:solidFill>
              <w14:schemeClr w14:val="tx1"/>
            </w14:solidFill>
          </w14:textFill>
        </w:rPr>
      </w:pPr>
      <w:bookmarkStart w:id="761" w:name="_Toc46857555"/>
      <w:bookmarkStart w:id="762" w:name="_Toc43203038"/>
      <w:bookmarkStart w:id="763" w:name="_Toc334558370"/>
      <w:bookmarkStart w:id="764" w:name="_Toc8343_WPSOffice_Level1"/>
      <w:bookmarkStart w:id="765" w:name="_Toc9771_WPSOffice_Level1"/>
      <w:bookmarkStart w:id="766" w:name="_Toc31491"/>
      <w:bookmarkStart w:id="767" w:name="_Toc339203046"/>
      <w:bookmarkStart w:id="768" w:name="_Toc336166356"/>
      <w:bookmarkStart w:id="769" w:name="_Toc408503180"/>
      <w:r>
        <w:rPr>
          <w:rFonts w:hint="eastAsia" w:ascii="仿宋_GB2312" w:eastAsia="仿宋_GB2312"/>
          <w:color w:val="000000" w:themeColor="text1"/>
          <w:sz w:val="36"/>
          <w:szCs w:val="36"/>
          <w:highlight w:val="none"/>
          <w14:textFill>
            <w14:solidFill>
              <w14:schemeClr w14:val="tx1"/>
            </w14:solidFill>
          </w14:textFill>
        </w:rPr>
        <w:t>附  则</w:t>
      </w:r>
      <w:bookmarkEnd w:id="761"/>
      <w:bookmarkEnd w:id="762"/>
      <w:bookmarkEnd w:id="763"/>
      <w:bookmarkEnd w:id="764"/>
      <w:bookmarkEnd w:id="765"/>
      <w:bookmarkEnd w:id="766"/>
      <w:bookmarkEnd w:id="767"/>
      <w:bookmarkEnd w:id="768"/>
      <w:bookmarkEnd w:id="769"/>
    </w:p>
    <w:p>
      <w:pPr>
        <w:adjustRightInd w:val="0"/>
        <w:snapToGrid w:val="0"/>
        <w:spacing w:beforeLines="50" w:afterLines="50" w:line="360" w:lineRule="auto"/>
        <w:outlineLvl w:val="0"/>
        <w:rPr>
          <w:rFonts w:ascii="宋体" w:hAnsi="宋体" w:cs="宋体"/>
          <w:b/>
          <w:bCs/>
          <w:color w:val="000000" w:themeColor="text1"/>
          <w:kern w:val="0"/>
          <w:sz w:val="24"/>
          <w:highlight w:val="none"/>
          <w14:textFill>
            <w14:solidFill>
              <w14:schemeClr w14:val="tx1"/>
            </w14:solidFill>
          </w14:textFill>
        </w:rPr>
      </w:pPr>
      <w:bookmarkStart w:id="770" w:name="_Toc408503181"/>
      <w:bookmarkStart w:id="771" w:name="_Toc1973"/>
      <w:bookmarkStart w:id="772" w:name="_Toc43203039"/>
      <w:bookmarkStart w:id="773" w:name="_Toc383173076"/>
      <w:bookmarkStart w:id="774" w:name="_Toc5832_WPSOffice_Level1"/>
      <w:bookmarkStart w:id="775" w:name="_Toc10778_WPSOffice_Level1"/>
      <w:bookmarkStart w:id="776" w:name="_Toc14152"/>
      <w:bookmarkStart w:id="777" w:name="_Toc46857556"/>
      <w:bookmarkStart w:id="778" w:name="_Toc6241"/>
      <w:bookmarkStart w:id="779" w:name="_Toc250"/>
      <w:bookmarkStart w:id="780" w:name="_Toc383072869"/>
      <w:r>
        <w:rPr>
          <w:rFonts w:hint="eastAsia" w:ascii="宋体" w:hAnsi="宋体" w:cs="宋体"/>
          <w:b/>
          <w:bCs/>
          <w:color w:val="000000" w:themeColor="text1"/>
          <w:kern w:val="0"/>
          <w:sz w:val="24"/>
          <w:highlight w:val="none"/>
          <w14:textFill>
            <w14:solidFill>
              <w14:schemeClr w14:val="tx1"/>
            </w14:solidFill>
          </w14:textFill>
        </w:rPr>
        <w:t>一、预案的签署和解释</w:t>
      </w:r>
      <w:bookmarkEnd w:id="770"/>
      <w:bookmarkEnd w:id="771"/>
      <w:bookmarkEnd w:id="772"/>
      <w:bookmarkEnd w:id="773"/>
      <w:bookmarkEnd w:id="774"/>
      <w:bookmarkEnd w:id="775"/>
      <w:bookmarkEnd w:id="776"/>
      <w:bookmarkEnd w:id="777"/>
      <w:bookmarkEnd w:id="778"/>
      <w:bookmarkEnd w:id="779"/>
      <w:bookmarkEnd w:id="780"/>
    </w:p>
    <w:p>
      <w:pPr>
        <w:adjustRightInd w:val="0"/>
        <w:snapToGrid w:val="0"/>
        <w:spacing w:line="360" w:lineRule="auto"/>
        <w:rPr>
          <w:rFonts w:ascii="宋体" w:hAnsi="宋体" w:cs="宋体"/>
          <w:b/>
          <w:bCs/>
          <w:color w:val="000000" w:themeColor="text1"/>
          <w:kern w:val="0"/>
          <w:sz w:val="24"/>
          <w:highlight w:val="none"/>
          <w14:textFill>
            <w14:solidFill>
              <w14:schemeClr w14:val="tx1"/>
            </w14:solidFill>
          </w14:textFill>
        </w:rPr>
      </w:pPr>
      <w:bookmarkStart w:id="781" w:name="_Toc31640_WPSOffice_Level2"/>
      <w:bookmarkStart w:id="782" w:name="_Toc25492_WPSOffice_Level2"/>
      <w:r>
        <w:rPr>
          <w:rFonts w:hint="eastAsia" w:ascii="宋体" w:hAnsi="宋体" w:cs="宋体"/>
          <w:b/>
          <w:bCs/>
          <w:color w:val="000000" w:themeColor="text1"/>
          <w:kern w:val="0"/>
          <w:sz w:val="24"/>
          <w:highlight w:val="none"/>
          <w14:textFill>
            <w14:solidFill>
              <w14:schemeClr w14:val="tx1"/>
            </w14:solidFill>
          </w14:textFill>
        </w:rPr>
        <w:t>1、预案的签署</w:t>
      </w:r>
      <w:bookmarkEnd w:id="781"/>
      <w:bookmarkEnd w:id="782"/>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本应急预案由企业总经理签署后发布，发布时应在文本封面注明生效日期及发布人签名。</w:t>
      </w:r>
    </w:p>
    <w:p>
      <w:pPr>
        <w:adjustRightInd w:val="0"/>
        <w:snapToGrid w:val="0"/>
        <w:spacing w:line="360" w:lineRule="auto"/>
        <w:rPr>
          <w:rFonts w:ascii="宋体" w:hAnsi="宋体" w:cs="宋体"/>
          <w:b/>
          <w:bCs/>
          <w:color w:val="000000" w:themeColor="text1"/>
          <w:kern w:val="0"/>
          <w:sz w:val="24"/>
          <w:highlight w:val="none"/>
          <w14:textFill>
            <w14:solidFill>
              <w14:schemeClr w14:val="tx1"/>
            </w14:solidFill>
          </w14:textFill>
        </w:rPr>
      </w:pPr>
      <w:bookmarkStart w:id="783" w:name="_Toc14966_WPSOffice_Level2"/>
      <w:bookmarkStart w:id="784" w:name="_Toc2394_WPSOffice_Level2"/>
      <w:r>
        <w:rPr>
          <w:rFonts w:hint="eastAsia" w:ascii="宋体" w:hAnsi="宋体" w:cs="宋体"/>
          <w:b/>
          <w:bCs/>
          <w:color w:val="000000" w:themeColor="text1"/>
          <w:kern w:val="0"/>
          <w:sz w:val="24"/>
          <w:highlight w:val="none"/>
          <w14:textFill>
            <w14:solidFill>
              <w14:schemeClr w14:val="tx1"/>
            </w14:solidFill>
          </w14:textFill>
        </w:rPr>
        <w:t>2、预案的解释</w:t>
      </w:r>
      <w:bookmarkEnd w:id="783"/>
      <w:bookmarkEnd w:id="784"/>
    </w:p>
    <w:p>
      <w:pPr>
        <w:adjustRightInd w:val="0"/>
        <w:snapToGrid w:val="0"/>
        <w:spacing w:line="360" w:lineRule="auto"/>
        <w:ind w:firstLine="555"/>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本应急预案解释权归总指挥部。</w:t>
      </w:r>
    </w:p>
    <w:p>
      <w:pPr>
        <w:adjustRightInd w:val="0"/>
        <w:snapToGrid w:val="0"/>
        <w:spacing w:beforeLines="50" w:afterLines="50" w:line="360" w:lineRule="auto"/>
        <w:outlineLvl w:val="0"/>
        <w:rPr>
          <w:rFonts w:ascii="宋体" w:hAnsi="宋体" w:cs="宋体"/>
          <w:color w:val="000000" w:themeColor="text1"/>
          <w:sz w:val="24"/>
          <w:highlight w:val="none"/>
          <w14:textFill>
            <w14:solidFill>
              <w14:schemeClr w14:val="tx1"/>
            </w14:solidFill>
          </w14:textFill>
        </w:rPr>
      </w:pPr>
      <w:bookmarkStart w:id="785" w:name="_Toc30919"/>
      <w:bookmarkStart w:id="786" w:name="_Toc408503182"/>
      <w:bookmarkStart w:id="787" w:name="_Toc383173077"/>
      <w:bookmarkStart w:id="788" w:name="_Toc46857557"/>
      <w:bookmarkStart w:id="789" w:name="_Toc13707"/>
      <w:bookmarkStart w:id="790" w:name="_Toc9596_WPSOffice_Level1"/>
      <w:bookmarkStart w:id="791" w:name="_Toc9962"/>
      <w:bookmarkStart w:id="792" w:name="_Toc383072870"/>
      <w:bookmarkStart w:id="793" w:name="_Toc29785_WPSOffice_Level1"/>
      <w:bookmarkStart w:id="794" w:name="_Toc43203040"/>
      <w:bookmarkStart w:id="795" w:name="_Toc16889"/>
      <w:r>
        <w:rPr>
          <w:rFonts w:hint="eastAsia" w:ascii="宋体" w:hAnsi="宋体" w:cs="宋体"/>
          <w:color w:val="000000" w:themeColor="text1"/>
          <w:sz w:val="24"/>
          <w:highlight w:val="none"/>
          <w14:textFill>
            <w14:solidFill>
              <w14:schemeClr w14:val="tx1"/>
            </w14:solidFill>
          </w14:textFill>
        </w:rPr>
        <w:t>二、</w:t>
      </w:r>
      <w:r>
        <w:rPr>
          <w:rFonts w:hint="eastAsia" w:ascii="宋体" w:hAnsi="宋体" w:cs="宋体"/>
          <w:b/>
          <w:bCs/>
          <w:color w:val="000000" w:themeColor="text1"/>
          <w:kern w:val="0"/>
          <w:sz w:val="24"/>
          <w:highlight w:val="none"/>
          <w14:textFill>
            <w14:solidFill>
              <w14:schemeClr w14:val="tx1"/>
            </w14:solidFill>
          </w14:textFill>
        </w:rPr>
        <w:t>预案的实施</w:t>
      </w:r>
      <w:bookmarkEnd w:id="785"/>
      <w:bookmarkEnd w:id="786"/>
      <w:bookmarkEnd w:id="787"/>
      <w:bookmarkEnd w:id="788"/>
      <w:bookmarkEnd w:id="789"/>
      <w:bookmarkEnd w:id="790"/>
      <w:bookmarkEnd w:id="791"/>
      <w:bookmarkEnd w:id="792"/>
      <w:bookmarkEnd w:id="793"/>
      <w:bookmarkEnd w:id="794"/>
      <w:bookmarkEnd w:id="795"/>
    </w:p>
    <w:p>
      <w:pPr>
        <w:adjustRightInd w:val="0"/>
        <w:snapToGrid w:val="0"/>
        <w:spacing w:line="360" w:lineRule="auto"/>
        <w:ind w:firstLine="480" w:firstLineChars="200"/>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本应急预案由企业总经理签署后发布实施</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具体实施时间为2022年8月</w:t>
      </w:r>
      <w:r>
        <w:rPr>
          <w:rFonts w:hint="eastAsia" w:ascii="宋体" w:hAnsi="宋体" w:cs="宋体"/>
          <w:color w:val="000000" w:themeColor="text1"/>
          <w:sz w:val="24"/>
          <w:highlight w:val="none"/>
          <w14:textFill>
            <w14:solidFill>
              <w14:schemeClr w14:val="tx1"/>
            </w14:solidFill>
          </w14:textFill>
        </w:rPr>
        <w:t>。</w:t>
      </w:r>
      <w:bookmarkEnd w:id="202"/>
    </w:p>
    <w:sectPr>
      <w:footerReference r:id="rId15" w:type="default"/>
      <w:pgSz w:w="11906" w:h="16838"/>
      <w:pgMar w:top="1418" w:right="1418" w:bottom="1418" w:left="1418" w:header="851" w:footer="992" w:gutter="0"/>
      <w:cols w:space="425" w:num="1"/>
      <w:docGrid w:type="linesAndChar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年少輕狂」" w:date="2023-10-23T15:17:27Z" w:initials="">
    <w:p w14:paraId="39E934C5">
      <w:pPr>
        <w:pStyle w:val="17"/>
        <w:rPr>
          <w:rFonts w:hint="default" w:eastAsiaTheme="minorEastAsia"/>
          <w:lang w:val="en-US" w:eastAsia="zh-CN"/>
        </w:rPr>
      </w:pPr>
    </w:p>
  </w:comment>
  <w:comment w:id="1" w:author="「年少輕狂」" w:date="2023-10-23T15:20:32Z" w:initials="">
    <w:p w14:paraId="37BF7207">
      <w:pPr>
        <w:pStyle w:val="17"/>
        <w:rPr>
          <w:rFonts w:hint="default" w:eastAsiaTheme="minorEastAsia"/>
          <w:lang w:val="en-US" w:eastAsia="zh-CN"/>
        </w:rPr>
      </w:pPr>
      <w:r>
        <w:rPr>
          <w:rFonts w:hint="eastAsia"/>
          <w:lang w:val="en-US" w:eastAsia="zh-CN"/>
        </w:rPr>
        <w:t>以下设备已停产</w:t>
      </w:r>
    </w:p>
  </w:comment>
  <w:comment w:id="2" w:author="「年少輕狂」" w:date="2023-10-23T15:21:32Z" w:initials="">
    <w:p w14:paraId="7DB70E4C">
      <w:pPr>
        <w:pStyle w:val="17"/>
        <w:rPr>
          <w:rFonts w:hint="default" w:eastAsiaTheme="minorEastAsia"/>
          <w:lang w:val="en-US" w:eastAsia="zh-CN"/>
        </w:rPr>
      </w:pPr>
      <w:r>
        <w:rPr>
          <w:rFonts w:hint="eastAsia"/>
          <w:lang w:val="en-US" w:eastAsia="zh-CN"/>
        </w:rPr>
        <w:t>以上设备已停产</w:t>
      </w:r>
    </w:p>
  </w:comment>
  <w:comment w:id="3" w:author="「年少輕狂」" w:date="2023-10-23T15:23:45Z" w:initials="">
    <w:p w14:paraId="0CBF57B2">
      <w:pPr>
        <w:pStyle w:val="17"/>
        <w:rPr>
          <w:rFonts w:hint="eastAsia" w:eastAsiaTheme="minorEastAsia"/>
          <w:lang w:val="en-US" w:eastAsia="zh-CN"/>
        </w:rPr>
      </w:pPr>
      <w:r>
        <w:rPr>
          <w:rFonts w:hint="eastAsia"/>
          <w:lang w:val="en-US" w:eastAsia="zh-CN"/>
        </w:rPr>
        <w:t>已更改</w:t>
      </w:r>
    </w:p>
  </w:comment>
  <w:comment w:id="4" w:author="「年少輕狂」" w:date="2023-10-23T15:24:57Z" w:initials="">
    <w:p w14:paraId="1073318E">
      <w:pPr>
        <w:pStyle w:val="17"/>
        <w:rPr>
          <w:rFonts w:hint="eastAsia" w:eastAsiaTheme="minorEastAsia"/>
          <w:lang w:val="en-US" w:eastAsia="zh-CN"/>
        </w:rPr>
      </w:pPr>
      <w:r>
        <w:rPr>
          <w:rFonts w:hint="eastAsia"/>
          <w:lang w:val="en-US" w:eastAsia="zh-CN"/>
        </w:rPr>
        <w:t>已更改</w:t>
      </w:r>
    </w:p>
  </w:comment>
  <w:comment w:id="5" w:author="「年少輕狂」" w:date="2023-10-23T15:26:01Z" w:initials="">
    <w:p w14:paraId="6E24003C">
      <w:pPr>
        <w:pStyle w:val="17"/>
        <w:rPr>
          <w:rFonts w:hint="eastAsia" w:eastAsiaTheme="minorEastAsia"/>
          <w:lang w:val="en-US" w:eastAsia="zh-CN"/>
        </w:rPr>
      </w:pPr>
      <w:r>
        <w:rPr>
          <w:rFonts w:hint="eastAsia"/>
          <w:lang w:val="en-US" w:eastAsia="zh-CN"/>
        </w:rPr>
        <w:t>已更改</w:t>
      </w:r>
    </w:p>
  </w:comment>
  <w:comment w:id="6" w:author="「年少輕狂」" w:date="2023-10-23T15:27:26Z" w:initials="">
    <w:p w14:paraId="1923048D">
      <w:pPr>
        <w:pStyle w:val="17"/>
        <w:rPr>
          <w:rFonts w:hint="eastAsia" w:eastAsiaTheme="minorEastAsia"/>
          <w:lang w:val="en-US" w:eastAsia="zh-CN"/>
        </w:rPr>
      </w:pPr>
      <w:r>
        <w:rPr>
          <w:rFonts w:hint="eastAsia"/>
          <w:lang w:val="en-US" w:eastAsia="zh-CN"/>
        </w:rPr>
        <w:t>已更改</w:t>
      </w:r>
    </w:p>
  </w:comment>
  <w:comment w:id="7" w:author="「年少輕狂」" w:date="2023-10-23T15:27:51Z" w:initials="">
    <w:p w14:paraId="3E502B61">
      <w:pPr>
        <w:pStyle w:val="17"/>
        <w:rPr>
          <w:rFonts w:hint="eastAsia" w:eastAsiaTheme="minorEastAsia"/>
          <w:lang w:val="en-US" w:eastAsia="zh-CN"/>
        </w:rPr>
      </w:pPr>
      <w:r>
        <w:rPr>
          <w:rFonts w:hint="eastAsia"/>
          <w:lang w:val="en-US" w:eastAsia="zh-CN"/>
        </w:rPr>
        <w:t>已更改</w:t>
      </w:r>
    </w:p>
  </w:comment>
  <w:comment w:id="8" w:author="「年少輕狂」" w:date="2023-10-23T15:29:22Z" w:initials="">
    <w:p w14:paraId="293C3B7D">
      <w:pPr>
        <w:pStyle w:val="17"/>
        <w:rPr>
          <w:rFonts w:hint="eastAsia" w:eastAsiaTheme="minorEastAsia"/>
          <w:lang w:val="en-US" w:eastAsia="zh-CN"/>
        </w:rPr>
      </w:pPr>
      <w:r>
        <w:rPr>
          <w:rFonts w:hint="eastAsia"/>
          <w:lang w:val="en-US" w:eastAsia="zh-CN"/>
        </w:rPr>
        <w:t>已更改</w:t>
      </w:r>
    </w:p>
  </w:comment>
  <w:comment w:id="9" w:author="「年少輕狂」" w:date="2023-10-23T15:29:47Z" w:initials="">
    <w:p w14:paraId="176D5A97">
      <w:pPr>
        <w:pStyle w:val="17"/>
        <w:rPr>
          <w:rFonts w:hint="eastAsia" w:eastAsiaTheme="minorEastAsia"/>
          <w:lang w:val="en-US" w:eastAsia="zh-CN"/>
        </w:rPr>
      </w:pPr>
      <w:r>
        <w:rPr>
          <w:rFonts w:hint="eastAsia"/>
          <w:lang w:val="en-US" w:eastAsia="zh-CN"/>
        </w:rPr>
        <w:t>已更改</w:t>
      </w:r>
    </w:p>
  </w:comment>
  <w:comment w:id="10" w:author="「年少輕狂」" w:date="2023-10-23T15:32:34Z" w:initials="">
    <w:p w14:paraId="12706C29">
      <w:pPr>
        <w:pStyle w:val="17"/>
        <w:rPr>
          <w:rFonts w:hint="eastAsia" w:eastAsiaTheme="minorEastAsia"/>
          <w:lang w:val="en-US" w:eastAsia="zh-CN"/>
        </w:rPr>
      </w:pPr>
      <w:r>
        <w:rPr>
          <w:rFonts w:hint="eastAsia"/>
          <w:lang w:val="en-US" w:eastAsia="zh-CN"/>
        </w:rPr>
        <w:t>已更改</w:t>
      </w:r>
    </w:p>
  </w:comment>
  <w:comment w:id="11" w:author="「年少輕狂」" w:date="2023-10-23T15:32:21Z" w:initials="">
    <w:p w14:paraId="6FEB1F94">
      <w:pPr>
        <w:pStyle w:val="17"/>
        <w:rPr>
          <w:rFonts w:hint="eastAsia" w:eastAsiaTheme="minorEastAsia"/>
          <w:lang w:val="en-US" w:eastAsia="zh-CN"/>
        </w:rPr>
      </w:pPr>
      <w:r>
        <w:rPr>
          <w:rFonts w:hint="eastAsia"/>
          <w:lang w:val="en-US" w:eastAsia="zh-CN"/>
        </w:rPr>
        <w:t>已更改</w:t>
      </w:r>
    </w:p>
  </w:comment>
  <w:comment w:id="12" w:author="「年少輕狂」" w:date="2023-10-23T15:32:55Z" w:initials="">
    <w:p w14:paraId="4EC87093">
      <w:pPr>
        <w:pStyle w:val="17"/>
        <w:rPr>
          <w:rFonts w:hint="eastAsia" w:eastAsiaTheme="minorEastAsia"/>
          <w:lang w:val="en-US" w:eastAsia="zh-CN"/>
        </w:rPr>
      </w:pPr>
      <w:r>
        <w:rPr>
          <w:rFonts w:hint="eastAsia"/>
          <w:lang w:val="en-US" w:eastAsia="zh-CN"/>
        </w:rPr>
        <w:t>已更改</w:t>
      </w:r>
    </w:p>
  </w:comment>
  <w:comment w:id="13" w:author="「年少輕狂」" w:date="2023-10-23T15:33:11Z" w:initials="">
    <w:p w14:paraId="632F3410">
      <w:pPr>
        <w:pStyle w:val="17"/>
        <w:rPr>
          <w:rFonts w:hint="eastAsia" w:eastAsiaTheme="minorEastAsia"/>
          <w:lang w:val="en-US" w:eastAsia="zh-CN"/>
        </w:rPr>
      </w:pPr>
      <w:r>
        <w:rPr>
          <w:rFonts w:hint="eastAsia"/>
          <w:lang w:val="en-US" w:eastAsia="zh-CN"/>
        </w:rPr>
        <w:t>已更改</w:t>
      </w:r>
    </w:p>
  </w:comment>
  <w:comment w:id="14" w:author="「年少輕狂」" w:date="2023-10-23T15:33:37Z" w:initials="">
    <w:p w14:paraId="2EF25CDA">
      <w:pPr>
        <w:pStyle w:val="17"/>
        <w:rPr>
          <w:rFonts w:hint="eastAsia" w:eastAsiaTheme="minorEastAsia"/>
          <w:lang w:val="en-US" w:eastAsia="zh-CN"/>
        </w:rPr>
      </w:pPr>
      <w:r>
        <w:rPr>
          <w:rFonts w:hint="eastAsia"/>
          <w:lang w:val="en-US" w:eastAsia="zh-CN"/>
        </w:rPr>
        <w:t>已更改</w:t>
      </w:r>
    </w:p>
  </w:comment>
  <w:comment w:id="15" w:author="「年少輕狂」" w:date="2023-10-23T15:33:58Z" w:initials="">
    <w:p w14:paraId="72893ECC">
      <w:pPr>
        <w:pStyle w:val="17"/>
        <w:rPr>
          <w:rFonts w:hint="eastAsia" w:eastAsiaTheme="minorEastAsia"/>
          <w:lang w:val="en-US" w:eastAsia="zh-CN"/>
        </w:rPr>
      </w:pPr>
      <w:r>
        <w:rPr>
          <w:rFonts w:hint="eastAsia"/>
          <w:lang w:val="en-US" w:eastAsia="zh-CN"/>
        </w:rPr>
        <w:t>已更改</w:t>
      </w:r>
    </w:p>
  </w:comment>
  <w:comment w:id="16" w:author="「年少輕狂」" w:date="2023-10-24T08:24:48Z" w:initials="">
    <w:p w14:paraId="42DC0C61">
      <w:pPr>
        <w:pStyle w:val="17"/>
        <w:rPr>
          <w:rFonts w:hint="eastAsia" w:eastAsiaTheme="minorEastAsia"/>
          <w:lang w:val="en-US" w:eastAsia="zh-CN"/>
        </w:rPr>
      </w:pPr>
      <w:r>
        <w:rPr>
          <w:rFonts w:hint="eastAsia"/>
          <w:lang w:val="en-US" w:eastAsia="zh-CN"/>
        </w:rPr>
        <w:t>已更改</w:t>
      </w:r>
      <w:bookmarkStart w:id="796" w:name="_GoBack"/>
      <w:bookmarkEnd w:id="796"/>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39E934C5" w15:done="0"/>
  <w15:commentEx w15:paraId="37BF7207" w15:done="0"/>
  <w15:commentEx w15:paraId="7DB70E4C" w15:done="0"/>
  <w15:commentEx w15:paraId="0CBF57B2" w15:done="0"/>
  <w15:commentEx w15:paraId="1073318E" w15:done="0"/>
  <w15:commentEx w15:paraId="6E24003C" w15:done="0"/>
  <w15:commentEx w15:paraId="1923048D" w15:done="0"/>
  <w15:commentEx w15:paraId="3E502B61" w15:done="0"/>
  <w15:commentEx w15:paraId="293C3B7D" w15:done="0"/>
  <w15:commentEx w15:paraId="176D5A97" w15:done="0"/>
  <w15:commentEx w15:paraId="12706C29" w15:done="0"/>
  <w15:commentEx w15:paraId="6FEB1F94" w15:done="0"/>
  <w15:commentEx w15:paraId="4EC87093" w15:done="0"/>
  <w15:commentEx w15:paraId="632F3410" w15:done="0"/>
  <w15:commentEx w15:paraId="2EF25CDA" w15:done="0"/>
  <w15:commentEx w15:paraId="72893ECC" w15:done="0"/>
  <w15:commentEx w15:paraId="42DC0C61"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T Song">
    <w:altName w:val="宋体"/>
    <w:panose1 w:val="00000000000000000000"/>
    <w:charset w:val="86"/>
    <w:family w:val="roma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仿宋体">
    <w:altName w:val="宋体"/>
    <w:panose1 w:val="00000000000000000000"/>
    <w:charset w:val="86"/>
    <w:family w:val="roman"/>
    <w:pitch w:val="default"/>
    <w:sig w:usb0="00000000" w:usb1="00000000" w:usb2="00000010" w:usb3="00000000" w:csb0="00040000" w:csb1="00000000"/>
  </w:font>
  <w:font w:name="Osaka">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华康简宋">
    <w:altName w:val="宋体"/>
    <w:panose1 w:val="00000000000000000000"/>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top w:val="single" w:color="auto" w:sz="4" w:space="1"/>
      </w:pBdr>
      <w:ind w:right="32"/>
      <w:rPr>
        <w:rFonts w:eastAsia="仿宋_GB23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top w:val="single" w:color="auto" w:sz="4" w:space="1"/>
      </w:pBdr>
      <w:ind w:right="32"/>
      <w:rPr>
        <w:rFonts w:eastAsia="仿宋_GB231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tabs>
        <w:tab w:val="center" w:pos="4535"/>
        <w:tab w:val="clear" w:pos="4153"/>
        <w:tab w:val="clear" w:pos="8306"/>
      </w:tabs>
      <w:jc w:val="both"/>
    </w:pPr>
    <w: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2"/>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g2+aU5AgAAc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Mg2+aU5AgAAcQQAAA4AAAAAAAAAAQAgAAAAHwEAAGRycy9lMm9Eb2Mu&#10;eG1sUEsFBgAAAAAGAAYAWQEAAMoFAAAAAA==&#10;">
              <v:fill on="f" focussize="0,0"/>
              <v:stroke on="f" weight="0.5pt"/>
              <v:imagedata o:title=""/>
              <o:lock v:ext="edit" aspectratio="f"/>
              <v:textbox inset="0mm,0mm,0mm,0mm" style="mso-fit-shape-to-text:t;">
                <w:txbxContent>
                  <w:p>
                    <w:pPr>
                      <w:pStyle w:val="32"/>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top w:val="single" w:color="auto" w:sz="4" w:space="0"/>
      </w:pBdr>
      <w:ind w:right="32" w:firstLine="42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2"/>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W1u+M4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pbW74zgCAABxBAAADgAAAAAAAAABACAAAAAfAQAAZHJzL2Uyb0RvYy54&#10;bWxQSwUGAAAAAAYABgBZAQAAyQUAAAAA&#10;">
              <v:fill on="f" focussize="0,0"/>
              <v:stroke on="f" weight="0.5pt"/>
              <v:imagedata o:title=""/>
              <o:lock v:ext="edit" aspectratio="f"/>
              <v:textbox inset="0mm,0mm,0mm,0mm" style="mso-fit-shape-to-text:t;">
                <w:txbxContent>
                  <w:p>
                    <w:pPr>
                      <w:pStyle w:val="32"/>
                    </w:pPr>
                    <w:r>
                      <w:fldChar w:fldCharType="begin"/>
                    </w:r>
                    <w:r>
                      <w:instrText xml:space="preserve"> PAGE  \* MERGEFORMAT </w:instrText>
                    </w:r>
                    <w:r>
                      <w:fldChar w:fldCharType="separate"/>
                    </w:r>
                    <w:r>
                      <w:t>59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Bdr>
        <w:bottom w:val="single" w:color="auto" w:sz="4" w:space="1"/>
      </w:pBdr>
      <w:rPr>
        <w:rFonts w:ascii="仿宋_GB2312" w:eastAsia="仿宋_GB2312"/>
      </w:rPr>
    </w:pPr>
    <w:r>
      <w:rPr>
        <w:rFonts w:hint="eastAsia" w:ascii="仿宋_GB2312" w:eastAsia="仿宋_GB2312"/>
        <w:lang w:eastAsia="zh-CN"/>
      </w:rPr>
      <w:t>创维视芯电子（宜春)有限公司</w:t>
    </w:r>
    <w:r>
      <w:rPr>
        <w:rFonts w:hint="eastAsia" w:ascii="仿宋_GB2312" w:eastAsia="仿宋_GB2312"/>
      </w:rPr>
      <w:t>突发环境事件应急预案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A42744"/>
    <w:multiLevelType w:val="singleLevel"/>
    <w:tmpl w:val="8DA42744"/>
    <w:lvl w:ilvl="0" w:tentative="0">
      <w:start w:val="1"/>
      <w:numFmt w:val="decimal"/>
      <w:suff w:val="nothing"/>
      <w:lvlText w:val="%1、"/>
      <w:lvlJc w:val="left"/>
    </w:lvl>
  </w:abstractNum>
  <w:abstractNum w:abstractNumId="1">
    <w:nsid w:val="B9B56515"/>
    <w:multiLevelType w:val="singleLevel"/>
    <w:tmpl w:val="B9B56515"/>
    <w:lvl w:ilvl="0" w:tentative="0">
      <w:start w:val="2"/>
      <w:numFmt w:val="decimal"/>
      <w:suff w:val="nothing"/>
      <w:lvlText w:val="（%1）"/>
      <w:lvlJc w:val="left"/>
    </w:lvl>
  </w:abstractNum>
  <w:abstractNum w:abstractNumId="2">
    <w:nsid w:val="157A70A4"/>
    <w:multiLevelType w:val="singleLevel"/>
    <w:tmpl w:val="157A70A4"/>
    <w:lvl w:ilvl="0" w:tentative="0">
      <w:start w:val="2"/>
      <w:numFmt w:val="decimal"/>
      <w:suff w:val="space"/>
      <w:lvlText w:val="(%1)"/>
      <w:lvlJc w:val="left"/>
    </w:lvl>
  </w:abstractNum>
  <w:abstractNum w:abstractNumId="3">
    <w:nsid w:val="2C682AC6"/>
    <w:multiLevelType w:val="singleLevel"/>
    <w:tmpl w:val="2C682AC6"/>
    <w:lvl w:ilvl="0" w:tentative="0">
      <w:start w:val="9"/>
      <w:numFmt w:val="decimal"/>
      <w:suff w:val="nothing"/>
      <w:lvlText w:val="%1、"/>
      <w:lvlJc w:val="left"/>
    </w:lvl>
  </w:abstractNum>
  <w:abstractNum w:abstractNumId="4">
    <w:nsid w:val="34707C73"/>
    <w:multiLevelType w:val="multilevel"/>
    <w:tmpl w:val="34707C73"/>
    <w:lvl w:ilvl="0" w:tentative="0">
      <w:start w:val="1"/>
      <w:numFmt w:val="bullet"/>
      <w:lvlText w:val=""/>
      <w:lvlJc w:val="left"/>
      <w:pPr>
        <w:tabs>
          <w:tab w:val="left" w:pos="284"/>
        </w:tabs>
        <w:ind w:left="284" w:hanging="284"/>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35B92AC9"/>
    <w:multiLevelType w:val="multilevel"/>
    <w:tmpl w:val="35B92AC9"/>
    <w:lvl w:ilvl="0" w:tentative="0">
      <w:start w:val="1"/>
      <w:numFmt w:val="decimal"/>
      <w:lvlText w:val="（%1）"/>
      <w:lvlJc w:val="left"/>
      <w:pPr>
        <w:tabs>
          <w:tab w:val="left" w:pos="1275"/>
        </w:tabs>
        <w:ind w:left="1275" w:hanging="720"/>
      </w:pPr>
      <w:rPr>
        <w:rFonts w:hint="default"/>
      </w:rPr>
    </w:lvl>
    <w:lvl w:ilvl="1" w:tentative="0">
      <w:start w:val="1"/>
      <w:numFmt w:val="lowerLetter"/>
      <w:lvlText w:val="%2)"/>
      <w:lvlJc w:val="left"/>
      <w:pPr>
        <w:tabs>
          <w:tab w:val="left" w:pos="1395"/>
        </w:tabs>
        <w:ind w:left="1395" w:hanging="420"/>
      </w:pPr>
    </w:lvl>
    <w:lvl w:ilvl="2" w:tentative="0">
      <w:start w:val="1"/>
      <w:numFmt w:val="lowerRoman"/>
      <w:lvlText w:val="%3."/>
      <w:lvlJc w:val="right"/>
      <w:pPr>
        <w:tabs>
          <w:tab w:val="left" w:pos="1815"/>
        </w:tabs>
        <w:ind w:left="1815" w:hanging="420"/>
      </w:pPr>
    </w:lvl>
    <w:lvl w:ilvl="3" w:tentative="0">
      <w:start w:val="1"/>
      <w:numFmt w:val="decimal"/>
      <w:lvlText w:val="%4."/>
      <w:lvlJc w:val="left"/>
      <w:pPr>
        <w:tabs>
          <w:tab w:val="left" w:pos="2235"/>
        </w:tabs>
        <w:ind w:left="2235" w:hanging="420"/>
      </w:pPr>
    </w:lvl>
    <w:lvl w:ilvl="4" w:tentative="0">
      <w:start w:val="1"/>
      <w:numFmt w:val="lowerLetter"/>
      <w:lvlText w:val="%5)"/>
      <w:lvlJc w:val="left"/>
      <w:pPr>
        <w:tabs>
          <w:tab w:val="left" w:pos="2655"/>
        </w:tabs>
        <w:ind w:left="2655" w:hanging="420"/>
      </w:pPr>
    </w:lvl>
    <w:lvl w:ilvl="5" w:tentative="0">
      <w:start w:val="1"/>
      <w:numFmt w:val="lowerRoman"/>
      <w:lvlText w:val="%6."/>
      <w:lvlJc w:val="right"/>
      <w:pPr>
        <w:tabs>
          <w:tab w:val="left" w:pos="3075"/>
        </w:tabs>
        <w:ind w:left="3075" w:hanging="420"/>
      </w:pPr>
    </w:lvl>
    <w:lvl w:ilvl="6" w:tentative="0">
      <w:start w:val="1"/>
      <w:numFmt w:val="decimal"/>
      <w:lvlText w:val="%7."/>
      <w:lvlJc w:val="left"/>
      <w:pPr>
        <w:tabs>
          <w:tab w:val="left" w:pos="3495"/>
        </w:tabs>
        <w:ind w:left="3495" w:hanging="420"/>
      </w:pPr>
    </w:lvl>
    <w:lvl w:ilvl="7" w:tentative="0">
      <w:start w:val="1"/>
      <w:numFmt w:val="lowerLetter"/>
      <w:lvlText w:val="%8)"/>
      <w:lvlJc w:val="left"/>
      <w:pPr>
        <w:tabs>
          <w:tab w:val="left" w:pos="3915"/>
        </w:tabs>
        <w:ind w:left="3915" w:hanging="420"/>
      </w:pPr>
    </w:lvl>
    <w:lvl w:ilvl="8" w:tentative="0">
      <w:start w:val="1"/>
      <w:numFmt w:val="lowerRoman"/>
      <w:lvlText w:val="%9."/>
      <w:lvlJc w:val="right"/>
      <w:pPr>
        <w:tabs>
          <w:tab w:val="left" w:pos="4335"/>
        </w:tabs>
        <w:ind w:left="4335" w:hanging="420"/>
      </w:pPr>
    </w:lvl>
  </w:abstractNum>
  <w:abstractNum w:abstractNumId="6">
    <w:nsid w:val="404F6694"/>
    <w:multiLevelType w:val="multilevel"/>
    <w:tmpl w:val="404F6694"/>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4ADD366D"/>
    <w:multiLevelType w:val="multilevel"/>
    <w:tmpl w:val="4ADD366D"/>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pStyle w:val="9"/>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pStyle w:val="11"/>
      <w:lvlText w:val="%1.%2.%3.%4.%5.%6.%7.%8.%9"/>
      <w:lvlJc w:val="left"/>
      <w:pPr>
        <w:tabs>
          <w:tab w:val="left" w:pos="1584"/>
        </w:tabs>
        <w:ind w:left="1584" w:hanging="1584"/>
      </w:pPr>
    </w:lvl>
  </w:abstractNum>
  <w:abstractNum w:abstractNumId="8">
    <w:nsid w:val="71D65BF1"/>
    <w:multiLevelType w:val="multilevel"/>
    <w:tmpl w:val="71D65BF1"/>
    <w:lvl w:ilvl="0" w:tentative="0">
      <w:start w:val="1"/>
      <w:numFmt w:val="decimal"/>
      <w:lvlText w:val="（%1）"/>
      <w:lvlJc w:val="left"/>
      <w:pPr>
        <w:tabs>
          <w:tab w:val="left" w:pos="1275"/>
        </w:tabs>
        <w:ind w:left="1275" w:hanging="720"/>
      </w:pPr>
      <w:rPr>
        <w:rFonts w:hint="default"/>
      </w:rPr>
    </w:lvl>
    <w:lvl w:ilvl="1" w:tentative="0">
      <w:start w:val="1"/>
      <w:numFmt w:val="lowerLetter"/>
      <w:lvlText w:val="%2)"/>
      <w:lvlJc w:val="left"/>
      <w:pPr>
        <w:tabs>
          <w:tab w:val="left" w:pos="1395"/>
        </w:tabs>
        <w:ind w:left="1395" w:hanging="420"/>
      </w:pPr>
    </w:lvl>
    <w:lvl w:ilvl="2" w:tentative="0">
      <w:start w:val="1"/>
      <w:numFmt w:val="lowerRoman"/>
      <w:lvlText w:val="%3."/>
      <w:lvlJc w:val="right"/>
      <w:pPr>
        <w:tabs>
          <w:tab w:val="left" w:pos="1815"/>
        </w:tabs>
        <w:ind w:left="1815" w:hanging="420"/>
      </w:pPr>
    </w:lvl>
    <w:lvl w:ilvl="3" w:tentative="0">
      <w:start w:val="1"/>
      <w:numFmt w:val="decimal"/>
      <w:lvlText w:val="%4."/>
      <w:lvlJc w:val="left"/>
      <w:pPr>
        <w:tabs>
          <w:tab w:val="left" w:pos="2235"/>
        </w:tabs>
        <w:ind w:left="2235" w:hanging="420"/>
      </w:pPr>
    </w:lvl>
    <w:lvl w:ilvl="4" w:tentative="0">
      <w:start w:val="1"/>
      <w:numFmt w:val="lowerLetter"/>
      <w:lvlText w:val="%5)"/>
      <w:lvlJc w:val="left"/>
      <w:pPr>
        <w:tabs>
          <w:tab w:val="left" w:pos="2655"/>
        </w:tabs>
        <w:ind w:left="2655" w:hanging="420"/>
      </w:pPr>
    </w:lvl>
    <w:lvl w:ilvl="5" w:tentative="0">
      <w:start w:val="1"/>
      <w:numFmt w:val="lowerRoman"/>
      <w:lvlText w:val="%6."/>
      <w:lvlJc w:val="right"/>
      <w:pPr>
        <w:tabs>
          <w:tab w:val="left" w:pos="3075"/>
        </w:tabs>
        <w:ind w:left="3075" w:hanging="420"/>
      </w:pPr>
    </w:lvl>
    <w:lvl w:ilvl="6" w:tentative="0">
      <w:start w:val="1"/>
      <w:numFmt w:val="decimal"/>
      <w:lvlText w:val="%7."/>
      <w:lvlJc w:val="left"/>
      <w:pPr>
        <w:tabs>
          <w:tab w:val="left" w:pos="3495"/>
        </w:tabs>
        <w:ind w:left="3495" w:hanging="420"/>
      </w:pPr>
    </w:lvl>
    <w:lvl w:ilvl="7" w:tentative="0">
      <w:start w:val="1"/>
      <w:numFmt w:val="lowerLetter"/>
      <w:lvlText w:val="%8)"/>
      <w:lvlJc w:val="left"/>
      <w:pPr>
        <w:tabs>
          <w:tab w:val="left" w:pos="3915"/>
        </w:tabs>
        <w:ind w:left="3915" w:hanging="420"/>
      </w:pPr>
    </w:lvl>
    <w:lvl w:ilvl="8" w:tentative="0">
      <w:start w:val="1"/>
      <w:numFmt w:val="lowerRoman"/>
      <w:lvlText w:val="%9."/>
      <w:lvlJc w:val="right"/>
      <w:pPr>
        <w:tabs>
          <w:tab w:val="left" w:pos="4335"/>
        </w:tabs>
        <w:ind w:left="4335" w:hanging="420"/>
      </w:pPr>
    </w:lvl>
  </w:abstractNum>
  <w:abstractNum w:abstractNumId="9">
    <w:nsid w:val="750B4B53"/>
    <w:multiLevelType w:val="singleLevel"/>
    <w:tmpl w:val="750B4B53"/>
    <w:lvl w:ilvl="0" w:tentative="0">
      <w:start w:val="2"/>
      <w:numFmt w:val="decimal"/>
      <w:suff w:val="nothing"/>
      <w:lvlText w:val="（%1）"/>
      <w:lvlJc w:val="left"/>
    </w:lvl>
  </w:abstractNum>
  <w:num w:numId="1">
    <w:abstractNumId w:val="7"/>
  </w:num>
  <w:num w:numId="2">
    <w:abstractNumId w:val="3"/>
  </w:num>
  <w:num w:numId="3">
    <w:abstractNumId w:val="9"/>
  </w:num>
  <w:num w:numId="4">
    <w:abstractNumId w:val="1"/>
  </w:num>
  <w:num w:numId="5">
    <w:abstractNumId w:val="0"/>
  </w:num>
  <w:num w:numId="6">
    <w:abstractNumId w:val="5"/>
  </w:num>
  <w:num w:numId="7">
    <w:abstractNumId w:val="8"/>
  </w:num>
  <w:num w:numId="8">
    <w:abstractNumId w:val="2"/>
  </w:num>
  <w:num w:numId="9">
    <w:abstractNumId w:val="4"/>
  </w:num>
  <w:num w:numId="10">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年少輕狂」">
    <w15:presenceInfo w15:providerId="WPS Office" w15:userId="40266383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70"/>
  <w:bordersDoNotSurroundHeader w:val="0"/>
  <w:bordersDoNotSurroundFooter w:val="0"/>
  <w:hideSpellingErrors/>
  <w:hideGrammatical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Y1NzYxYzJkMWFkMWFiOGFiMDFhYjk4OWI4ZjJiNzgifQ=="/>
  </w:docVars>
  <w:rsids>
    <w:rsidRoot w:val="007E0FEC"/>
    <w:rsid w:val="0000002F"/>
    <w:rsid w:val="000025B3"/>
    <w:rsid w:val="00003B03"/>
    <w:rsid w:val="00005B43"/>
    <w:rsid w:val="000162DC"/>
    <w:rsid w:val="000205D3"/>
    <w:rsid w:val="00027240"/>
    <w:rsid w:val="0003226B"/>
    <w:rsid w:val="00035BAC"/>
    <w:rsid w:val="0004614C"/>
    <w:rsid w:val="00060E2A"/>
    <w:rsid w:val="00063F98"/>
    <w:rsid w:val="0006677F"/>
    <w:rsid w:val="0007195B"/>
    <w:rsid w:val="00083F91"/>
    <w:rsid w:val="00085A8E"/>
    <w:rsid w:val="00090652"/>
    <w:rsid w:val="00097C35"/>
    <w:rsid w:val="000A5133"/>
    <w:rsid w:val="000A79BE"/>
    <w:rsid w:val="000C4EA2"/>
    <w:rsid w:val="000D0FE4"/>
    <w:rsid w:val="000D4DF5"/>
    <w:rsid w:val="000F674C"/>
    <w:rsid w:val="001001B9"/>
    <w:rsid w:val="00104E99"/>
    <w:rsid w:val="001107A3"/>
    <w:rsid w:val="001313FD"/>
    <w:rsid w:val="00136E07"/>
    <w:rsid w:val="00137B0C"/>
    <w:rsid w:val="00141CEE"/>
    <w:rsid w:val="0014454E"/>
    <w:rsid w:val="001459ED"/>
    <w:rsid w:val="00147124"/>
    <w:rsid w:val="00147929"/>
    <w:rsid w:val="0015678B"/>
    <w:rsid w:val="00166247"/>
    <w:rsid w:val="00170FF1"/>
    <w:rsid w:val="001715C7"/>
    <w:rsid w:val="00182348"/>
    <w:rsid w:val="001925BB"/>
    <w:rsid w:val="00197C84"/>
    <w:rsid w:val="001A087F"/>
    <w:rsid w:val="001A2A08"/>
    <w:rsid w:val="001B43ED"/>
    <w:rsid w:val="001B611E"/>
    <w:rsid w:val="001B7B27"/>
    <w:rsid w:val="001C1F7B"/>
    <w:rsid w:val="001C57C8"/>
    <w:rsid w:val="001C6B5D"/>
    <w:rsid w:val="001D6599"/>
    <w:rsid w:val="001E0742"/>
    <w:rsid w:val="001F40E2"/>
    <w:rsid w:val="00236E2C"/>
    <w:rsid w:val="00263E3C"/>
    <w:rsid w:val="0026411F"/>
    <w:rsid w:val="002645A5"/>
    <w:rsid w:val="002649E5"/>
    <w:rsid w:val="00265F68"/>
    <w:rsid w:val="00281FD6"/>
    <w:rsid w:val="00291681"/>
    <w:rsid w:val="0029717F"/>
    <w:rsid w:val="002B0941"/>
    <w:rsid w:val="002B4487"/>
    <w:rsid w:val="002B4F3D"/>
    <w:rsid w:val="002B5904"/>
    <w:rsid w:val="002B75D3"/>
    <w:rsid w:val="002C1165"/>
    <w:rsid w:val="002C4A21"/>
    <w:rsid w:val="002D0BB9"/>
    <w:rsid w:val="002D1678"/>
    <w:rsid w:val="002D3C71"/>
    <w:rsid w:val="002D48C7"/>
    <w:rsid w:val="002D5481"/>
    <w:rsid w:val="002E527B"/>
    <w:rsid w:val="002E64BE"/>
    <w:rsid w:val="002F1BAB"/>
    <w:rsid w:val="00305F46"/>
    <w:rsid w:val="00310BD8"/>
    <w:rsid w:val="00310D6B"/>
    <w:rsid w:val="00310F4D"/>
    <w:rsid w:val="00314762"/>
    <w:rsid w:val="00315E70"/>
    <w:rsid w:val="003249E5"/>
    <w:rsid w:val="0032669B"/>
    <w:rsid w:val="003357FC"/>
    <w:rsid w:val="003612F4"/>
    <w:rsid w:val="00363FBB"/>
    <w:rsid w:val="00364D78"/>
    <w:rsid w:val="00370C0A"/>
    <w:rsid w:val="003732AA"/>
    <w:rsid w:val="00374A27"/>
    <w:rsid w:val="00374F9B"/>
    <w:rsid w:val="003816DA"/>
    <w:rsid w:val="00397BE3"/>
    <w:rsid w:val="003B16D1"/>
    <w:rsid w:val="003B6DBB"/>
    <w:rsid w:val="003C202D"/>
    <w:rsid w:val="003C37A2"/>
    <w:rsid w:val="003C53E4"/>
    <w:rsid w:val="003C5FF7"/>
    <w:rsid w:val="003C6916"/>
    <w:rsid w:val="003D2704"/>
    <w:rsid w:val="003D431C"/>
    <w:rsid w:val="003E006D"/>
    <w:rsid w:val="003E2AF3"/>
    <w:rsid w:val="003E47CC"/>
    <w:rsid w:val="003F2D6A"/>
    <w:rsid w:val="0042093A"/>
    <w:rsid w:val="004220D3"/>
    <w:rsid w:val="004360AE"/>
    <w:rsid w:val="00442A83"/>
    <w:rsid w:val="00444C47"/>
    <w:rsid w:val="00454816"/>
    <w:rsid w:val="00462BFD"/>
    <w:rsid w:val="00462F47"/>
    <w:rsid w:val="00463198"/>
    <w:rsid w:val="00471A83"/>
    <w:rsid w:val="00476B60"/>
    <w:rsid w:val="004837D0"/>
    <w:rsid w:val="00490DBA"/>
    <w:rsid w:val="004A1EBD"/>
    <w:rsid w:val="004A672D"/>
    <w:rsid w:val="004B3C28"/>
    <w:rsid w:val="004C5C40"/>
    <w:rsid w:val="004D09C8"/>
    <w:rsid w:val="004D141B"/>
    <w:rsid w:val="004D3644"/>
    <w:rsid w:val="004D4F11"/>
    <w:rsid w:val="004D6A70"/>
    <w:rsid w:val="004D7BD4"/>
    <w:rsid w:val="004E62C9"/>
    <w:rsid w:val="004F228E"/>
    <w:rsid w:val="0051252A"/>
    <w:rsid w:val="0051491C"/>
    <w:rsid w:val="005218D7"/>
    <w:rsid w:val="005238EC"/>
    <w:rsid w:val="00524676"/>
    <w:rsid w:val="005251C9"/>
    <w:rsid w:val="005252DC"/>
    <w:rsid w:val="005258CA"/>
    <w:rsid w:val="005263B4"/>
    <w:rsid w:val="00531150"/>
    <w:rsid w:val="00536319"/>
    <w:rsid w:val="00547ABE"/>
    <w:rsid w:val="005523C9"/>
    <w:rsid w:val="00552F4A"/>
    <w:rsid w:val="00553F7E"/>
    <w:rsid w:val="0056119A"/>
    <w:rsid w:val="00562A46"/>
    <w:rsid w:val="00564D3A"/>
    <w:rsid w:val="00580BB3"/>
    <w:rsid w:val="00581067"/>
    <w:rsid w:val="00582853"/>
    <w:rsid w:val="0059459D"/>
    <w:rsid w:val="00596609"/>
    <w:rsid w:val="00596E34"/>
    <w:rsid w:val="005A61D4"/>
    <w:rsid w:val="005A741F"/>
    <w:rsid w:val="005B33DB"/>
    <w:rsid w:val="005B4F54"/>
    <w:rsid w:val="005C1862"/>
    <w:rsid w:val="005C2663"/>
    <w:rsid w:val="005C2A3E"/>
    <w:rsid w:val="005C389C"/>
    <w:rsid w:val="005C40DE"/>
    <w:rsid w:val="005D072D"/>
    <w:rsid w:val="005D13CA"/>
    <w:rsid w:val="005E048A"/>
    <w:rsid w:val="005E3F8F"/>
    <w:rsid w:val="005F3395"/>
    <w:rsid w:val="005F393F"/>
    <w:rsid w:val="00631171"/>
    <w:rsid w:val="00632BE9"/>
    <w:rsid w:val="006335BE"/>
    <w:rsid w:val="006359D2"/>
    <w:rsid w:val="00635F9D"/>
    <w:rsid w:val="00642CDB"/>
    <w:rsid w:val="00645ACB"/>
    <w:rsid w:val="00647BCC"/>
    <w:rsid w:val="00661649"/>
    <w:rsid w:val="00663544"/>
    <w:rsid w:val="00675887"/>
    <w:rsid w:val="00686BA5"/>
    <w:rsid w:val="00693FEB"/>
    <w:rsid w:val="00697A52"/>
    <w:rsid w:val="006A3CD7"/>
    <w:rsid w:val="006A6159"/>
    <w:rsid w:val="006B4AE4"/>
    <w:rsid w:val="006C1EE7"/>
    <w:rsid w:val="006C4BEF"/>
    <w:rsid w:val="006C4D56"/>
    <w:rsid w:val="006C5CC9"/>
    <w:rsid w:val="006D22B1"/>
    <w:rsid w:val="006D34F3"/>
    <w:rsid w:val="006D5629"/>
    <w:rsid w:val="006E3681"/>
    <w:rsid w:val="006F50B8"/>
    <w:rsid w:val="006F652C"/>
    <w:rsid w:val="007165F2"/>
    <w:rsid w:val="00716AA8"/>
    <w:rsid w:val="00722B18"/>
    <w:rsid w:val="00734657"/>
    <w:rsid w:val="00740FE3"/>
    <w:rsid w:val="00741539"/>
    <w:rsid w:val="00744A6B"/>
    <w:rsid w:val="0074607C"/>
    <w:rsid w:val="007521F4"/>
    <w:rsid w:val="00753701"/>
    <w:rsid w:val="007654EB"/>
    <w:rsid w:val="00765E17"/>
    <w:rsid w:val="00766747"/>
    <w:rsid w:val="00783F2F"/>
    <w:rsid w:val="007A18D8"/>
    <w:rsid w:val="007A4720"/>
    <w:rsid w:val="007A4F2E"/>
    <w:rsid w:val="007A69D3"/>
    <w:rsid w:val="007B0D0C"/>
    <w:rsid w:val="007B1BF4"/>
    <w:rsid w:val="007B234C"/>
    <w:rsid w:val="007B4E5A"/>
    <w:rsid w:val="007B5372"/>
    <w:rsid w:val="007C000A"/>
    <w:rsid w:val="007C1BD7"/>
    <w:rsid w:val="007D1AA0"/>
    <w:rsid w:val="007D572A"/>
    <w:rsid w:val="007E076C"/>
    <w:rsid w:val="007E0FEC"/>
    <w:rsid w:val="007E4C6B"/>
    <w:rsid w:val="007F287D"/>
    <w:rsid w:val="007F3798"/>
    <w:rsid w:val="007F453B"/>
    <w:rsid w:val="007F5C03"/>
    <w:rsid w:val="007F7EF3"/>
    <w:rsid w:val="008004C8"/>
    <w:rsid w:val="00802033"/>
    <w:rsid w:val="00803589"/>
    <w:rsid w:val="00803B8B"/>
    <w:rsid w:val="00812637"/>
    <w:rsid w:val="00827DAD"/>
    <w:rsid w:val="00832E0E"/>
    <w:rsid w:val="008412A0"/>
    <w:rsid w:val="00841516"/>
    <w:rsid w:val="00843DD5"/>
    <w:rsid w:val="008508C8"/>
    <w:rsid w:val="0086664B"/>
    <w:rsid w:val="00872437"/>
    <w:rsid w:val="00876048"/>
    <w:rsid w:val="00876E7A"/>
    <w:rsid w:val="0088166D"/>
    <w:rsid w:val="008872B2"/>
    <w:rsid w:val="008911F3"/>
    <w:rsid w:val="008A34F8"/>
    <w:rsid w:val="008A3727"/>
    <w:rsid w:val="008A3849"/>
    <w:rsid w:val="008A45CD"/>
    <w:rsid w:val="008A5000"/>
    <w:rsid w:val="008B06D0"/>
    <w:rsid w:val="008B16B5"/>
    <w:rsid w:val="008B762B"/>
    <w:rsid w:val="008D4D4C"/>
    <w:rsid w:val="008D518B"/>
    <w:rsid w:val="008E72DC"/>
    <w:rsid w:val="008F3F4A"/>
    <w:rsid w:val="008F7451"/>
    <w:rsid w:val="00903FA9"/>
    <w:rsid w:val="00905877"/>
    <w:rsid w:val="00905C59"/>
    <w:rsid w:val="00931FE9"/>
    <w:rsid w:val="00935FAD"/>
    <w:rsid w:val="009369CD"/>
    <w:rsid w:val="0094522F"/>
    <w:rsid w:val="00947961"/>
    <w:rsid w:val="0096439B"/>
    <w:rsid w:val="00974B73"/>
    <w:rsid w:val="00976708"/>
    <w:rsid w:val="0098746A"/>
    <w:rsid w:val="00992619"/>
    <w:rsid w:val="009A5331"/>
    <w:rsid w:val="009B2D5E"/>
    <w:rsid w:val="009C1EDE"/>
    <w:rsid w:val="009C61AD"/>
    <w:rsid w:val="009D4355"/>
    <w:rsid w:val="009D536E"/>
    <w:rsid w:val="009E53D6"/>
    <w:rsid w:val="009E6DA9"/>
    <w:rsid w:val="009F3666"/>
    <w:rsid w:val="00A01CF5"/>
    <w:rsid w:val="00A1410A"/>
    <w:rsid w:val="00A2093C"/>
    <w:rsid w:val="00A321E6"/>
    <w:rsid w:val="00A36C51"/>
    <w:rsid w:val="00A41162"/>
    <w:rsid w:val="00A454DD"/>
    <w:rsid w:val="00A57F2A"/>
    <w:rsid w:val="00A6590C"/>
    <w:rsid w:val="00A717AB"/>
    <w:rsid w:val="00A7757A"/>
    <w:rsid w:val="00A778C9"/>
    <w:rsid w:val="00A8449C"/>
    <w:rsid w:val="00A918B5"/>
    <w:rsid w:val="00A93099"/>
    <w:rsid w:val="00AA3611"/>
    <w:rsid w:val="00AA3A33"/>
    <w:rsid w:val="00AA630A"/>
    <w:rsid w:val="00AA76F1"/>
    <w:rsid w:val="00AB1185"/>
    <w:rsid w:val="00AB2092"/>
    <w:rsid w:val="00AC1DCC"/>
    <w:rsid w:val="00AD023A"/>
    <w:rsid w:val="00AD0C35"/>
    <w:rsid w:val="00AF2379"/>
    <w:rsid w:val="00AF3EE7"/>
    <w:rsid w:val="00AF5025"/>
    <w:rsid w:val="00AF7AF8"/>
    <w:rsid w:val="00B06211"/>
    <w:rsid w:val="00B073E2"/>
    <w:rsid w:val="00B23D6C"/>
    <w:rsid w:val="00B265DB"/>
    <w:rsid w:val="00B37D7B"/>
    <w:rsid w:val="00B60464"/>
    <w:rsid w:val="00B64084"/>
    <w:rsid w:val="00B65054"/>
    <w:rsid w:val="00B66FB7"/>
    <w:rsid w:val="00B67273"/>
    <w:rsid w:val="00B71087"/>
    <w:rsid w:val="00B716F8"/>
    <w:rsid w:val="00B866D2"/>
    <w:rsid w:val="00B93C4D"/>
    <w:rsid w:val="00B94AB2"/>
    <w:rsid w:val="00BC4248"/>
    <w:rsid w:val="00BD03ED"/>
    <w:rsid w:val="00BD1EEF"/>
    <w:rsid w:val="00BD223F"/>
    <w:rsid w:val="00BD2CB8"/>
    <w:rsid w:val="00BD36C5"/>
    <w:rsid w:val="00BD5D26"/>
    <w:rsid w:val="00BE0971"/>
    <w:rsid w:val="00BE16CC"/>
    <w:rsid w:val="00BE3591"/>
    <w:rsid w:val="00BE7144"/>
    <w:rsid w:val="00BF24D0"/>
    <w:rsid w:val="00BF3FF3"/>
    <w:rsid w:val="00C04FBF"/>
    <w:rsid w:val="00C07651"/>
    <w:rsid w:val="00C12C2F"/>
    <w:rsid w:val="00C153AB"/>
    <w:rsid w:val="00C16894"/>
    <w:rsid w:val="00C215A6"/>
    <w:rsid w:val="00C2443E"/>
    <w:rsid w:val="00C27454"/>
    <w:rsid w:val="00C30E06"/>
    <w:rsid w:val="00C31DFF"/>
    <w:rsid w:val="00C327F1"/>
    <w:rsid w:val="00C466CE"/>
    <w:rsid w:val="00C5485E"/>
    <w:rsid w:val="00C56F18"/>
    <w:rsid w:val="00C63087"/>
    <w:rsid w:val="00C71A30"/>
    <w:rsid w:val="00C840D1"/>
    <w:rsid w:val="00CB6195"/>
    <w:rsid w:val="00CD4426"/>
    <w:rsid w:val="00D0492F"/>
    <w:rsid w:val="00D0595C"/>
    <w:rsid w:val="00D1436B"/>
    <w:rsid w:val="00D14A47"/>
    <w:rsid w:val="00D23A9F"/>
    <w:rsid w:val="00D336A7"/>
    <w:rsid w:val="00D33708"/>
    <w:rsid w:val="00D367DE"/>
    <w:rsid w:val="00D42158"/>
    <w:rsid w:val="00D424EE"/>
    <w:rsid w:val="00D4250B"/>
    <w:rsid w:val="00D4641B"/>
    <w:rsid w:val="00D51B9C"/>
    <w:rsid w:val="00D52810"/>
    <w:rsid w:val="00D63D66"/>
    <w:rsid w:val="00D82528"/>
    <w:rsid w:val="00D835FD"/>
    <w:rsid w:val="00D94426"/>
    <w:rsid w:val="00DA5E09"/>
    <w:rsid w:val="00DB65A9"/>
    <w:rsid w:val="00DC55EC"/>
    <w:rsid w:val="00DD05B2"/>
    <w:rsid w:val="00DE2FBF"/>
    <w:rsid w:val="00DE3813"/>
    <w:rsid w:val="00DE6EBB"/>
    <w:rsid w:val="00DE7076"/>
    <w:rsid w:val="00DE7E7E"/>
    <w:rsid w:val="00DF3B60"/>
    <w:rsid w:val="00E05266"/>
    <w:rsid w:val="00E14906"/>
    <w:rsid w:val="00E21698"/>
    <w:rsid w:val="00E25656"/>
    <w:rsid w:val="00E3365F"/>
    <w:rsid w:val="00E46B3F"/>
    <w:rsid w:val="00E54210"/>
    <w:rsid w:val="00E63302"/>
    <w:rsid w:val="00E73E90"/>
    <w:rsid w:val="00E750E2"/>
    <w:rsid w:val="00E771F5"/>
    <w:rsid w:val="00E84FC7"/>
    <w:rsid w:val="00E85362"/>
    <w:rsid w:val="00E87FF0"/>
    <w:rsid w:val="00E94F66"/>
    <w:rsid w:val="00EA12F5"/>
    <w:rsid w:val="00EA33DE"/>
    <w:rsid w:val="00EA5450"/>
    <w:rsid w:val="00EA59A6"/>
    <w:rsid w:val="00EA686D"/>
    <w:rsid w:val="00EB16A1"/>
    <w:rsid w:val="00EB46F5"/>
    <w:rsid w:val="00EB7AE6"/>
    <w:rsid w:val="00EC3BA4"/>
    <w:rsid w:val="00EE2153"/>
    <w:rsid w:val="00EF17DC"/>
    <w:rsid w:val="00EF3B75"/>
    <w:rsid w:val="00F02C10"/>
    <w:rsid w:val="00F06F85"/>
    <w:rsid w:val="00F17BAB"/>
    <w:rsid w:val="00F27E99"/>
    <w:rsid w:val="00F310C9"/>
    <w:rsid w:val="00F40206"/>
    <w:rsid w:val="00F73844"/>
    <w:rsid w:val="00F73E8E"/>
    <w:rsid w:val="00F901F3"/>
    <w:rsid w:val="00FA2DFD"/>
    <w:rsid w:val="00FB7D8E"/>
    <w:rsid w:val="00FB7FE4"/>
    <w:rsid w:val="00FC7E61"/>
    <w:rsid w:val="00FD3A63"/>
    <w:rsid w:val="00FE24E1"/>
    <w:rsid w:val="00FF0F3B"/>
    <w:rsid w:val="018B4B2C"/>
    <w:rsid w:val="02163418"/>
    <w:rsid w:val="02370C0E"/>
    <w:rsid w:val="02C25D72"/>
    <w:rsid w:val="04047296"/>
    <w:rsid w:val="0422293A"/>
    <w:rsid w:val="04256D0F"/>
    <w:rsid w:val="04291523"/>
    <w:rsid w:val="053B54F3"/>
    <w:rsid w:val="053F5EA6"/>
    <w:rsid w:val="059871C9"/>
    <w:rsid w:val="062E73B2"/>
    <w:rsid w:val="07243327"/>
    <w:rsid w:val="07AA03FB"/>
    <w:rsid w:val="08646BF5"/>
    <w:rsid w:val="08B52F00"/>
    <w:rsid w:val="08E56501"/>
    <w:rsid w:val="09DB4C2B"/>
    <w:rsid w:val="09F300AC"/>
    <w:rsid w:val="0A206A99"/>
    <w:rsid w:val="0A280887"/>
    <w:rsid w:val="0AB43DC3"/>
    <w:rsid w:val="0AB52002"/>
    <w:rsid w:val="0AB84A6F"/>
    <w:rsid w:val="0AF51730"/>
    <w:rsid w:val="0B115472"/>
    <w:rsid w:val="0BD645DA"/>
    <w:rsid w:val="0C101A99"/>
    <w:rsid w:val="0D6D43FA"/>
    <w:rsid w:val="0DA47544"/>
    <w:rsid w:val="0DBD1E61"/>
    <w:rsid w:val="0E070A86"/>
    <w:rsid w:val="0E865A29"/>
    <w:rsid w:val="0EAA2197"/>
    <w:rsid w:val="0EB90079"/>
    <w:rsid w:val="0FA2285D"/>
    <w:rsid w:val="100A148C"/>
    <w:rsid w:val="110964A2"/>
    <w:rsid w:val="11406DC0"/>
    <w:rsid w:val="11815847"/>
    <w:rsid w:val="11816E7F"/>
    <w:rsid w:val="121C0676"/>
    <w:rsid w:val="123A39B1"/>
    <w:rsid w:val="12437227"/>
    <w:rsid w:val="125709C8"/>
    <w:rsid w:val="12D37EDC"/>
    <w:rsid w:val="12ED6757"/>
    <w:rsid w:val="13FF5182"/>
    <w:rsid w:val="149C5B5B"/>
    <w:rsid w:val="156E17C3"/>
    <w:rsid w:val="15A97706"/>
    <w:rsid w:val="15C72376"/>
    <w:rsid w:val="15E8115E"/>
    <w:rsid w:val="161E2570"/>
    <w:rsid w:val="16313519"/>
    <w:rsid w:val="1667050A"/>
    <w:rsid w:val="167A32A8"/>
    <w:rsid w:val="172756EA"/>
    <w:rsid w:val="177E370A"/>
    <w:rsid w:val="17811B1E"/>
    <w:rsid w:val="181E0753"/>
    <w:rsid w:val="18545476"/>
    <w:rsid w:val="185E4B3C"/>
    <w:rsid w:val="188F539B"/>
    <w:rsid w:val="19F821B0"/>
    <w:rsid w:val="1A6C60EE"/>
    <w:rsid w:val="1AE71752"/>
    <w:rsid w:val="1B70030B"/>
    <w:rsid w:val="1B9C2BF6"/>
    <w:rsid w:val="1C957E1C"/>
    <w:rsid w:val="1CA05EC5"/>
    <w:rsid w:val="1DFC2CDE"/>
    <w:rsid w:val="1DFC5C6A"/>
    <w:rsid w:val="1F0760E4"/>
    <w:rsid w:val="1F276D6A"/>
    <w:rsid w:val="1F4C590F"/>
    <w:rsid w:val="1F4C61C1"/>
    <w:rsid w:val="1F55218C"/>
    <w:rsid w:val="1FC64170"/>
    <w:rsid w:val="2054084E"/>
    <w:rsid w:val="20E530E1"/>
    <w:rsid w:val="20EE5E8A"/>
    <w:rsid w:val="21916BCD"/>
    <w:rsid w:val="21E20058"/>
    <w:rsid w:val="21FD173B"/>
    <w:rsid w:val="221654DC"/>
    <w:rsid w:val="22AE6425"/>
    <w:rsid w:val="22C83D97"/>
    <w:rsid w:val="22F34604"/>
    <w:rsid w:val="23031BAC"/>
    <w:rsid w:val="23A93DC6"/>
    <w:rsid w:val="23BA6366"/>
    <w:rsid w:val="23EA2FCF"/>
    <w:rsid w:val="243472A5"/>
    <w:rsid w:val="24D90C98"/>
    <w:rsid w:val="25665FAC"/>
    <w:rsid w:val="258735F1"/>
    <w:rsid w:val="25C23CC0"/>
    <w:rsid w:val="25C25291"/>
    <w:rsid w:val="25F845F8"/>
    <w:rsid w:val="265215C7"/>
    <w:rsid w:val="271A6899"/>
    <w:rsid w:val="275B3646"/>
    <w:rsid w:val="27623D48"/>
    <w:rsid w:val="2775270B"/>
    <w:rsid w:val="278028A1"/>
    <w:rsid w:val="279B4B58"/>
    <w:rsid w:val="27D66757"/>
    <w:rsid w:val="28800CA3"/>
    <w:rsid w:val="28856150"/>
    <w:rsid w:val="28983AF3"/>
    <w:rsid w:val="299366AA"/>
    <w:rsid w:val="29D37F16"/>
    <w:rsid w:val="2A0860A9"/>
    <w:rsid w:val="2A5654EA"/>
    <w:rsid w:val="2A5F0D13"/>
    <w:rsid w:val="2AA067C7"/>
    <w:rsid w:val="2AA331ED"/>
    <w:rsid w:val="2AD824AC"/>
    <w:rsid w:val="2ADD0C61"/>
    <w:rsid w:val="2B023F2E"/>
    <w:rsid w:val="2B39332C"/>
    <w:rsid w:val="2B5760E8"/>
    <w:rsid w:val="2C233830"/>
    <w:rsid w:val="2D0F3AFC"/>
    <w:rsid w:val="2DA57F15"/>
    <w:rsid w:val="2DE95F29"/>
    <w:rsid w:val="2DE961C8"/>
    <w:rsid w:val="2E6E1F6F"/>
    <w:rsid w:val="30641998"/>
    <w:rsid w:val="30662977"/>
    <w:rsid w:val="30E5268E"/>
    <w:rsid w:val="30EC7FEF"/>
    <w:rsid w:val="31673B98"/>
    <w:rsid w:val="31982073"/>
    <w:rsid w:val="32A93A5C"/>
    <w:rsid w:val="32BC419D"/>
    <w:rsid w:val="32C27E26"/>
    <w:rsid w:val="33487638"/>
    <w:rsid w:val="33941461"/>
    <w:rsid w:val="33E054C3"/>
    <w:rsid w:val="344F6E0F"/>
    <w:rsid w:val="34615718"/>
    <w:rsid w:val="34CA5660"/>
    <w:rsid w:val="34DE1C60"/>
    <w:rsid w:val="34F902CA"/>
    <w:rsid w:val="35001552"/>
    <w:rsid w:val="354145ED"/>
    <w:rsid w:val="35917B98"/>
    <w:rsid w:val="35A5009A"/>
    <w:rsid w:val="35BF40C0"/>
    <w:rsid w:val="35FC5052"/>
    <w:rsid w:val="360D0FC9"/>
    <w:rsid w:val="36327808"/>
    <w:rsid w:val="36683DF6"/>
    <w:rsid w:val="373128A9"/>
    <w:rsid w:val="3779053B"/>
    <w:rsid w:val="381327E4"/>
    <w:rsid w:val="38211E14"/>
    <w:rsid w:val="38B53879"/>
    <w:rsid w:val="390D5118"/>
    <w:rsid w:val="39461FA6"/>
    <w:rsid w:val="39AB3E47"/>
    <w:rsid w:val="39FE0332"/>
    <w:rsid w:val="3A295C69"/>
    <w:rsid w:val="3A3568A9"/>
    <w:rsid w:val="3A603D25"/>
    <w:rsid w:val="3A9F569D"/>
    <w:rsid w:val="3B024BBD"/>
    <w:rsid w:val="3C0648B7"/>
    <w:rsid w:val="3D15698A"/>
    <w:rsid w:val="3D522116"/>
    <w:rsid w:val="3EC37446"/>
    <w:rsid w:val="3EE64241"/>
    <w:rsid w:val="3F652EB4"/>
    <w:rsid w:val="3F9A1043"/>
    <w:rsid w:val="3FE339E8"/>
    <w:rsid w:val="4020552F"/>
    <w:rsid w:val="4031683D"/>
    <w:rsid w:val="403C6E1F"/>
    <w:rsid w:val="40656A59"/>
    <w:rsid w:val="40CF0629"/>
    <w:rsid w:val="40E86777"/>
    <w:rsid w:val="414E4400"/>
    <w:rsid w:val="41C7200A"/>
    <w:rsid w:val="426C6739"/>
    <w:rsid w:val="44807BEA"/>
    <w:rsid w:val="44C8354C"/>
    <w:rsid w:val="45D30EB6"/>
    <w:rsid w:val="46004326"/>
    <w:rsid w:val="461530C6"/>
    <w:rsid w:val="46A7241B"/>
    <w:rsid w:val="477E263D"/>
    <w:rsid w:val="48064FF3"/>
    <w:rsid w:val="4850541E"/>
    <w:rsid w:val="485A4C23"/>
    <w:rsid w:val="48CE71FD"/>
    <w:rsid w:val="490A4F17"/>
    <w:rsid w:val="49305704"/>
    <w:rsid w:val="4A2C33F3"/>
    <w:rsid w:val="4A9B14C9"/>
    <w:rsid w:val="4A9E5827"/>
    <w:rsid w:val="4AB740A3"/>
    <w:rsid w:val="4B1F2F62"/>
    <w:rsid w:val="4BB17A70"/>
    <w:rsid w:val="4BBB3663"/>
    <w:rsid w:val="4C0C61E3"/>
    <w:rsid w:val="4C5C1E27"/>
    <w:rsid w:val="4D2744D5"/>
    <w:rsid w:val="4D314999"/>
    <w:rsid w:val="4EDE0BAF"/>
    <w:rsid w:val="4F417E4A"/>
    <w:rsid w:val="50E819FD"/>
    <w:rsid w:val="51065181"/>
    <w:rsid w:val="513067F7"/>
    <w:rsid w:val="517147F7"/>
    <w:rsid w:val="51E55943"/>
    <w:rsid w:val="52094B50"/>
    <w:rsid w:val="525540F7"/>
    <w:rsid w:val="52914551"/>
    <w:rsid w:val="52CF3607"/>
    <w:rsid w:val="52E953B1"/>
    <w:rsid w:val="535116CF"/>
    <w:rsid w:val="53DF1CF5"/>
    <w:rsid w:val="549D0A6C"/>
    <w:rsid w:val="54A87272"/>
    <w:rsid w:val="55256BF7"/>
    <w:rsid w:val="55413D48"/>
    <w:rsid w:val="55706C02"/>
    <w:rsid w:val="55D01FDE"/>
    <w:rsid w:val="55E3110B"/>
    <w:rsid w:val="561A2932"/>
    <w:rsid w:val="56581F9A"/>
    <w:rsid w:val="565A25AB"/>
    <w:rsid w:val="568A0BD9"/>
    <w:rsid w:val="569E74F0"/>
    <w:rsid w:val="56A6731C"/>
    <w:rsid w:val="56D65512"/>
    <w:rsid w:val="56E31740"/>
    <w:rsid w:val="57213975"/>
    <w:rsid w:val="57395D22"/>
    <w:rsid w:val="58615FC7"/>
    <w:rsid w:val="58F257BB"/>
    <w:rsid w:val="58FD762B"/>
    <w:rsid w:val="599546BE"/>
    <w:rsid w:val="5A664B1D"/>
    <w:rsid w:val="5ABD0F18"/>
    <w:rsid w:val="5AF36D9A"/>
    <w:rsid w:val="5B4C7EBE"/>
    <w:rsid w:val="5B865799"/>
    <w:rsid w:val="5B9D16E7"/>
    <w:rsid w:val="5BFE5295"/>
    <w:rsid w:val="5C662D18"/>
    <w:rsid w:val="5D267FC2"/>
    <w:rsid w:val="5D653C8F"/>
    <w:rsid w:val="5DD629C8"/>
    <w:rsid w:val="5E0024B2"/>
    <w:rsid w:val="5EA53420"/>
    <w:rsid w:val="5ED40EE5"/>
    <w:rsid w:val="5EDD14EB"/>
    <w:rsid w:val="5F3F5EDB"/>
    <w:rsid w:val="5FA944AF"/>
    <w:rsid w:val="5FDB6CC9"/>
    <w:rsid w:val="60D72EAD"/>
    <w:rsid w:val="613306E6"/>
    <w:rsid w:val="613E4D86"/>
    <w:rsid w:val="616732DA"/>
    <w:rsid w:val="61A950B6"/>
    <w:rsid w:val="61BC7C3D"/>
    <w:rsid w:val="61DB0AEF"/>
    <w:rsid w:val="62425690"/>
    <w:rsid w:val="624F4209"/>
    <w:rsid w:val="62C24660"/>
    <w:rsid w:val="63881A8D"/>
    <w:rsid w:val="63FA3CAA"/>
    <w:rsid w:val="647A1162"/>
    <w:rsid w:val="64EF409F"/>
    <w:rsid w:val="6564670D"/>
    <w:rsid w:val="656E7F8D"/>
    <w:rsid w:val="66441DAE"/>
    <w:rsid w:val="66463ADF"/>
    <w:rsid w:val="66480C5E"/>
    <w:rsid w:val="66A82BFF"/>
    <w:rsid w:val="66E83BFD"/>
    <w:rsid w:val="6759303F"/>
    <w:rsid w:val="67A41B29"/>
    <w:rsid w:val="6809606A"/>
    <w:rsid w:val="686F7775"/>
    <w:rsid w:val="69081999"/>
    <w:rsid w:val="69142152"/>
    <w:rsid w:val="691F241C"/>
    <w:rsid w:val="69215ED5"/>
    <w:rsid w:val="6926453B"/>
    <w:rsid w:val="695A0196"/>
    <w:rsid w:val="69D60477"/>
    <w:rsid w:val="6A1A5DE8"/>
    <w:rsid w:val="6ACB2E21"/>
    <w:rsid w:val="6ADE6279"/>
    <w:rsid w:val="6B4E2418"/>
    <w:rsid w:val="6C116314"/>
    <w:rsid w:val="6C584B0B"/>
    <w:rsid w:val="6C6E0659"/>
    <w:rsid w:val="6C7B1171"/>
    <w:rsid w:val="6CCA6743"/>
    <w:rsid w:val="6D3D273F"/>
    <w:rsid w:val="6D4A5E1C"/>
    <w:rsid w:val="6DBF3A9F"/>
    <w:rsid w:val="6E496530"/>
    <w:rsid w:val="6F6118FF"/>
    <w:rsid w:val="6F6942E3"/>
    <w:rsid w:val="6FA444FA"/>
    <w:rsid w:val="6FE54FA3"/>
    <w:rsid w:val="711E3BB1"/>
    <w:rsid w:val="71432C96"/>
    <w:rsid w:val="71516AD7"/>
    <w:rsid w:val="71CD0B80"/>
    <w:rsid w:val="720C15A0"/>
    <w:rsid w:val="72500AB4"/>
    <w:rsid w:val="729261D2"/>
    <w:rsid w:val="730464E8"/>
    <w:rsid w:val="73B222C2"/>
    <w:rsid w:val="74DA0773"/>
    <w:rsid w:val="7563050D"/>
    <w:rsid w:val="761A7B5B"/>
    <w:rsid w:val="76732EAE"/>
    <w:rsid w:val="76743DD6"/>
    <w:rsid w:val="767C7152"/>
    <w:rsid w:val="77A71CAD"/>
    <w:rsid w:val="785E141E"/>
    <w:rsid w:val="78862464"/>
    <w:rsid w:val="788C28AF"/>
    <w:rsid w:val="78AB3649"/>
    <w:rsid w:val="78D8203B"/>
    <w:rsid w:val="7953413B"/>
    <w:rsid w:val="79727D02"/>
    <w:rsid w:val="7A4F5710"/>
    <w:rsid w:val="7B510445"/>
    <w:rsid w:val="7BB44808"/>
    <w:rsid w:val="7C3C1C57"/>
    <w:rsid w:val="7C6C6C3E"/>
    <w:rsid w:val="7C901DDB"/>
    <w:rsid w:val="7C92122E"/>
    <w:rsid w:val="7CB022A7"/>
    <w:rsid w:val="7E24727B"/>
    <w:rsid w:val="7E3E7E17"/>
    <w:rsid w:val="7E5C1C6E"/>
    <w:rsid w:val="7E8536BC"/>
    <w:rsid w:val="7EB956CD"/>
    <w:rsid w:val="7F1932C6"/>
    <w:rsid w:val="7F62524F"/>
    <w:rsid w:val="7F774A2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qFormat="1" w:unhideWhenUsed="0"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2"/>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73"/>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74"/>
    <w:qFormat/>
    <w:uiPriority w:val="0"/>
    <w:pPr>
      <w:keepNext/>
      <w:keepLines/>
      <w:spacing w:before="260" w:after="260" w:line="416" w:lineRule="auto"/>
      <w:outlineLvl w:val="2"/>
    </w:pPr>
    <w:rPr>
      <w:b/>
      <w:bCs/>
      <w:sz w:val="32"/>
      <w:szCs w:val="32"/>
    </w:rPr>
  </w:style>
  <w:style w:type="paragraph" w:styleId="5">
    <w:name w:val="heading 4"/>
    <w:basedOn w:val="1"/>
    <w:next w:val="1"/>
    <w:link w:val="67"/>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68"/>
    <w:qFormat/>
    <w:uiPriority w:val="0"/>
    <w:pPr>
      <w:keepNext/>
      <w:outlineLvl w:val="4"/>
    </w:pPr>
    <w:rPr>
      <w:b/>
      <w:bCs/>
      <w:sz w:val="24"/>
    </w:rPr>
  </w:style>
  <w:style w:type="paragraph" w:styleId="7">
    <w:name w:val="heading 6"/>
    <w:basedOn w:val="8"/>
    <w:next w:val="8"/>
    <w:link w:val="69"/>
    <w:qFormat/>
    <w:uiPriority w:val="0"/>
    <w:pPr>
      <w:keepNext/>
      <w:keepLines/>
      <w:spacing w:before="240" w:after="64" w:line="320" w:lineRule="auto"/>
      <w:outlineLvl w:val="5"/>
    </w:pPr>
    <w:rPr>
      <w:bCs/>
      <w:sz w:val="24"/>
    </w:rPr>
  </w:style>
  <w:style w:type="paragraph" w:styleId="9">
    <w:name w:val="heading 7"/>
    <w:basedOn w:val="1"/>
    <w:next w:val="1"/>
    <w:link w:val="70"/>
    <w:qFormat/>
    <w:uiPriority w:val="0"/>
    <w:pPr>
      <w:keepNext/>
      <w:keepLines/>
      <w:numPr>
        <w:ilvl w:val="6"/>
        <w:numId w:val="1"/>
      </w:numPr>
      <w:spacing w:before="240" w:after="64" w:line="320" w:lineRule="auto"/>
      <w:outlineLvl w:val="6"/>
    </w:pPr>
    <w:rPr>
      <w:b/>
      <w:bCs/>
      <w:sz w:val="24"/>
    </w:rPr>
  </w:style>
  <w:style w:type="paragraph" w:styleId="10">
    <w:name w:val="heading 8"/>
    <w:basedOn w:val="1"/>
    <w:next w:val="1"/>
    <w:link w:val="71"/>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link w:val="72"/>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pPr>
      <w:keepNext w:val="0"/>
      <w:keepLines w:val="0"/>
      <w:widowControl/>
      <w:suppressLineNumbers w:val="0"/>
      <w:spacing w:before="0" w:beforeAutospacing="0" w:after="0" w:afterAutospacing="0"/>
      <w:ind w:left="0" w:right="0"/>
    </w:pPr>
    <w:rPr>
      <w:rFonts w:ascii="Calibri" w:hAnsi="Calibri" w:eastAsia="宋体" w:cs="Times New Roman"/>
      <w:kern w:val="2"/>
      <w:sz w:val="21"/>
      <w:szCs w:val="22"/>
    </w:rPr>
    <w:tblPr>
      <w:tblCellMar>
        <w:top w:w="0" w:type="dxa"/>
        <w:left w:w="108" w:type="dxa"/>
        <w:bottom w:w="0" w:type="dxa"/>
        <w:right w:w="108" w:type="dxa"/>
      </w:tblCellMar>
    </w:tblPr>
  </w:style>
  <w:style w:type="paragraph" w:customStyle="1" w:styleId="8">
    <w:name w:val="表头"/>
    <w:basedOn w:val="1"/>
    <w:link w:val="304"/>
    <w:qFormat/>
    <w:uiPriority w:val="0"/>
    <w:pPr>
      <w:spacing w:line="360" w:lineRule="auto"/>
      <w:jc w:val="center"/>
    </w:pPr>
    <w:rPr>
      <w:rFonts w:ascii="Arial" w:hAnsi="Arial" w:eastAsia="黑体"/>
      <w:b/>
      <w:szCs w:val="21"/>
    </w:rPr>
  </w:style>
  <w:style w:type="paragraph" w:styleId="12">
    <w:name w:val="toc 7"/>
    <w:basedOn w:val="1"/>
    <w:next w:val="1"/>
    <w:qFormat/>
    <w:uiPriority w:val="39"/>
    <w:pPr>
      <w:ind w:left="2520" w:leftChars="1200"/>
    </w:pPr>
  </w:style>
  <w:style w:type="paragraph" w:styleId="13">
    <w:name w:val="Note Heading"/>
    <w:basedOn w:val="1"/>
    <w:next w:val="1"/>
    <w:link w:val="211"/>
    <w:qFormat/>
    <w:uiPriority w:val="0"/>
    <w:pPr>
      <w:jc w:val="center"/>
    </w:pPr>
  </w:style>
  <w:style w:type="paragraph" w:styleId="14">
    <w:name w:val="Normal Indent"/>
    <w:basedOn w:val="1"/>
    <w:next w:val="1"/>
    <w:link w:val="78"/>
    <w:qFormat/>
    <w:uiPriority w:val="0"/>
    <w:pPr>
      <w:ind w:firstLine="420" w:firstLineChars="200"/>
    </w:pPr>
    <w:rPr>
      <w:sz w:val="28"/>
      <w:szCs w:val="20"/>
    </w:rPr>
  </w:style>
  <w:style w:type="paragraph" w:styleId="15">
    <w:name w:val="caption"/>
    <w:basedOn w:val="1"/>
    <w:next w:val="1"/>
    <w:unhideWhenUsed/>
    <w:qFormat/>
    <w:uiPriority w:val="35"/>
    <w:rPr>
      <w:rFonts w:eastAsia="黑体" w:asciiTheme="majorHAnsi" w:hAnsiTheme="majorHAnsi" w:cstheme="majorBidi"/>
      <w:sz w:val="20"/>
      <w:szCs w:val="20"/>
    </w:rPr>
  </w:style>
  <w:style w:type="paragraph" w:styleId="16">
    <w:name w:val="Document Map"/>
    <w:basedOn w:val="1"/>
    <w:link w:val="77"/>
    <w:semiHidden/>
    <w:qFormat/>
    <w:uiPriority w:val="0"/>
    <w:pPr>
      <w:shd w:val="clear" w:color="auto" w:fill="000080"/>
    </w:pPr>
  </w:style>
  <w:style w:type="paragraph" w:styleId="17">
    <w:name w:val="annotation text"/>
    <w:basedOn w:val="1"/>
    <w:link w:val="264"/>
    <w:qFormat/>
    <w:uiPriority w:val="0"/>
    <w:pPr>
      <w:spacing w:line="360" w:lineRule="auto"/>
      <w:jc w:val="left"/>
    </w:pPr>
    <w:rPr>
      <w:rFonts w:ascii="Arial" w:hAnsi="Arial" w:eastAsiaTheme="minorEastAsia" w:cstheme="minorBidi"/>
      <w:sz w:val="24"/>
    </w:rPr>
  </w:style>
  <w:style w:type="paragraph" w:styleId="18">
    <w:name w:val="Salutation"/>
    <w:basedOn w:val="1"/>
    <w:next w:val="1"/>
    <w:link w:val="210"/>
    <w:qFormat/>
    <w:uiPriority w:val="0"/>
  </w:style>
  <w:style w:type="paragraph" w:styleId="19">
    <w:name w:val="Body Text 3"/>
    <w:basedOn w:val="1"/>
    <w:link w:val="103"/>
    <w:qFormat/>
    <w:uiPriority w:val="0"/>
    <w:pPr>
      <w:spacing w:after="120"/>
    </w:pPr>
    <w:rPr>
      <w:sz w:val="16"/>
      <w:szCs w:val="16"/>
    </w:rPr>
  </w:style>
  <w:style w:type="paragraph" w:styleId="20">
    <w:name w:val="Body Text"/>
    <w:basedOn w:val="1"/>
    <w:next w:val="21"/>
    <w:link w:val="84"/>
    <w:qFormat/>
    <w:uiPriority w:val="0"/>
    <w:pPr>
      <w:spacing w:after="120"/>
    </w:pPr>
  </w:style>
  <w:style w:type="paragraph" w:customStyle="1" w:styleId="21">
    <w:name w:val="xl27"/>
    <w:basedOn w:val="1"/>
    <w:qFormat/>
    <w:uiPriority w:val="0"/>
    <w:pPr>
      <w:widowControl/>
      <w:pBdr>
        <w:bottom w:val="single" w:color="auto" w:sz="4" w:space="0"/>
        <w:right w:val="single" w:color="auto" w:sz="4" w:space="0"/>
      </w:pBdr>
      <w:spacing w:before="100" w:beforeAutospacing="1" w:after="100" w:afterAutospacing="1"/>
      <w:jc w:val="center"/>
    </w:pPr>
    <w:rPr>
      <w:rFonts w:eastAsia="Arial Unicode MS"/>
      <w:kern w:val="0"/>
      <w:szCs w:val="21"/>
    </w:rPr>
  </w:style>
  <w:style w:type="paragraph" w:styleId="22">
    <w:name w:val="Body Text Indent"/>
    <w:basedOn w:val="1"/>
    <w:next w:val="23"/>
    <w:link w:val="80"/>
    <w:qFormat/>
    <w:uiPriority w:val="0"/>
    <w:pPr>
      <w:spacing w:after="120"/>
      <w:ind w:left="420"/>
    </w:pPr>
  </w:style>
  <w:style w:type="paragraph" w:customStyle="1" w:styleId="23">
    <w:name w:val="样式 正文文本缩进 + 行距: 1.5 倍行距"/>
    <w:basedOn w:val="1"/>
    <w:qFormat/>
    <w:uiPriority w:val="0"/>
    <w:pPr>
      <w:spacing w:after="120" w:line="360" w:lineRule="auto"/>
      <w:ind w:left="90" w:leftChars="32" w:firstLine="560" w:firstLineChars="200"/>
    </w:pPr>
    <w:rPr>
      <w:rFonts w:cs="宋体"/>
      <w:sz w:val="24"/>
    </w:rPr>
  </w:style>
  <w:style w:type="paragraph" w:styleId="24">
    <w:name w:val="Block Text"/>
    <w:basedOn w:val="1"/>
    <w:qFormat/>
    <w:uiPriority w:val="0"/>
    <w:pPr>
      <w:spacing w:line="20" w:lineRule="atLeast"/>
      <w:ind w:left="-178" w:leftChars="-85" w:right="-393" w:rightChars="-187" w:firstLine="560" w:firstLineChars="200"/>
    </w:pPr>
    <w:rPr>
      <w:bCs/>
      <w:sz w:val="28"/>
    </w:rPr>
  </w:style>
  <w:style w:type="paragraph" w:styleId="25">
    <w:name w:val="toc 5"/>
    <w:basedOn w:val="1"/>
    <w:next w:val="1"/>
    <w:qFormat/>
    <w:uiPriority w:val="39"/>
    <w:pPr>
      <w:adjustRightInd w:val="0"/>
      <w:snapToGrid w:val="0"/>
      <w:spacing w:line="360" w:lineRule="auto"/>
      <w:ind w:firstLine="482" w:firstLineChars="200"/>
    </w:pPr>
  </w:style>
  <w:style w:type="paragraph" w:styleId="26">
    <w:name w:val="toc 3"/>
    <w:basedOn w:val="1"/>
    <w:next w:val="1"/>
    <w:qFormat/>
    <w:uiPriority w:val="39"/>
    <w:pPr>
      <w:tabs>
        <w:tab w:val="right" w:leader="dot" w:pos="9000"/>
      </w:tabs>
      <w:ind w:left="840" w:leftChars="400"/>
    </w:pPr>
    <w:rPr>
      <w:rFonts w:eastAsia="仿宋_GB2312"/>
    </w:rPr>
  </w:style>
  <w:style w:type="paragraph" w:styleId="27">
    <w:name w:val="Plain Text"/>
    <w:basedOn w:val="1"/>
    <w:link w:val="81"/>
    <w:qFormat/>
    <w:uiPriority w:val="0"/>
    <w:pPr>
      <w:ind w:firstLine="482"/>
    </w:pPr>
    <w:rPr>
      <w:rFonts w:ascii="宋体" w:hAnsi="Courier New"/>
      <w:szCs w:val="20"/>
    </w:rPr>
  </w:style>
  <w:style w:type="paragraph" w:styleId="28">
    <w:name w:val="toc 8"/>
    <w:basedOn w:val="1"/>
    <w:next w:val="1"/>
    <w:qFormat/>
    <w:uiPriority w:val="39"/>
    <w:pPr>
      <w:ind w:left="2940"/>
    </w:pPr>
  </w:style>
  <w:style w:type="paragraph" w:styleId="29">
    <w:name w:val="Date"/>
    <w:basedOn w:val="1"/>
    <w:next w:val="1"/>
    <w:link w:val="76"/>
    <w:qFormat/>
    <w:uiPriority w:val="0"/>
    <w:pPr>
      <w:ind w:left="100" w:leftChars="2500"/>
    </w:pPr>
  </w:style>
  <w:style w:type="paragraph" w:styleId="30">
    <w:name w:val="Body Text Indent 2"/>
    <w:basedOn w:val="1"/>
    <w:link w:val="115"/>
    <w:qFormat/>
    <w:uiPriority w:val="0"/>
    <w:pPr>
      <w:spacing w:after="120" w:line="480" w:lineRule="auto"/>
      <w:ind w:left="420"/>
    </w:pPr>
  </w:style>
  <w:style w:type="paragraph" w:styleId="31">
    <w:name w:val="Balloon Text"/>
    <w:basedOn w:val="1"/>
    <w:link w:val="266"/>
    <w:semiHidden/>
    <w:unhideWhenUsed/>
    <w:qFormat/>
    <w:uiPriority w:val="99"/>
    <w:rPr>
      <w:sz w:val="18"/>
      <w:szCs w:val="18"/>
    </w:rPr>
  </w:style>
  <w:style w:type="paragraph" w:styleId="32">
    <w:name w:val="footer"/>
    <w:basedOn w:val="1"/>
    <w:next w:val="33"/>
    <w:link w:val="66"/>
    <w:unhideWhenUsed/>
    <w:qFormat/>
    <w:uiPriority w:val="0"/>
    <w:pPr>
      <w:tabs>
        <w:tab w:val="center" w:pos="4153"/>
        <w:tab w:val="right" w:pos="8306"/>
      </w:tabs>
      <w:snapToGrid w:val="0"/>
      <w:jc w:val="left"/>
    </w:pPr>
    <w:rPr>
      <w:sz w:val="18"/>
      <w:szCs w:val="18"/>
    </w:rPr>
  </w:style>
  <w:style w:type="paragraph" w:styleId="33">
    <w:name w:val="Normal (Web)"/>
    <w:basedOn w:val="1"/>
    <w:next w:val="34"/>
    <w:link w:val="306"/>
    <w:qFormat/>
    <w:uiPriority w:val="0"/>
    <w:pPr>
      <w:widowControl/>
      <w:spacing w:before="100" w:beforeAutospacing="1" w:after="100" w:afterAutospacing="1"/>
      <w:jc w:val="left"/>
    </w:pPr>
    <w:rPr>
      <w:rFonts w:ascii="宋体" w:hAnsi="宋体" w:cs="宋体"/>
      <w:kern w:val="0"/>
      <w:sz w:val="24"/>
    </w:rPr>
  </w:style>
  <w:style w:type="paragraph" w:customStyle="1" w:styleId="34">
    <w:name w:val="toc 84"/>
    <w:next w:val="1"/>
    <w:qFormat/>
    <w:uiPriority w:val="0"/>
    <w:pPr>
      <w:wordWrap w:val="0"/>
      <w:ind w:left="2975"/>
      <w:jc w:val="both"/>
    </w:pPr>
    <w:rPr>
      <w:rFonts w:ascii="宋体" w:hAnsi="宋体" w:eastAsia="Calibri" w:cs="Times New Roman"/>
      <w:sz w:val="21"/>
      <w:szCs w:val="22"/>
      <w:lang w:val="en-US" w:eastAsia="zh-CN" w:bidi="ar-SA"/>
    </w:rPr>
  </w:style>
  <w:style w:type="paragraph" w:styleId="35">
    <w:name w:val="header"/>
    <w:basedOn w:val="1"/>
    <w:link w:val="65"/>
    <w:unhideWhenUsed/>
    <w:qFormat/>
    <w:uiPriority w:val="0"/>
    <w:pPr>
      <w:pBdr>
        <w:bottom w:val="single" w:color="auto" w:sz="6" w:space="1"/>
      </w:pBdr>
      <w:tabs>
        <w:tab w:val="center" w:pos="4153"/>
        <w:tab w:val="right" w:pos="8306"/>
      </w:tabs>
      <w:snapToGrid w:val="0"/>
      <w:jc w:val="center"/>
    </w:pPr>
    <w:rPr>
      <w:sz w:val="18"/>
      <w:szCs w:val="18"/>
    </w:rPr>
  </w:style>
  <w:style w:type="paragraph" w:styleId="36">
    <w:name w:val="toc 1"/>
    <w:basedOn w:val="1"/>
    <w:next w:val="1"/>
    <w:qFormat/>
    <w:uiPriority w:val="39"/>
    <w:pPr>
      <w:tabs>
        <w:tab w:val="right" w:leader="dot" w:pos="9000"/>
      </w:tabs>
      <w:spacing w:line="300" w:lineRule="exact"/>
      <w:jc w:val="right"/>
    </w:pPr>
    <w:rPr>
      <w:rFonts w:eastAsia="仿宋_GB2312"/>
      <w:b/>
      <w:sz w:val="28"/>
    </w:rPr>
  </w:style>
  <w:style w:type="paragraph" w:styleId="37">
    <w:name w:val="toc 4"/>
    <w:basedOn w:val="1"/>
    <w:next w:val="1"/>
    <w:qFormat/>
    <w:uiPriority w:val="39"/>
    <w:pPr>
      <w:ind w:left="1260" w:leftChars="600"/>
    </w:pPr>
  </w:style>
  <w:style w:type="paragraph" w:styleId="38">
    <w:name w:val="toc 6"/>
    <w:basedOn w:val="1"/>
    <w:next w:val="1"/>
    <w:qFormat/>
    <w:uiPriority w:val="39"/>
    <w:pPr>
      <w:ind w:left="2100"/>
    </w:pPr>
  </w:style>
  <w:style w:type="paragraph" w:styleId="39">
    <w:name w:val="Body Text Indent 3"/>
    <w:basedOn w:val="1"/>
    <w:link w:val="118"/>
    <w:qFormat/>
    <w:uiPriority w:val="0"/>
    <w:pPr>
      <w:spacing w:after="120"/>
      <w:ind w:left="420"/>
    </w:pPr>
    <w:rPr>
      <w:sz w:val="16"/>
      <w:szCs w:val="16"/>
    </w:rPr>
  </w:style>
  <w:style w:type="paragraph" w:styleId="40">
    <w:name w:val="index 9"/>
    <w:basedOn w:val="1"/>
    <w:next w:val="1"/>
    <w:semiHidden/>
    <w:qFormat/>
    <w:uiPriority w:val="0"/>
    <w:pPr>
      <w:ind w:left="1600" w:leftChars="1600"/>
    </w:pPr>
  </w:style>
  <w:style w:type="paragraph" w:styleId="41">
    <w:name w:val="toc 2"/>
    <w:basedOn w:val="1"/>
    <w:next w:val="1"/>
    <w:qFormat/>
    <w:uiPriority w:val="39"/>
    <w:pPr>
      <w:ind w:left="420" w:leftChars="200"/>
    </w:pPr>
    <w:rPr>
      <w:rFonts w:eastAsia="仿宋_GB2312"/>
      <w:sz w:val="24"/>
    </w:rPr>
  </w:style>
  <w:style w:type="paragraph" w:styleId="42">
    <w:name w:val="toc 9"/>
    <w:basedOn w:val="1"/>
    <w:next w:val="1"/>
    <w:qFormat/>
    <w:uiPriority w:val="39"/>
    <w:pPr>
      <w:ind w:left="3360"/>
    </w:pPr>
  </w:style>
  <w:style w:type="paragraph" w:styleId="43">
    <w:name w:val="Body Text 2"/>
    <w:basedOn w:val="1"/>
    <w:link w:val="120"/>
    <w:qFormat/>
    <w:uiPriority w:val="0"/>
    <w:pPr>
      <w:spacing w:after="120" w:line="480" w:lineRule="auto"/>
    </w:pPr>
  </w:style>
  <w:style w:type="paragraph" w:styleId="44">
    <w:name w:val="HTML Preformatted"/>
    <w:basedOn w:val="1"/>
    <w:link w:val="13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5">
    <w:name w:val="annotation subject"/>
    <w:basedOn w:val="17"/>
    <w:next w:val="17"/>
    <w:link w:val="267"/>
    <w:semiHidden/>
    <w:unhideWhenUsed/>
    <w:qFormat/>
    <w:uiPriority w:val="99"/>
    <w:pPr>
      <w:spacing w:line="240" w:lineRule="auto"/>
    </w:pPr>
    <w:rPr>
      <w:rFonts w:ascii="Times New Roman" w:hAnsi="Times New Roman" w:eastAsia="宋体" w:cs="Times New Roman"/>
      <w:b/>
      <w:bCs/>
      <w:sz w:val="21"/>
    </w:rPr>
  </w:style>
  <w:style w:type="paragraph" w:styleId="46">
    <w:name w:val="Body Text First Indent"/>
    <w:basedOn w:val="20"/>
    <w:next w:val="1"/>
    <w:link w:val="85"/>
    <w:qFormat/>
    <w:uiPriority w:val="0"/>
    <w:pPr>
      <w:ind w:firstLine="420"/>
    </w:pPr>
  </w:style>
  <w:style w:type="paragraph" w:styleId="47">
    <w:name w:val="Body Text First Indent 2"/>
    <w:basedOn w:val="22"/>
    <w:next w:val="46"/>
    <w:link w:val="114"/>
    <w:qFormat/>
    <w:uiPriority w:val="0"/>
    <w:pPr>
      <w:spacing w:after="0" w:line="460" w:lineRule="exact"/>
      <w:ind w:left="0" w:firstLine="200" w:firstLineChars="200"/>
    </w:pPr>
    <w:rPr>
      <w:sz w:val="24"/>
    </w:rPr>
  </w:style>
  <w:style w:type="table" w:styleId="49">
    <w:name w:val="Table Grid"/>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1">
    <w:name w:val="Strong"/>
    <w:qFormat/>
    <w:uiPriority w:val="22"/>
    <w:rPr>
      <w:b/>
      <w:bCs/>
    </w:rPr>
  </w:style>
  <w:style w:type="character" w:styleId="52">
    <w:name w:val="page number"/>
    <w:basedOn w:val="50"/>
    <w:qFormat/>
    <w:uiPriority w:val="0"/>
  </w:style>
  <w:style w:type="character" w:styleId="53">
    <w:name w:val="FollowedHyperlink"/>
    <w:qFormat/>
    <w:uiPriority w:val="0"/>
    <w:rPr>
      <w:color w:val="800080"/>
      <w:u w:val="single"/>
    </w:rPr>
  </w:style>
  <w:style w:type="character" w:styleId="54">
    <w:name w:val="Emphasis"/>
    <w:qFormat/>
    <w:uiPriority w:val="20"/>
    <w:rPr>
      <w:color w:val="CC0000"/>
    </w:rPr>
  </w:style>
  <w:style w:type="character" w:styleId="55">
    <w:name w:val="HTML Typewriter"/>
    <w:qFormat/>
    <w:uiPriority w:val="0"/>
    <w:rPr>
      <w:rFonts w:hint="default" w:ascii="Courier New" w:hAnsi="Courier New" w:eastAsia="宋体" w:cs="Courier New"/>
      <w:sz w:val="24"/>
      <w:szCs w:val="24"/>
    </w:rPr>
  </w:style>
  <w:style w:type="character" w:styleId="56">
    <w:name w:val="Hyperlink"/>
    <w:qFormat/>
    <w:uiPriority w:val="99"/>
    <w:rPr>
      <w:color w:val="0000FF"/>
      <w:u w:val="single"/>
    </w:rPr>
  </w:style>
  <w:style w:type="character" w:styleId="57">
    <w:name w:val="annotation reference"/>
    <w:qFormat/>
    <w:uiPriority w:val="0"/>
    <w:rPr>
      <w:sz w:val="21"/>
      <w:szCs w:val="21"/>
    </w:rPr>
  </w:style>
  <w:style w:type="paragraph" w:customStyle="1" w:styleId="58">
    <w:name w:val="Default"/>
    <w:basedOn w:val="59"/>
    <w:next w:val="47"/>
    <w:qFormat/>
    <w:uiPriority w:val="0"/>
    <w:pPr>
      <w:widowControl w:val="0"/>
      <w:autoSpaceDE w:val="0"/>
      <w:autoSpaceDN w:val="0"/>
      <w:adjustRightInd w:val="0"/>
    </w:pPr>
    <w:rPr>
      <w:rFonts w:ascii="ST Song" w:hAnsi="Times New Roman" w:eastAsia="ST Song" w:cs="ST Song"/>
      <w:color w:val="000000"/>
      <w:sz w:val="24"/>
      <w:szCs w:val="24"/>
      <w:lang w:val="en-US" w:eastAsia="zh-CN" w:bidi="ar-SA"/>
    </w:rPr>
  </w:style>
  <w:style w:type="paragraph" w:customStyle="1" w:styleId="59">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60">
    <w:name w:val="样式 标题 2"/>
    <w:basedOn w:val="3"/>
    <w:qFormat/>
    <w:uiPriority w:val="0"/>
    <w:pPr>
      <w:adjustRightInd w:val="0"/>
      <w:snapToGrid w:val="0"/>
      <w:spacing w:before="120" w:beforeLines="0" w:after="120" w:afterLines="0" w:line="240" w:lineRule="auto"/>
      <w:textAlignment w:val="baseline"/>
    </w:pPr>
    <w:rPr>
      <w:rFonts w:ascii="Arial" w:hAnsi="Arial" w:eastAsia="宋体" w:cs="宋体"/>
      <w:sz w:val="32"/>
      <w:szCs w:val="32"/>
    </w:rPr>
  </w:style>
  <w:style w:type="paragraph" w:customStyle="1" w:styleId="61">
    <w:name w:val="Default1"/>
    <w:qFormat/>
    <w:uiPriority w:val="0"/>
    <w:pPr>
      <w:widowControl w:val="0"/>
      <w:autoSpaceDE w:val="0"/>
      <w:autoSpaceDN w:val="0"/>
      <w:adjustRightInd w:val="0"/>
      <w:spacing w:line="360" w:lineRule="auto"/>
      <w:ind w:firstLine="200" w:firstLineChars="200"/>
      <w:jc w:val="both"/>
    </w:pPr>
    <w:rPr>
      <w:rFonts w:ascii="宋体" w:hAnsi="Calibri" w:eastAsia="宋体" w:cs="宋体"/>
      <w:color w:val="000000"/>
      <w:sz w:val="24"/>
      <w:szCs w:val="24"/>
      <w:lang w:val="en-US" w:eastAsia="zh-CN" w:bidi="ar-SA"/>
    </w:rPr>
  </w:style>
  <w:style w:type="character" w:customStyle="1" w:styleId="62">
    <w:name w:val="标题 1 Char"/>
    <w:basedOn w:val="50"/>
    <w:link w:val="2"/>
    <w:qFormat/>
    <w:uiPriority w:val="0"/>
    <w:rPr>
      <w:rFonts w:ascii="Times New Roman" w:hAnsi="Times New Roman" w:eastAsia="宋体" w:cs="Times New Roman"/>
      <w:b/>
      <w:bCs/>
      <w:kern w:val="44"/>
      <w:sz w:val="44"/>
      <w:szCs w:val="44"/>
    </w:rPr>
  </w:style>
  <w:style w:type="character" w:customStyle="1" w:styleId="63">
    <w:name w:val="标题 3 Char"/>
    <w:basedOn w:val="50"/>
    <w:semiHidden/>
    <w:qFormat/>
    <w:uiPriority w:val="9"/>
    <w:rPr>
      <w:rFonts w:ascii="Times New Roman" w:hAnsi="Times New Roman" w:eastAsia="宋体" w:cs="Times New Roman"/>
      <w:b/>
      <w:bCs/>
      <w:sz w:val="32"/>
      <w:szCs w:val="32"/>
    </w:rPr>
  </w:style>
  <w:style w:type="character" w:customStyle="1" w:styleId="64">
    <w:name w:val="标题 2 Char"/>
    <w:basedOn w:val="50"/>
    <w:semiHidden/>
    <w:qFormat/>
    <w:uiPriority w:val="9"/>
    <w:rPr>
      <w:rFonts w:asciiTheme="majorHAnsi" w:hAnsiTheme="majorHAnsi" w:eastAsiaTheme="majorEastAsia" w:cstheme="majorBidi"/>
      <w:b/>
      <w:bCs/>
      <w:sz w:val="32"/>
      <w:szCs w:val="32"/>
    </w:rPr>
  </w:style>
  <w:style w:type="character" w:customStyle="1" w:styleId="65">
    <w:name w:val="页眉 Char"/>
    <w:basedOn w:val="50"/>
    <w:link w:val="35"/>
    <w:qFormat/>
    <w:uiPriority w:val="0"/>
    <w:rPr>
      <w:sz w:val="18"/>
      <w:szCs w:val="18"/>
    </w:rPr>
  </w:style>
  <w:style w:type="character" w:customStyle="1" w:styleId="66">
    <w:name w:val="页脚 Char"/>
    <w:basedOn w:val="50"/>
    <w:link w:val="32"/>
    <w:semiHidden/>
    <w:qFormat/>
    <w:uiPriority w:val="99"/>
    <w:rPr>
      <w:sz w:val="18"/>
      <w:szCs w:val="18"/>
    </w:rPr>
  </w:style>
  <w:style w:type="character" w:customStyle="1" w:styleId="67">
    <w:name w:val="标题 4 Char"/>
    <w:basedOn w:val="50"/>
    <w:link w:val="5"/>
    <w:qFormat/>
    <w:uiPriority w:val="0"/>
    <w:rPr>
      <w:rFonts w:ascii="Arial" w:hAnsi="Arial" w:eastAsia="黑体" w:cs="Times New Roman"/>
      <w:b/>
      <w:bCs/>
      <w:sz w:val="28"/>
      <w:szCs w:val="28"/>
    </w:rPr>
  </w:style>
  <w:style w:type="character" w:customStyle="1" w:styleId="68">
    <w:name w:val="标题 5 Char"/>
    <w:basedOn w:val="50"/>
    <w:link w:val="6"/>
    <w:qFormat/>
    <w:uiPriority w:val="0"/>
    <w:rPr>
      <w:rFonts w:ascii="Times New Roman" w:hAnsi="Times New Roman" w:eastAsia="宋体" w:cs="Times New Roman"/>
      <w:b/>
      <w:bCs/>
      <w:sz w:val="24"/>
      <w:szCs w:val="24"/>
    </w:rPr>
  </w:style>
  <w:style w:type="character" w:customStyle="1" w:styleId="69">
    <w:name w:val="标题 6 Char"/>
    <w:basedOn w:val="50"/>
    <w:link w:val="7"/>
    <w:qFormat/>
    <w:uiPriority w:val="0"/>
    <w:rPr>
      <w:rFonts w:ascii="Arial" w:hAnsi="Arial" w:eastAsia="黑体" w:cs="Times New Roman"/>
      <w:b/>
      <w:bCs/>
      <w:sz w:val="24"/>
      <w:szCs w:val="24"/>
    </w:rPr>
  </w:style>
  <w:style w:type="character" w:customStyle="1" w:styleId="70">
    <w:name w:val="标题 7 Char"/>
    <w:basedOn w:val="50"/>
    <w:link w:val="9"/>
    <w:qFormat/>
    <w:uiPriority w:val="0"/>
    <w:rPr>
      <w:rFonts w:ascii="Times New Roman" w:hAnsi="Times New Roman" w:eastAsia="宋体" w:cs="Times New Roman"/>
      <w:b/>
      <w:bCs/>
      <w:sz w:val="24"/>
      <w:szCs w:val="24"/>
    </w:rPr>
  </w:style>
  <w:style w:type="character" w:customStyle="1" w:styleId="71">
    <w:name w:val="标题 8 Char"/>
    <w:basedOn w:val="50"/>
    <w:link w:val="10"/>
    <w:qFormat/>
    <w:uiPriority w:val="0"/>
    <w:rPr>
      <w:rFonts w:ascii="Arial" w:hAnsi="Arial" w:eastAsia="黑体" w:cs="Times New Roman"/>
      <w:sz w:val="24"/>
      <w:szCs w:val="24"/>
    </w:rPr>
  </w:style>
  <w:style w:type="character" w:customStyle="1" w:styleId="72">
    <w:name w:val="标题 9 Char"/>
    <w:basedOn w:val="50"/>
    <w:link w:val="11"/>
    <w:qFormat/>
    <w:uiPriority w:val="0"/>
    <w:rPr>
      <w:rFonts w:ascii="Arial" w:hAnsi="Arial" w:eastAsia="黑体" w:cs="Times New Roman"/>
      <w:szCs w:val="21"/>
    </w:rPr>
  </w:style>
  <w:style w:type="character" w:customStyle="1" w:styleId="73">
    <w:name w:val="标题 2 Char1"/>
    <w:link w:val="3"/>
    <w:qFormat/>
    <w:uiPriority w:val="0"/>
    <w:rPr>
      <w:rFonts w:ascii="Arial" w:hAnsi="Arial" w:eastAsia="黑体" w:cs="Times New Roman"/>
      <w:b/>
      <w:bCs/>
      <w:sz w:val="32"/>
      <w:szCs w:val="32"/>
    </w:rPr>
  </w:style>
  <w:style w:type="character" w:customStyle="1" w:styleId="74">
    <w:name w:val="标题 3 Char1"/>
    <w:link w:val="4"/>
    <w:qFormat/>
    <w:uiPriority w:val="0"/>
    <w:rPr>
      <w:rFonts w:ascii="Times New Roman" w:hAnsi="Times New Roman" w:eastAsia="宋体" w:cs="Times New Roman"/>
      <w:b/>
      <w:bCs/>
      <w:sz w:val="32"/>
      <w:szCs w:val="32"/>
    </w:rPr>
  </w:style>
  <w:style w:type="paragraph" w:customStyle="1" w:styleId="75">
    <w:name w:val="Char"/>
    <w:basedOn w:val="1"/>
    <w:qFormat/>
    <w:uiPriority w:val="0"/>
    <w:pPr>
      <w:spacing w:line="360" w:lineRule="auto"/>
      <w:ind w:firstLine="200" w:firstLineChars="200"/>
    </w:pPr>
  </w:style>
  <w:style w:type="character" w:customStyle="1" w:styleId="76">
    <w:name w:val="日期 Char"/>
    <w:basedOn w:val="50"/>
    <w:link w:val="29"/>
    <w:qFormat/>
    <w:uiPriority w:val="0"/>
    <w:rPr>
      <w:rFonts w:ascii="Times New Roman" w:hAnsi="Times New Roman" w:eastAsia="宋体" w:cs="Times New Roman"/>
      <w:szCs w:val="24"/>
    </w:rPr>
  </w:style>
  <w:style w:type="character" w:customStyle="1" w:styleId="77">
    <w:name w:val="文档结构图 Char"/>
    <w:basedOn w:val="50"/>
    <w:link w:val="16"/>
    <w:semiHidden/>
    <w:qFormat/>
    <w:uiPriority w:val="0"/>
    <w:rPr>
      <w:rFonts w:ascii="Times New Roman" w:hAnsi="Times New Roman" w:eastAsia="宋体" w:cs="Times New Roman"/>
      <w:szCs w:val="24"/>
      <w:shd w:val="clear" w:color="auto" w:fill="000080"/>
    </w:rPr>
  </w:style>
  <w:style w:type="character" w:customStyle="1" w:styleId="78">
    <w:name w:val="正文缩进 Char"/>
    <w:link w:val="14"/>
    <w:qFormat/>
    <w:uiPriority w:val="0"/>
    <w:rPr>
      <w:rFonts w:ascii="Times New Roman" w:hAnsi="Times New Roman" w:eastAsia="宋体" w:cs="Times New Roman"/>
      <w:sz w:val="28"/>
      <w:szCs w:val="20"/>
    </w:rPr>
  </w:style>
  <w:style w:type="character" w:customStyle="1" w:styleId="79">
    <w:name w:val="zhenwen141"/>
    <w:qFormat/>
    <w:uiPriority w:val="0"/>
    <w:rPr>
      <w:rFonts w:hint="default" w:ascii="ˎ̥" w:hAnsi="ˎ̥"/>
      <w:sz w:val="21"/>
      <w:szCs w:val="21"/>
    </w:rPr>
  </w:style>
  <w:style w:type="character" w:customStyle="1" w:styleId="80">
    <w:name w:val="正文文本缩进 Char"/>
    <w:basedOn w:val="50"/>
    <w:link w:val="22"/>
    <w:qFormat/>
    <w:uiPriority w:val="0"/>
    <w:rPr>
      <w:rFonts w:ascii="Times New Roman" w:hAnsi="Times New Roman" w:eastAsia="宋体" w:cs="Times New Roman"/>
      <w:szCs w:val="24"/>
    </w:rPr>
  </w:style>
  <w:style w:type="character" w:customStyle="1" w:styleId="81">
    <w:name w:val="纯文本 Char"/>
    <w:basedOn w:val="50"/>
    <w:link w:val="27"/>
    <w:qFormat/>
    <w:uiPriority w:val="0"/>
    <w:rPr>
      <w:rFonts w:ascii="宋体" w:hAnsi="Courier New" w:eastAsia="宋体" w:cs="Times New Roman"/>
      <w:szCs w:val="20"/>
    </w:rPr>
  </w:style>
  <w:style w:type="character" w:customStyle="1" w:styleId="82">
    <w:name w:val="px141"/>
    <w:qFormat/>
    <w:uiPriority w:val="0"/>
    <w:rPr>
      <w:sz w:val="21"/>
      <w:szCs w:val="21"/>
    </w:rPr>
  </w:style>
  <w:style w:type="paragraph" w:customStyle="1" w:styleId="83">
    <w:name w:val="二级无标题条"/>
    <w:basedOn w:val="1"/>
    <w:qFormat/>
    <w:uiPriority w:val="0"/>
  </w:style>
  <w:style w:type="character" w:customStyle="1" w:styleId="84">
    <w:name w:val="正文文本 Char"/>
    <w:basedOn w:val="50"/>
    <w:link w:val="20"/>
    <w:qFormat/>
    <w:uiPriority w:val="0"/>
    <w:rPr>
      <w:rFonts w:ascii="Times New Roman" w:hAnsi="Times New Roman" w:eastAsia="宋体" w:cs="Times New Roman"/>
      <w:szCs w:val="24"/>
    </w:rPr>
  </w:style>
  <w:style w:type="character" w:customStyle="1" w:styleId="85">
    <w:name w:val="正文首行缩进 Char"/>
    <w:basedOn w:val="84"/>
    <w:link w:val="46"/>
    <w:qFormat/>
    <w:uiPriority w:val="0"/>
    <w:rPr>
      <w:rFonts w:ascii="Times New Roman" w:hAnsi="Times New Roman" w:eastAsia="宋体" w:cs="Times New Roman"/>
      <w:szCs w:val="24"/>
    </w:rPr>
  </w:style>
  <w:style w:type="character" w:customStyle="1" w:styleId="86">
    <w:name w:val="title41"/>
    <w:qFormat/>
    <w:uiPriority w:val="0"/>
    <w:rPr>
      <w:rFonts w:hint="eastAsia" w:ascii="宋体" w:hAnsi="宋体" w:eastAsia="宋体"/>
      <w:color w:val="FF6600"/>
      <w:sz w:val="36"/>
      <w:szCs w:val="36"/>
    </w:rPr>
  </w:style>
  <w:style w:type="character" w:customStyle="1" w:styleId="87">
    <w:name w:val="title31"/>
    <w:qFormat/>
    <w:uiPriority w:val="0"/>
    <w:rPr>
      <w:rFonts w:hint="eastAsia" w:ascii="黑体" w:eastAsia="黑体"/>
      <w:sz w:val="36"/>
      <w:szCs w:val="36"/>
    </w:rPr>
  </w:style>
  <w:style w:type="character" w:customStyle="1" w:styleId="88">
    <w:name w:val="title21"/>
    <w:qFormat/>
    <w:uiPriority w:val="0"/>
    <w:rPr>
      <w:rFonts w:hint="eastAsia" w:ascii="黑体" w:eastAsia="黑体"/>
      <w:b/>
      <w:bCs/>
      <w:sz w:val="45"/>
      <w:szCs w:val="45"/>
    </w:rPr>
  </w:style>
  <w:style w:type="paragraph" w:customStyle="1" w:styleId="89">
    <w:name w:val="表格正文"/>
    <w:basedOn w:val="1"/>
    <w:next w:val="1"/>
    <w:qFormat/>
    <w:uiPriority w:val="0"/>
    <w:pPr>
      <w:spacing w:line="360" w:lineRule="exact"/>
      <w:jc w:val="center"/>
    </w:pPr>
    <w:rPr>
      <w:rFonts w:ascii="Arial" w:hAnsi="Arial"/>
    </w:rPr>
  </w:style>
  <w:style w:type="character" w:customStyle="1" w:styleId="90">
    <w:name w:val="abstract_page_text1"/>
    <w:qFormat/>
    <w:uiPriority w:val="0"/>
    <w:rPr>
      <w:rFonts w:hint="default" w:ascii="Arial" w:hAnsi="Arial" w:cs="Arial"/>
      <w:color w:val="000000"/>
      <w:sz w:val="20"/>
      <w:szCs w:val="20"/>
    </w:rPr>
  </w:style>
  <w:style w:type="paragraph" w:customStyle="1" w:styleId="91">
    <w:name w:val="样式1"/>
    <w:basedOn w:val="5"/>
    <w:qFormat/>
    <w:uiPriority w:val="0"/>
    <w:pPr>
      <w:spacing w:line="360" w:lineRule="auto"/>
    </w:pPr>
    <w:rPr>
      <w:rFonts w:eastAsia="仿宋_GB2312"/>
      <w:sz w:val="24"/>
    </w:rPr>
  </w:style>
  <w:style w:type="character" w:customStyle="1" w:styleId="92">
    <w:name w:val="Char Char"/>
    <w:qFormat/>
    <w:uiPriority w:val="0"/>
    <w:rPr>
      <w:rFonts w:eastAsia="宋体"/>
      <w:b/>
      <w:bCs/>
      <w:kern w:val="2"/>
      <w:sz w:val="32"/>
      <w:szCs w:val="32"/>
      <w:lang w:val="en-US" w:eastAsia="zh-CN" w:bidi="ar-SA"/>
    </w:rPr>
  </w:style>
  <w:style w:type="paragraph" w:customStyle="1" w:styleId="93">
    <w:name w:val="表格居中"/>
    <w:basedOn w:val="1"/>
    <w:link w:val="94"/>
    <w:qFormat/>
    <w:uiPriority w:val="0"/>
    <w:pPr>
      <w:jc w:val="center"/>
    </w:pPr>
  </w:style>
  <w:style w:type="character" w:customStyle="1" w:styleId="94">
    <w:name w:val="表格居中 Char"/>
    <w:link w:val="93"/>
    <w:qFormat/>
    <w:uiPriority w:val="0"/>
    <w:rPr>
      <w:rFonts w:ascii="Times New Roman" w:hAnsi="Times New Roman" w:eastAsia="宋体" w:cs="Times New Roman"/>
      <w:szCs w:val="24"/>
    </w:rPr>
  </w:style>
  <w:style w:type="paragraph" w:customStyle="1" w:styleId="95">
    <w:name w:val="1"/>
    <w:basedOn w:val="1"/>
    <w:next w:val="14"/>
    <w:qFormat/>
    <w:uiPriority w:val="0"/>
    <w:pPr>
      <w:ind w:firstLine="420" w:firstLineChars="200"/>
    </w:pPr>
    <w:rPr>
      <w:sz w:val="28"/>
      <w:szCs w:val="20"/>
    </w:rPr>
  </w:style>
  <w:style w:type="paragraph" w:customStyle="1" w:styleId="96">
    <w:name w:val="Char1 Char Char Char"/>
    <w:basedOn w:val="1"/>
    <w:qFormat/>
    <w:uiPriority w:val="0"/>
  </w:style>
  <w:style w:type="paragraph" w:customStyle="1" w:styleId="97">
    <w:name w:val="表格"/>
    <w:basedOn w:val="1"/>
    <w:next w:val="1"/>
    <w:qFormat/>
    <w:uiPriority w:val="0"/>
    <w:pPr>
      <w:keepNext/>
      <w:adjustRightInd w:val="0"/>
      <w:spacing w:line="312" w:lineRule="atLeast"/>
      <w:jc w:val="center"/>
      <w:textAlignment w:val="baseline"/>
    </w:pPr>
    <w:rPr>
      <w:kern w:val="0"/>
      <w:szCs w:val="20"/>
    </w:rPr>
  </w:style>
  <w:style w:type="paragraph" w:customStyle="1" w:styleId="98">
    <w:name w:val="Char Char Char Char"/>
    <w:basedOn w:val="1"/>
    <w:qFormat/>
    <w:uiPriority w:val="0"/>
    <w:pPr>
      <w:spacing w:line="360" w:lineRule="auto"/>
      <w:ind w:firstLine="200" w:firstLineChars="200"/>
    </w:pPr>
    <w:rPr>
      <w:rFonts w:ascii="宋体" w:hAnsi="宋体" w:cs="宋体"/>
      <w:sz w:val="24"/>
    </w:rPr>
  </w:style>
  <w:style w:type="paragraph" w:customStyle="1" w:styleId="99">
    <w:name w:val="Char Char1 Char Char Char Char Char Char Char Char Char Char Char Char Char Char Char Char Char Char Char Char1 Char"/>
    <w:basedOn w:val="1"/>
    <w:qFormat/>
    <w:uiPriority w:val="0"/>
    <w:pPr>
      <w:spacing w:before="60" w:line="360" w:lineRule="auto"/>
      <w:ind w:firstLine="200" w:firstLineChars="200"/>
    </w:pPr>
    <w:rPr>
      <w:rFonts w:ascii="宋体" w:hAnsi="宋体" w:cs="宋体"/>
      <w:sz w:val="24"/>
    </w:rPr>
  </w:style>
  <w:style w:type="character" w:customStyle="1" w:styleId="100">
    <w:name w:val="title2"/>
    <w:basedOn w:val="50"/>
    <w:qFormat/>
    <w:uiPriority w:val="0"/>
  </w:style>
  <w:style w:type="paragraph" w:customStyle="1" w:styleId="101">
    <w:name w:val="Char Char Char Char Char Char Char Char Char1 Char Char Char Char"/>
    <w:basedOn w:val="1"/>
    <w:qFormat/>
    <w:uiPriority w:val="0"/>
    <w:pPr>
      <w:spacing w:line="360" w:lineRule="auto"/>
      <w:ind w:firstLine="200" w:firstLineChars="200"/>
    </w:pPr>
    <w:rPr>
      <w:rFonts w:ascii="宋体" w:hAnsi="宋体" w:cs="宋体"/>
      <w:sz w:val="24"/>
    </w:rPr>
  </w:style>
  <w:style w:type="character" w:customStyle="1" w:styleId="102">
    <w:name w:val="正文1"/>
    <w:qFormat/>
    <w:uiPriority w:val="0"/>
    <w:rPr>
      <w:rFonts w:hint="eastAsia" w:ascii="宋体" w:hAnsi="宋体" w:eastAsia="宋体"/>
      <w:spacing w:val="400"/>
      <w:sz w:val="22"/>
      <w:szCs w:val="22"/>
    </w:rPr>
  </w:style>
  <w:style w:type="character" w:customStyle="1" w:styleId="103">
    <w:name w:val="正文文本 3 Char"/>
    <w:basedOn w:val="50"/>
    <w:link w:val="19"/>
    <w:qFormat/>
    <w:uiPriority w:val="0"/>
    <w:rPr>
      <w:rFonts w:ascii="Times New Roman" w:hAnsi="Times New Roman" w:eastAsia="宋体" w:cs="Times New Roman"/>
      <w:sz w:val="16"/>
      <w:szCs w:val="16"/>
    </w:rPr>
  </w:style>
  <w:style w:type="paragraph" w:customStyle="1" w:styleId="104">
    <w:name w:val="Char Char Char Char Char Char3 Char Char Char Char Char Char Char"/>
    <w:basedOn w:val="1"/>
    <w:next w:val="1"/>
    <w:qFormat/>
    <w:uiPriority w:val="0"/>
    <w:rPr>
      <w:rFonts w:eastAsia="黑体"/>
      <w:sz w:val="28"/>
    </w:rPr>
  </w:style>
  <w:style w:type="character" w:customStyle="1" w:styleId="105">
    <w:name w:val="Char Char1"/>
    <w:qFormat/>
    <w:uiPriority w:val="0"/>
    <w:rPr>
      <w:rFonts w:eastAsia="宋体"/>
      <w:b/>
      <w:bCs/>
      <w:kern w:val="44"/>
      <w:sz w:val="44"/>
      <w:szCs w:val="44"/>
      <w:lang w:val="en-US" w:eastAsia="zh-CN" w:bidi="ar-SA"/>
    </w:rPr>
  </w:style>
  <w:style w:type="paragraph" w:customStyle="1" w:styleId="106">
    <w:name w:val="正文01"/>
    <w:basedOn w:val="1"/>
    <w:link w:val="107"/>
    <w:qFormat/>
    <w:uiPriority w:val="0"/>
    <w:pPr>
      <w:adjustRightInd w:val="0"/>
      <w:snapToGrid w:val="0"/>
      <w:spacing w:before="60" w:line="460" w:lineRule="exact"/>
      <w:ind w:firstLine="200" w:firstLineChars="200"/>
    </w:pPr>
    <w:rPr>
      <w:snapToGrid w:val="0"/>
      <w:color w:val="000000"/>
      <w:kern w:val="0"/>
      <w:sz w:val="24"/>
    </w:rPr>
  </w:style>
  <w:style w:type="character" w:customStyle="1" w:styleId="107">
    <w:name w:val="正文01 Char"/>
    <w:link w:val="106"/>
    <w:qFormat/>
    <w:locked/>
    <w:uiPriority w:val="0"/>
    <w:rPr>
      <w:rFonts w:ascii="Times New Roman" w:hAnsi="Times New Roman" w:eastAsia="宋体" w:cs="Times New Roman"/>
      <w:snapToGrid w:val="0"/>
      <w:color w:val="000000"/>
      <w:kern w:val="0"/>
      <w:sz w:val="24"/>
      <w:szCs w:val="24"/>
    </w:rPr>
  </w:style>
  <w:style w:type="paragraph" w:customStyle="1" w:styleId="108">
    <w:name w:val="正文001"/>
    <w:basedOn w:val="1"/>
    <w:link w:val="109"/>
    <w:qFormat/>
    <w:uiPriority w:val="0"/>
    <w:pPr>
      <w:spacing w:before="60" w:line="420" w:lineRule="exact"/>
      <w:ind w:firstLine="482"/>
    </w:pPr>
    <w:rPr>
      <w:sz w:val="24"/>
      <w:szCs w:val="20"/>
    </w:rPr>
  </w:style>
  <w:style w:type="character" w:customStyle="1" w:styleId="109">
    <w:name w:val="正文001 Char"/>
    <w:link w:val="108"/>
    <w:qFormat/>
    <w:uiPriority w:val="0"/>
    <w:rPr>
      <w:rFonts w:ascii="Times New Roman" w:hAnsi="Times New Roman" w:eastAsia="宋体" w:cs="Times New Roman"/>
      <w:sz w:val="24"/>
      <w:szCs w:val="20"/>
    </w:rPr>
  </w:style>
  <w:style w:type="character" w:customStyle="1" w:styleId="110">
    <w:name w:val="ddd"/>
    <w:basedOn w:val="50"/>
    <w:qFormat/>
    <w:uiPriority w:val="0"/>
  </w:style>
  <w:style w:type="character" w:customStyle="1" w:styleId="111">
    <w:name w:val="name1"/>
    <w:qFormat/>
    <w:uiPriority w:val="0"/>
    <w:rPr>
      <w:sz w:val="24"/>
      <w:szCs w:val="24"/>
    </w:rPr>
  </w:style>
  <w:style w:type="paragraph" w:customStyle="1" w:styleId="112">
    <w:name w:val="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13">
    <w:name w:val="表格1"/>
    <w:basedOn w:val="1"/>
    <w:qFormat/>
    <w:uiPriority w:val="0"/>
    <w:pPr>
      <w:adjustRightInd w:val="0"/>
      <w:spacing w:line="20" w:lineRule="atLeast"/>
      <w:ind w:firstLine="482"/>
      <w:jc w:val="center"/>
      <w:textAlignment w:val="baseline"/>
    </w:pPr>
    <w:rPr>
      <w:rFonts w:ascii="仿宋体"/>
      <w:kern w:val="0"/>
      <w:sz w:val="10"/>
      <w:szCs w:val="20"/>
    </w:rPr>
  </w:style>
  <w:style w:type="character" w:customStyle="1" w:styleId="114">
    <w:name w:val="正文首行缩进 2 Char"/>
    <w:basedOn w:val="80"/>
    <w:link w:val="47"/>
    <w:qFormat/>
    <w:uiPriority w:val="0"/>
    <w:rPr>
      <w:rFonts w:ascii="Times New Roman" w:hAnsi="Times New Roman" w:eastAsia="宋体" w:cs="Times New Roman"/>
      <w:sz w:val="24"/>
      <w:szCs w:val="24"/>
    </w:rPr>
  </w:style>
  <w:style w:type="character" w:customStyle="1" w:styleId="115">
    <w:name w:val="正文文本缩进 2 Char"/>
    <w:basedOn w:val="50"/>
    <w:link w:val="30"/>
    <w:qFormat/>
    <w:uiPriority w:val="0"/>
    <w:rPr>
      <w:rFonts w:ascii="Times New Roman" w:hAnsi="Times New Roman" w:eastAsia="宋体" w:cs="Times New Roman"/>
      <w:szCs w:val="24"/>
    </w:rPr>
  </w:style>
  <w:style w:type="paragraph" w:customStyle="1" w:styleId="116">
    <w:name w:val="8"/>
    <w:basedOn w:val="1"/>
    <w:next w:val="14"/>
    <w:qFormat/>
    <w:uiPriority w:val="0"/>
    <w:pPr>
      <w:ind w:firstLine="420" w:firstLineChars="200"/>
    </w:pPr>
  </w:style>
  <w:style w:type="paragraph" w:customStyle="1" w:styleId="117">
    <w:name w:val="7"/>
    <w:basedOn w:val="1"/>
    <w:next w:val="14"/>
    <w:qFormat/>
    <w:uiPriority w:val="0"/>
    <w:pPr>
      <w:ind w:firstLine="420" w:firstLineChars="200"/>
    </w:pPr>
  </w:style>
  <w:style w:type="character" w:customStyle="1" w:styleId="118">
    <w:name w:val="正文文本缩进 3 Char"/>
    <w:basedOn w:val="50"/>
    <w:link w:val="39"/>
    <w:qFormat/>
    <w:uiPriority w:val="0"/>
    <w:rPr>
      <w:rFonts w:ascii="Times New Roman" w:hAnsi="Times New Roman" w:eastAsia="宋体" w:cs="Times New Roman"/>
      <w:sz w:val="16"/>
      <w:szCs w:val="16"/>
    </w:rPr>
  </w:style>
  <w:style w:type="paragraph" w:customStyle="1" w:styleId="119">
    <w:name w:val="6"/>
    <w:basedOn w:val="1"/>
    <w:next w:val="14"/>
    <w:qFormat/>
    <w:uiPriority w:val="0"/>
    <w:pPr>
      <w:ind w:firstLine="420" w:firstLineChars="200"/>
    </w:pPr>
  </w:style>
  <w:style w:type="character" w:customStyle="1" w:styleId="120">
    <w:name w:val="正文文本 2 Char"/>
    <w:basedOn w:val="50"/>
    <w:link w:val="43"/>
    <w:qFormat/>
    <w:uiPriority w:val="0"/>
    <w:rPr>
      <w:rFonts w:ascii="Times New Roman" w:hAnsi="Times New Roman" w:eastAsia="宋体" w:cs="Times New Roman"/>
      <w:szCs w:val="24"/>
    </w:rPr>
  </w:style>
  <w:style w:type="paragraph" w:customStyle="1" w:styleId="121">
    <w:name w:val="5"/>
    <w:basedOn w:val="1"/>
    <w:next w:val="14"/>
    <w:qFormat/>
    <w:uiPriority w:val="0"/>
    <w:pPr>
      <w:ind w:firstLine="420" w:firstLineChars="200"/>
    </w:pPr>
  </w:style>
  <w:style w:type="paragraph" w:customStyle="1" w:styleId="122">
    <w:name w:val="4"/>
    <w:basedOn w:val="1"/>
    <w:next w:val="22"/>
    <w:qFormat/>
    <w:uiPriority w:val="0"/>
    <w:pPr>
      <w:spacing w:after="120"/>
      <w:ind w:left="420"/>
    </w:pPr>
  </w:style>
  <w:style w:type="paragraph" w:customStyle="1" w:styleId="123">
    <w:name w:val="2"/>
    <w:basedOn w:val="1"/>
    <w:next w:val="14"/>
    <w:qFormat/>
    <w:uiPriority w:val="0"/>
    <w:pPr>
      <w:spacing w:line="440" w:lineRule="exact"/>
      <w:ind w:firstLine="560" w:firstLineChars="200"/>
    </w:pPr>
    <w:rPr>
      <w:sz w:val="28"/>
      <w:szCs w:val="20"/>
    </w:rPr>
  </w:style>
  <w:style w:type="character" w:customStyle="1" w:styleId="124">
    <w:name w:val="small"/>
    <w:basedOn w:val="50"/>
    <w:qFormat/>
    <w:uiPriority w:val="0"/>
  </w:style>
  <w:style w:type="paragraph" w:customStyle="1" w:styleId="125">
    <w:name w:val="3"/>
    <w:basedOn w:val="1"/>
    <w:next w:val="22"/>
    <w:qFormat/>
    <w:uiPriority w:val="0"/>
    <w:pPr>
      <w:spacing w:line="500" w:lineRule="exact"/>
      <w:ind w:firstLine="576" w:firstLineChars="192"/>
    </w:pPr>
    <w:rPr>
      <w:rFonts w:ascii="仿宋_GB2312" w:eastAsia="仿宋_GB2312"/>
      <w:sz w:val="30"/>
    </w:rPr>
  </w:style>
  <w:style w:type="character" w:customStyle="1" w:styleId="126">
    <w:name w:val="f41"/>
    <w:qFormat/>
    <w:uiPriority w:val="0"/>
    <w:rPr>
      <w:color w:val="333333"/>
      <w:sz w:val="21"/>
      <w:szCs w:val="21"/>
    </w:rPr>
  </w:style>
  <w:style w:type="character" w:customStyle="1" w:styleId="127">
    <w:name w:val="style21"/>
    <w:qFormat/>
    <w:uiPriority w:val="0"/>
    <w:rPr>
      <w:sz w:val="21"/>
      <w:szCs w:val="21"/>
    </w:rPr>
  </w:style>
  <w:style w:type="character" w:customStyle="1" w:styleId="128">
    <w:name w:val="zw"/>
    <w:basedOn w:val="50"/>
    <w:qFormat/>
    <w:uiPriority w:val="0"/>
  </w:style>
  <w:style w:type="character" w:customStyle="1" w:styleId="129">
    <w:name w:val="tdword"/>
    <w:basedOn w:val="50"/>
    <w:qFormat/>
    <w:uiPriority w:val="0"/>
  </w:style>
  <w:style w:type="paragraph" w:customStyle="1" w:styleId="130">
    <w:name w:val="1item"/>
    <w:basedOn w:val="1"/>
    <w:qFormat/>
    <w:uiPriority w:val="0"/>
    <w:pPr>
      <w:widowControl/>
      <w:spacing w:before="100" w:beforeAutospacing="1" w:after="100" w:afterAutospacing="1"/>
      <w:ind w:firstLine="440"/>
      <w:jc w:val="left"/>
    </w:pPr>
    <w:rPr>
      <w:rFonts w:ascii="Arial Unicode MS" w:hAnsi="Arial Unicode MS"/>
      <w:kern w:val="0"/>
      <w:sz w:val="24"/>
    </w:rPr>
  </w:style>
  <w:style w:type="paragraph" w:customStyle="1" w:styleId="131">
    <w:name w:val="text_1"/>
    <w:basedOn w:val="1"/>
    <w:qFormat/>
    <w:uiPriority w:val="0"/>
    <w:pPr>
      <w:widowControl/>
      <w:spacing w:before="100" w:beforeAutospacing="1" w:after="100" w:afterAutospacing="1"/>
      <w:jc w:val="left"/>
    </w:pPr>
    <w:rPr>
      <w:rFonts w:ascii="宋体" w:hAnsi="宋体"/>
      <w:color w:val="000000"/>
      <w:kern w:val="0"/>
      <w:sz w:val="24"/>
    </w:rPr>
  </w:style>
  <w:style w:type="character" w:customStyle="1" w:styleId="132">
    <w:name w:val="HTML 预设格式 Char"/>
    <w:basedOn w:val="50"/>
    <w:link w:val="44"/>
    <w:qFormat/>
    <w:uiPriority w:val="0"/>
    <w:rPr>
      <w:rFonts w:ascii="宋体" w:hAnsi="宋体" w:eastAsia="宋体" w:cs="宋体"/>
      <w:kern w:val="0"/>
      <w:sz w:val="24"/>
      <w:szCs w:val="24"/>
    </w:rPr>
  </w:style>
  <w:style w:type="character" w:customStyle="1" w:styleId="133">
    <w:name w:val="text-black-131"/>
    <w:qFormat/>
    <w:uiPriority w:val="0"/>
    <w:rPr>
      <w:rFonts w:hint="default"/>
      <w:color w:val="000000"/>
      <w:spacing w:val="312"/>
      <w:sz w:val="22"/>
      <w:szCs w:val="22"/>
    </w:rPr>
  </w:style>
  <w:style w:type="character" w:customStyle="1" w:styleId="134">
    <w:name w:val="hangju"/>
    <w:basedOn w:val="50"/>
    <w:qFormat/>
    <w:uiPriority w:val="0"/>
  </w:style>
  <w:style w:type="character" w:customStyle="1" w:styleId="135">
    <w:name w:val="121"/>
    <w:qFormat/>
    <w:uiPriority w:val="0"/>
    <w:rPr>
      <w:color w:val="000000"/>
      <w:spacing w:val="368"/>
      <w:sz w:val="20"/>
      <w:szCs w:val="20"/>
    </w:rPr>
  </w:style>
  <w:style w:type="paragraph" w:customStyle="1" w:styleId="136">
    <w:name w:val="font5"/>
    <w:basedOn w:val="1"/>
    <w:qFormat/>
    <w:uiPriority w:val="0"/>
    <w:pPr>
      <w:widowControl/>
      <w:spacing w:before="100" w:beforeAutospacing="1" w:after="100" w:afterAutospacing="1"/>
      <w:jc w:val="left"/>
    </w:pPr>
    <w:rPr>
      <w:rFonts w:eastAsia="Arial Unicode MS"/>
      <w:kern w:val="0"/>
      <w:sz w:val="24"/>
    </w:rPr>
  </w:style>
  <w:style w:type="paragraph" w:customStyle="1" w:styleId="137">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仿宋_GB2312" w:hAnsi="Arial Unicode MS" w:eastAsia="仿宋_GB2312" w:cs="Arial Unicode MS"/>
      <w:kern w:val="0"/>
      <w:sz w:val="24"/>
    </w:rPr>
  </w:style>
  <w:style w:type="paragraph" w:customStyle="1" w:styleId="138">
    <w:name w:val="xl23"/>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eastAsia="Arial Unicode MS"/>
      <w:kern w:val="0"/>
      <w:sz w:val="24"/>
    </w:rPr>
  </w:style>
  <w:style w:type="paragraph" w:customStyle="1" w:styleId="139">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int="eastAsia" w:ascii="仿宋_GB2312" w:hAnsi="Arial Unicode MS" w:eastAsia="仿宋_GB2312" w:cs="Arial Unicode MS"/>
      <w:kern w:val="0"/>
      <w:sz w:val="24"/>
    </w:rPr>
  </w:style>
  <w:style w:type="paragraph" w:customStyle="1" w:styleId="140">
    <w:name w:val="xl25"/>
    <w:basedOn w:val="1"/>
    <w:qFormat/>
    <w:uiPriority w:val="0"/>
    <w:pPr>
      <w:widowControl/>
      <w:pBdr>
        <w:bottom w:val="single" w:color="auto" w:sz="4" w:space="0"/>
        <w:right w:val="single" w:color="auto" w:sz="4" w:space="0"/>
      </w:pBdr>
      <w:spacing w:before="100" w:beforeAutospacing="1" w:after="100" w:afterAutospacing="1"/>
      <w:jc w:val="center"/>
    </w:pPr>
    <w:rPr>
      <w:rFonts w:eastAsia="Arial Unicode MS"/>
      <w:kern w:val="0"/>
      <w:sz w:val="24"/>
    </w:rPr>
  </w:style>
  <w:style w:type="paragraph" w:customStyle="1" w:styleId="141">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eastAsia="Arial Unicode MS"/>
      <w:kern w:val="0"/>
      <w:sz w:val="24"/>
    </w:rPr>
  </w:style>
  <w:style w:type="paragraph" w:customStyle="1" w:styleId="142">
    <w:name w:val="10"/>
    <w:basedOn w:val="1"/>
    <w:next w:val="20"/>
    <w:qFormat/>
    <w:uiPriority w:val="0"/>
    <w:pPr>
      <w:jc w:val="center"/>
    </w:pPr>
    <w:rPr>
      <w:sz w:val="24"/>
    </w:rPr>
  </w:style>
  <w:style w:type="paragraph" w:customStyle="1" w:styleId="143">
    <w:name w:val="xl30"/>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 w:val="18"/>
      <w:szCs w:val="18"/>
    </w:rPr>
  </w:style>
  <w:style w:type="paragraph" w:customStyle="1" w:styleId="144">
    <w:name w:val="表格标题"/>
    <w:basedOn w:val="1"/>
    <w:link w:val="145"/>
    <w:qFormat/>
    <w:uiPriority w:val="0"/>
    <w:pPr>
      <w:spacing w:before="60" w:line="460" w:lineRule="exact"/>
      <w:jc w:val="center"/>
    </w:pPr>
    <w:rPr>
      <w:rFonts w:ascii="Arial" w:hAnsi="Arial"/>
      <w:sz w:val="24"/>
    </w:rPr>
  </w:style>
  <w:style w:type="character" w:customStyle="1" w:styleId="145">
    <w:name w:val="表格标题 Char"/>
    <w:basedOn w:val="50"/>
    <w:link w:val="144"/>
    <w:qFormat/>
    <w:uiPriority w:val="0"/>
    <w:rPr>
      <w:rFonts w:ascii="Arial" w:hAnsi="Arial" w:eastAsia="宋体" w:cs="Times New Roman"/>
      <w:sz w:val="24"/>
      <w:szCs w:val="24"/>
    </w:rPr>
  </w:style>
  <w:style w:type="paragraph" w:customStyle="1" w:styleId="146">
    <w:name w:val="17"/>
    <w:basedOn w:val="1"/>
    <w:next w:val="14"/>
    <w:qFormat/>
    <w:uiPriority w:val="0"/>
    <w:pPr>
      <w:ind w:firstLine="420" w:firstLineChars="200"/>
    </w:pPr>
  </w:style>
  <w:style w:type="paragraph" w:customStyle="1" w:styleId="147">
    <w:name w:val="16"/>
    <w:basedOn w:val="1"/>
    <w:next w:val="14"/>
    <w:qFormat/>
    <w:uiPriority w:val="0"/>
    <w:pPr>
      <w:ind w:firstLine="420" w:firstLineChars="200"/>
    </w:pPr>
  </w:style>
  <w:style w:type="paragraph" w:customStyle="1" w:styleId="148">
    <w:name w:val="15"/>
    <w:basedOn w:val="1"/>
    <w:next w:val="14"/>
    <w:qFormat/>
    <w:uiPriority w:val="0"/>
    <w:pPr>
      <w:ind w:firstLine="420" w:firstLineChars="200"/>
    </w:pPr>
  </w:style>
  <w:style w:type="paragraph" w:customStyle="1" w:styleId="149">
    <w:name w:val="14"/>
    <w:basedOn w:val="1"/>
    <w:next w:val="14"/>
    <w:qFormat/>
    <w:uiPriority w:val="0"/>
    <w:pPr>
      <w:ind w:firstLine="420" w:firstLineChars="200"/>
    </w:pPr>
  </w:style>
  <w:style w:type="paragraph" w:customStyle="1" w:styleId="150">
    <w:name w:val="13"/>
    <w:basedOn w:val="1"/>
    <w:next w:val="22"/>
    <w:qFormat/>
    <w:uiPriority w:val="0"/>
    <w:pPr>
      <w:spacing w:after="120"/>
      <w:ind w:left="420"/>
    </w:pPr>
  </w:style>
  <w:style w:type="paragraph" w:customStyle="1" w:styleId="151">
    <w:name w:val="12"/>
    <w:basedOn w:val="1"/>
    <w:next w:val="22"/>
    <w:qFormat/>
    <w:uiPriority w:val="0"/>
    <w:pPr>
      <w:spacing w:line="500" w:lineRule="exact"/>
      <w:ind w:firstLine="576" w:firstLineChars="192"/>
    </w:pPr>
    <w:rPr>
      <w:rFonts w:ascii="仿宋_GB2312" w:eastAsia="仿宋_GB2312"/>
      <w:sz w:val="30"/>
    </w:rPr>
  </w:style>
  <w:style w:type="paragraph" w:customStyle="1" w:styleId="152">
    <w:name w:val="表格001"/>
    <w:basedOn w:val="1"/>
    <w:qFormat/>
    <w:uiPriority w:val="0"/>
    <w:pPr>
      <w:jc w:val="center"/>
    </w:pPr>
    <w:rPr>
      <w:szCs w:val="20"/>
    </w:rPr>
  </w:style>
  <w:style w:type="paragraph" w:customStyle="1" w:styleId="153">
    <w:name w:val="表"/>
    <w:basedOn w:val="1"/>
    <w:qFormat/>
    <w:uiPriority w:val="0"/>
    <w:pPr>
      <w:snapToGrid w:val="0"/>
      <w:jc w:val="center"/>
    </w:pPr>
    <w:rPr>
      <w:spacing w:val="2"/>
      <w:szCs w:val="20"/>
    </w:rPr>
  </w:style>
  <w:style w:type="paragraph" w:customStyle="1" w:styleId="154">
    <w:name w:val="11"/>
    <w:basedOn w:val="1"/>
    <w:next w:val="22"/>
    <w:qFormat/>
    <w:uiPriority w:val="0"/>
    <w:pPr>
      <w:spacing w:after="120"/>
      <w:ind w:left="420"/>
    </w:pPr>
  </w:style>
  <w:style w:type="character" w:customStyle="1" w:styleId="155">
    <w:name w:val="标题1"/>
    <w:basedOn w:val="50"/>
    <w:qFormat/>
    <w:uiPriority w:val="0"/>
  </w:style>
  <w:style w:type="character" w:customStyle="1" w:styleId="156">
    <w:name w:val="zity31"/>
    <w:qFormat/>
    <w:uiPriority w:val="0"/>
    <w:rPr>
      <w:rFonts w:hint="default"/>
      <w:color w:val="000000"/>
      <w:sz w:val="15"/>
      <w:szCs w:val="15"/>
    </w:rPr>
  </w:style>
  <w:style w:type="paragraph" w:customStyle="1" w:styleId="157">
    <w:name w:val="font_mid"/>
    <w:basedOn w:val="1"/>
    <w:qFormat/>
    <w:uiPriority w:val="0"/>
    <w:pPr>
      <w:widowControl/>
      <w:spacing w:before="100" w:beforeAutospacing="1" w:after="100" w:afterAutospacing="1" w:line="335" w:lineRule="atLeast"/>
      <w:jc w:val="left"/>
    </w:pPr>
    <w:rPr>
      <w:rFonts w:ascii="Arial" w:hAnsi="Arial" w:eastAsia="Arial Unicode MS" w:cs="Arial"/>
      <w:kern w:val="0"/>
      <w:sz w:val="20"/>
      <w:szCs w:val="20"/>
    </w:rPr>
  </w:style>
  <w:style w:type="paragraph" w:customStyle="1" w:styleId="158">
    <w:name w:val="fcolor"/>
    <w:basedOn w:val="1"/>
    <w:qFormat/>
    <w:uiPriority w:val="0"/>
    <w:pPr>
      <w:widowControl/>
      <w:spacing w:before="100" w:beforeAutospacing="1" w:after="100" w:afterAutospacing="1"/>
      <w:jc w:val="left"/>
    </w:pPr>
    <w:rPr>
      <w:rFonts w:ascii="Arial Unicode MS" w:hAnsi="Arial Unicode MS" w:eastAsia="Arial Unicode MS" w:cs="Arial Unicode MS"/>
      <w:color w:val="071785"/>
      <w:kern w:val="0"/>
      <w:sz w:val="24"/>
    </w:rPr>
  </w:style>
  <w:style w:type="character" w:customStyle="1" w:styleId="159">
    <w:name w:val="style71"/>
    <w:qFormat/>
    <w:uiPriority w:val="0"/>
    <w:rPr>
      <w:sz w:val="18"/>
      <w:szCs w:val="18"/>
    </w:rPr>
  </w:style>
  <w:style w:type="character" w:customStyle="1" w:styleId="160">
    <w:name w:val="p01"/>
    <w:qFormat/>
    <w:uiPriority w:val="0"/>
    <w:rPr>
      <w:rFonts w:hint="default" w:ascii="Osaka" w:hAnsi="Osaka"/>
      <w:spacing w:val="300"/>
      <w:sz w:val="21"/>
      <w:szCs w:val="21"/>
    </w:rPr>
  </w:style>
  <w:style w:type="character" w:customStyle="1" w:styleId="161">
    <w:name w:val="nine-11"/>
    <w:qFormat/>
    <w:uiPriority w:val="0"/>
    <w:rPr>
      <w:rFonts w:hint="default"/>
      <w:spacing w:val="320"/>
      <w:sz w:val="18"/>
      <w:szCs w:val="18"/>
    </w:rPr>
  </w:style>
  <w:style w:type="character" w:customStyle="1" w:styleId="162">
    <w:name w:val="part-con"/>
    <w:basedOn w:val="50"/>
    <w:qFormat/>
    <w:uiPriority w:val="0"/>
  </w:style>
  <w:style w:type="paragraph" w:customStyle="1" w:styleId="163">
    <w:name w:val="9"/>
    <w:basedOn w:val="1"/>
    <w:next w:val="44"/>
    <w:qFormat/>
    <w:uiPriority w:val="0"/>
    <w:rPr>
      <w:rFonts w:ascii="Courier New" w:hAnsi="Courier New" w:eastAsia="仿宋_GB2312" w:cs="Courier New"/>
      <w:kern w:val="44"/>
      <w:sz w:val="20"/>
      <w:szCs w:val="20"/>
    </w:rPr>
  </w:style>
  <w:style w:type="paragraph" w:customStyle="1" w:styleId="164">
    <w:name w:val="样式 (中文) 仿宋_GB2312 四号 首行缩进:  0.98 厘米 行距: 固定值 22 磅"/>
    <w:basedOn w:val="1"/>
    <w:qFormat/>
    <w:uiPriority w:val="0"/>
    <w:pPr>
      <w:spacing w:line="300" w:lineRule="auto"/>
      <w:ind w:firstLine="556"/>
    </w:pPr>
    <w:rPr>
      <w:rFonts w:eastAsia="仿宋_GB2312" w:cs="宋体"/>
      <w:spacing w:val="-2"/>
      <w:sz w:val="28"/>
      <w:szCs w:val="20"/>
    </w:rPr>
  </w:style>
  <w:style w:type="paragraph" w:customStyle="1" w:styleId="165">
    <w:name w:val="3级标题"/>
    <w:basedOn w:val="1"/>
    <w:qFormat/>
    <w:uiPriority w:val="0"/>
    <w:pPr>
      <w:spacing w:before="300" w:line="460" w:lineRule="exact"/>
      <w:outlineLvl w:val="2"/>
    </w:pPr>
    <w:rPr>
      <w:rFonts w:ascii="Arial" w:hAnsi="Arial"/>
      <w:b/>
      <w:bCs/>
      <w:sz w:val="24"/>
      <w:szCs w:val="28"/>
    </w:rPr>
  </w:style>
  <w:style w:type="character" w:customStyle="1" w:styleId="166">
    <w:name w:val="普通文字 Char"/>
    <w:qFormat/>
    <w:uiPriority w:val="0"/>
    <w:rPr>
      <w:rFonts w:ascii="宋体" w:hAnsi="Courier New" w:eastAsia="宋体"/>
      <w:kern w:val="2"/>
      <w:sz w:val="21"/>
      <w:lang w:val="en-US" w:eastAsia="zh-CN" w:bidi="ar-SA"/>
    </w:rPr>
  </w:style>
  <w:style w:type="character" w:customStyle="1" w:styleId="167">
    <w:name w:val="px14"/>
    <w:basedOn w:val="50"/>
    <w:qFormat/>
    <w:uiPriority w:val="0"/>
  </w:style>
  <w:style w:type="character" w:customStyle="1" w:styleId="168">
    <w:name w:val="style31"/>
    <w:qFormat/>
    <w:uiPriority w:val="0"/>
    <w:rPr>
      <w:rFonts w:hint="default" w:ascii="Arial" w:hAnsi="Arial" w:cs="Arial"/>
      <w:sz w:val="18"/>
      <w:szCs w:val="18"/>
    </w:rPr>
  </w:style>
  <w:style w:type="character" w:customStyle="1" w:styleId="169">
    <w:name w:val="prod_text_body"/>
    <w:basedOn w:val="50"/>
    <w:qFormat/>
    <w:uiPriority w:val="0"/>
  </w:style>
  <w:style w:type="character" w:customStyle="1" w:styleId="170">
    <w:name w:val="unnamed11"/>
    <w:qFormat/>
    <w:uiPriority w:val="0"/>
    <w:rPr>
      <w:sz w:val="18"/>
      <w:szCs w:val="18"/>
    </w:rPr>
  </w:style>
  <w:style w:type="character" w:customStyle="1" w:styleId="171">
    <w:name w:val="text"/>
    <w:basedOn w:val="50"/>
    <w:qFormat/>
    <w:uiPriority w:val="0"/>
  </w:style>
  <w:style w:type="character" w:customStyle="1" w:styleId="172">
    <w:name w:val="smile4"/>
    <w:qFormat/>
    <w:uiPriority w:val="0"/>
    <w:rPr>
      <w:rFonts w:hint="default"/>
      <w:color w:val="000000"/>
      <w:spacing w:val="360"/>
      <w:sz w:val="18"/>
      <w:szCs w:val="18"/>
    </w:rPr>
  </w:style>
  <w:style w:type="paragraph" w:customStyle="1" w:styleId="173">
    <w:name w:val="Char Char Char Char Char Char Char Char Char Char Char Char Char"/>
    <w:basedOn w:val="1"/>
    <w:qFormat/>
    <w:uiPriority w:val="0"/>
    <w:pPr>
      <w:tabs>
        <w:tab w:val="left" w:pos="432"/>
      </w:tabs>
      <w:ind w:left="432" w:hanging="432"/>
    </w:pPr>
    <w:rPr>
      <w:rFonts w:ascii="Tahoma" w:hAnsi="Tahoma"/>
      <w:sz w:val="24"/>
      <w:szCs w:val="20"/>
    </w:rPr>
  </w:style>
  <w:style w:type="paragraph" w:customStyle="1" w:styleId="174">
    <w:name w:val="报告表格"/>
    <w:basedOn w:val="1"/>
    <w:next w:val="1"/>
    <w:qFormat/>
    <w:uiPriority w:val="0"/>
    <w:pPr>
      <w:autoSpaceDE w:val="0"/>
      <w:autoSpaceDN w:val="0"/>
      <w:adjustRightInd w:val="0"/>
      <w:spacing w:line="318" w:lineRule="atLeast"/>
      <w:jc w:val="center"/>
      <w:textAlignment w:val="bottom"/>
    </w:pPr>
    <w:rPr>
      <w:kern w:val="0"/>
      <w:sz w:val="24"/>
      <w:szCs w:val="20"/>
    </w:rPr>
  </w:style>
  <w:style w:type="character" w:customStyle="1" w:styleId="175">
    <w:name w:val="tpc_content"/>
    <w:basedOn w:val="50"/>
    <w:qFormat/>
    <w:uiPriority w:val="0"/>
  </w:style>
  <w:style w:type="character" w:customStyle="1" w:styleId="176">
    <w:name w:val="btspan1"/>
    <w:qFormat/>
    <w:uiPriority w:val="0"/>
    <w:rPr>
      <w:color w:val="0066CC"/>
    </w:rPr>
  </w:style>
  <w:style w:type="paragraph" w:customStyle="1" w:styleId="177">
    <w:name w:val="Char Char Char Char Char Char Char Char Char Char Char Char Char Char Char Char Char Char Char"/>
    <w:basedOn w:val="1"/>
    <w:qFormat/>
    <w:uiPriority w:val="0"/>
    <w:rPr>
      <w:szCs w:val="20"/>
    </w:rPr>
  </w:style>
  <w:style w:type="paragraph" w:customStyle="1" w:styleId="178">
    <w:name w:val="23"/>
    <w:basedOn w:val="1"/>
    <w:next w:val="14"/>
    <w:qFormat/>
    <w:uiPriority w:val="0"/>
    <w:pPr>
      <w:ind w:firstLine="420" w:firstLineChars="200"/>
    </w:pPr>
  </w:style>
  <w:style w:type="paragraph" w:customStyle="1" w:styleId="179">
    <w:name w:val="22"/>
    <w:basedOn w:val="1"/>
    <w:next w:val="14"/>
    <w:qFormat/>
    <w:uiPriority w:val="0"/>
    <w:pPr>
      <w:ind w:firstLine="420" w:firstLineChars="200"/>
    </w:pPr>
  </w:style>
  <w:style w:type="paragraph" w:customStyle="1" w:styleId="180">
    <w:name w:val="21"/>
    <w:basedOn w:val="1"/>
    <w:next w:val="14"/>
    <w:qFormat/>
    <w:uiPriority w:val="0"/>
    <w:pPr>
      <w:ind w:firstLine="420" w:firstLineChars="200"/>
    </w:pPr>
  </w:style>
  <w:style w:type="paragraph" w:customStyle="1" w:styleId="181">
    <w:name w:val="20"/>
    <w:basedOn w:val="1"/>
    <w:next w:val="14"/>
    <w:qFormat/>
    <w:uiPriority w:val="0"/>
    <w:pPr>
      <w:ind w:firstLine="420" w:firstLineChars="200"/>
    </w:pPr>
  </w:style>
  <w:style w:type="paragraph" w:customStyle="1" w:styleId="182">
    <w:name w:val="19"/>
    <w:basedOn w:val="1"/>
    <w:next w:val="22"/>
    <w:qFormat/>
    <w:uiPriority w:val="0"/>
    <w:pPr>
      <w:spacing w:after="120"/>
      <w:ind w:left="420"/>
    </w:pPr>
  </w:style>
  <w:style w:type="paragraph" w:customStyle="1" w:styleId="183">
    <w:name w:val="18"/>
    <w:basedOn w:val="1"/>
    <w:next w:val="22"/>
    <w:qFormat/>
    <w:uiPriority w:val="0"/>
    <w:pPr>
      <w:spacing w:line="500" w:lineRule="exact"/>
      <w:ind w:firstLine="576" w:firstLineChars="192"/>
    </w:pPr>
    <w:rPr>
      <w:rFonts w:ascii="仿宋_GB2312" w:eastAsia="仿宋_GB2312"/>
      <w:sz w:val="30"/>
    </w:rPr>
  </w:style>
  <w:style w:type="character" w:customStyle="1" w:styleId="184">
    <w:name w:val="font131"/>
    <w:qFormat/>
    <w:uiPriority w:val="0"/>
    <w:rPr>
      <w:rFonts w:hint="default" w:ascii="Arial" w:hAnsi="Arial" w:cs="Arial"/>
      <w:sz w:val="18"/>
      <w:szCs w:val="18"/>
    </w:rPr>
  </w:style>
  <w:style w:type="character" w:customStyle="1" w:styleId="185">
    <w:name w:val="p121"/>
    <w:qFormat/>
    <w:uiPriority w:val="0"/>
    <w:rPr>
      <w:sz w:val="24"/>
      <w:szCs w:val="24"/>
    </w:rPr>
  </w:style>
  <w:style w:type="paragraph" w:customStyle="1" w:styleId="186">
    <w:name w:val="表格下方正文"/>
    <w:basedOn w:val="1"/>
    <w:qFormat/>
    <w:uiPriority w:val="0"/>
    <w:pPr>
      <w:spacing w:before="300" w:line="420" w:lineRule="exact"/>
      <w:ind w:firstLine="200" w:firstLineChars="200"/>
    </w:pPr>
    <w:rPr>
      <w:szCs w:val="20"/>
    </w:rPr>
  </w:style>
  <w:style w:type="paragraph" w:customStyle="1" w:styleId="187">
    <w:name w:val="T正文"/>
    <w:qFormat/>
    <w:uiPriority w:val="0"/>
    <w:pPr>
      <w:widowControl w:val="0"/>
      <w:adjustRightInd w:val="0"/>
      <w:snapToGrid w:val="0"/>
      <w:spacing w:line="360" w:lineRule="auto"/>
      <w:ind w:firstLine="200" w:firstLineChars="200"/>
      <w:jc w:val="both"/>
    </w:pPr>
    <w:rPr>
      <w:rFonts w:ascii="Times New Roman" w:hAnsi="Times New Roman" w:eastAsia="仿宋_GB2312" w:cs="Times New Roman"/>
      <w:sz w:val="28"/>
      <w:lang w:val="en-US" w:eastAsia="zh-CN" w:bidi="ar-SA"/>
    </w:rPr>
  </w:style>
  <w:style w:type="paragraph" w:customStyle="1" w:styleId="188">
    <w:name w:val="表格文字"/>
    <w:basedOn w:val="1"/>
    <w:link w:val="290"/>
    <w:qFormat/>
    <w:uiPriority w:val="0"/>
    <w:pPr>
      <w:spacing w:line="400" w:lineRule="exact"/>
      <w:jc w:val="center"/>
    </w:pPr>
    <w:rPr>
      <w:szCs w:val="20"/>
    </w:rPr>
  </w:style>
  <w:style w:type="paragraph" w:customStyle="1" w:styleId="189">
    <w:name w:val="表格表题"/>
    <w:basedOn w:val="1"/>
    <w:qFormat/>
    <w:uiPriority w:val="0"/>
    <w:pPr>
      <w:spacing w:before="60" w:line="460" w:lineRule="exact"/>
      <w:jc w:val="center"/>
    </w:pPr>
    <w:rPr>
      <w:rFonts w:ascii="Arial" w:hAnsi="Arial"/>
      <w:sz w:val="24"/>
      <w:szCs w:val="20"/>
    </w:rPr>
  </w:style>
  <w:style w:type="character" w:customStyle="1" w:styleId="190">
    <w:name w:val="word1"/>
    <w:qFormat/>
    <w:uiPriority w:val="0"/>
    <w:rPr>
      <w:color w:val="000000"/>
      <w:spacing w:val="0"/>
      <w:sz w:val="18"/>
      <w:szCs w:val="18"/>
    </w:rPr>
  </w:style>
  <w:style w:type="paragraph" w:customStyle="1" w:styleId="191">
    <w:name w:val="表中"/>
    <w:basedOn w:val="1"/>
    <w:link w:val="192"/>
    <w:qFormat/>
    <w:uiPriority w:val="0"/>
    <w:pPr>
      <w:jc w:val="center"/>
    </w:pPr>
    <w:rPr>
      <w:bCs/>
      <w:szCs w:val="21"/>
    </w:rPr>
  </w:style>
  <w:style w:type="character" w:customStyle="1" w:styleId="192">
    <w:name w:val="表中 Char"/>
    <w:link w:val="191"/>
    <w:qFormat/>
    <w:uiPriority w:val="0"/>
    <w:rPr>
      <w:rFonts w:ascii="Times New Roman" w:hAnsi="Times New Roman" w:eastAsia="宋体" w:cs="Times New Roman"/>
      <w:bCs/>
      <w:szCs w:val="21"/>
    </w:rPr>
  </w:style>
  <w:style w:type="character" w:customStyle="1" w:styleId="193">
    <w:name w:val="b-121"/>
    <w:qFormat/>
    <w:uiPriority w:val="0"/>
    <w:rPr>
      <w:rFonts w:hint="default"/>
      <w:color w:val="000000"/>
      <w:spacing w:val="330"/>
      <w:sz w:val="18"/>
      <w:szCs w:val="18"/>
      <w:u w:val="none"/>
    </w:rPr>
  </w:style>
  <w:style w:type="paragraph" w:customStyle="1" w:styleId="194">
    <w:name w:val="xl32"/>
    <w:basedOn w:val="1"/>
    <w:qFormat/>
    <w:uiPriority w:val="0"/>
    <w:pPr>
      <w:widowControl/>
      <w:pBdr>
        <w:left w:val="single" w:color="auto" w:sz="4" w:space="0"/>
        <w:right w:val="single" w:color="auto" w:sz="4" w:space="0"/>
      </w:pBdr>
      <w:spacing w:before="100" w:beforeAutospacing="1" w:after="100" w:afterAutospacing="1"/>
    </w:pPr>
    <w:rPr>
      <w:rFonts w:ascii="宋体" w:hAnsi="宋体"/>
      <w:kern w:val="0"/>
      <w:sz w:val="24"/>
    </w:rPr>
  </w:style>
  <w:style w:type="paragraph" w:customStyle="1" w:styleId="195">
    <w:name w:val="1 Char Char Char Char"/>
    <w:basedOn w:val="1"/>
    <w:next w:val="1"/>
    <w:qFormat/>
    <w:uiPriority w:val="0"/>
    <w:pPr>
      <w:spacing w:line="360" w:lineRule="auto"/>
      <w:ind w:firstLine="200" w:firstLineChars="200"/>
    </w:pPr>
    <w:rPr>
      <w:rFonts w:ascii="宋体" w:hAnsi="宋体" w:cs="宋体"/>
      <w:sz w:val="24"/>
    </w:rPr>
  </w:style>
  <w:style w:type="paragraph" w:customStyle="1" w:styleId="196">
    <w:name w:val="Char2"/>
    <w:basedOn w:val="1"/>
    <w:qFormat/>
    <w:uiPriority w:val="0"/>
  </w:style>
  <w:style w:type="character" w:customStyle="1" w:styleId="197">
    <w:name w:val="style131"/>
    <w:qFormat/>
    <w:uiPriority w:val="0"/>
    <w:rPr>
      <w:rFonts w:hint="default" w:ascii="Arial" w:hAnsi="Arial" w:cs="Arial"/>
      <w:sz w:val="18"/>
      <w:szCs w:val="18"/>
    </w:rPr>
  </w:style>
  <w:style w:type="character" w:customStyle="1" w:styleId="198">
    <w:name w:val="ourfont3"/>
    <w:basedOn w:val="50"/>
    <w:qFormat/>
    <w:uiPriority w:val="0"/>
  </w:style>
  <w:style w:type="character" w:customStyle="1" w:styleId="199">
    <w:name w:val="14normal1"/>
    <w:qFormat/>
    <w:uiPriority w:val="0"/>
    <w:rPr>
      <w:rFonts w:hint="eastAsia" w:ascii="宋体" w:hAnsi="宋体" w:eastAsia="宋体"/>
      <w:color w:val="000000"/>
      <w:sz w:val="21"/>
      <w:szCs w:val="21"/>
    </w:rPr>
  </w:style>
  <w:style w:type="paragraph" w:customStyle="1" w:styleId="200">
    <w:name w:val="font7"/>
    <w:basedOn w:val="1"/>
    <w:qFormat/>
    <w:uiPriority w:val="0"/>
    <w:pPr>
      <w:widowControl/>
      <w:spacing w:before="100" w:beforeAutospacing="1" w:after="100" w:afterAutospacing="1"/>
      <w:jc w:val="left"/>
    </w:pPr>
    <w:rPr>
      <w:kern w:val="0"/>
      <w:sz w:val="24"/>
    </w:rPr>
  </w:style>
  <w:style w:type="character" w:customStyle="1" w:styleId="201">
    <w:name w:val="content"/>
    <w:basedOn w:val="50"/>
    <w:qFormat/>
    <w:uiPriority w:val="0"/>
  </w:style>
  <w:style w:type="character" w:customStyle="1" w:styleId="202">
    <w:name w:val="at_2"/>
    <w:basedOn w:val="50"/>
    <w:qFormat/>
    <w:uiPriority w:val="0"/>
  </w:style>
  <w:style w:type="character" w:customStyle="1" w:styleId="203">
    <w:name w:val="at_3"/>
    <w:basedOn w:val="50"/>
    <w:qFormat/>
    <w:uiPriority w:val="0"/>
  </w:style>
  <w:style w:type="character" w:customStyle="1" w:styleId="204">
    <w:name w:val="at_5"/>
    <w:basedOn w:val="50"/>
    <w:qFormat/>
    <w:uiPriority w:val="0"/>
  </w:style>
  <w:style w:type="character" w:customStyle="1" w:styleId="205">
    <w:name w:val="abouttxt1"/>
    <w:qFormat/>
    <w:uiPriority w:val="0"/>
    <w:rPr>
      <w:rFonts w:hint="default" w:ascii="ˎ̥" w:hAnsi="ˎ̥"/>
      <w:color w:val="636363"/>
      <w:sz w:val="18"/>
      <w:szCs w:val="18"/>
    </w:rPr>
  </w:style>
  <w:style w:type="paragraph" w:customStyle="1" w:styleId="206">
    <w:name w:val="p12"/>
    <w:basedOn w:val="1"/>
    <w:qFormat/>
    <w:uiPriority w:val="0"/>
    <w:pPr>
      <w:widowControl/>
      <w:spacing w:before="100" w:beforeAutospacing="1" w:after="100" w:afterAutospacing="1" w:line="360" w:lineRule="atLeast"/>
      <w:jc w:val="left"/>
    </w:pPr>
    <w:rPr>
      <w:rFonts w:ascii="宋体" w:hAnsi="宋体" w:cs="宋体"/>
      <w:color w:val="000000"/>
      <w:kern w:val="0"/>
      <w:sz w:val="24"/>
    </w:rPr>
  </w:style>
  <w:style w:type="paragraph" w:customStyle="1" w:styleId="207">
    <w:name w:val="font6"/>
    <w:basedOn w:val="1"/>
    <w:qFormat/>
    <w:uiPriority w:val="0"/>
    <w:pPr>
      <w:widowControl/>
      <w:spacing w:before="100" w:beforeAutospacing="1" w:after="100" w:afterAutospacing="1"/>
      <w:jc w:val="left"/>
    </w:pPr>
    <w:rPr>
      <w:rFonts w:hint="eastAsia" w:ascii="仿宋_GB2312" w:hAnsi="Arial Unicode MS" w:eastAsia="仿宋_GB2312"/>
      <w:kern w:val="0"/>
      <w:sz w:val="24"/>
    </w:rPr>
  </w:style>
  <w:style w:type="paragraph" w:customStyle="1" w:styleId="208">
    <w:name w:val="Char1 Char Char Char1"/>
    <w:basedOn w:val="1"/>
    <w:qFormat/>
    <w:uiPriority w:val="0"/>
  </w:style>
  <w:style w:type="paragraph" w:customStyle="1" w:styleId="209">
    <w:name w:val="一级标题"/>
    <w:basedOn w:val="1"/>
    <w:qFormat/>
    <w:uiPriority w:val="0"/>
    <w:pPr>
      <w:spacing w:before="60" w:line="460" w:lineRule="exact"/>
      <w:outlineLvl w:val="0"/>
    </w:pPr>
    <w:rPr>
      <w:b/>
      <w:sz w:val="32"/>
      <w:szCs w:val="20"/>
    </w:rPr>
  </w:style>
  <w:style w:type="character" w:customStyle="1" w:styleId="210">
    <w:name w:val="称呼 Char"/>
    <w:basedOn w:val="50"/>
    <w:link w:val="18"/>
    <w:qFormat/>
    <w:uiPriority w:val="0"/>
    <w:rPr>
      <w:rFonts w:ascii="Times New Roman" w:hAnsi="Times New Roman" w:eastAsia="宋体" w:cs="Times New Roman"/>
      <w:szCs w:val="24"/>
    </w:rPr>
  </w:style>
  <w:style w:type="character" w:customStyle="1" w:styleId="211">
    <w:name w:val="注释标题 Char"/>
    <w:basedOn w:val="50"/>
    <w:link w:val="13"/>
    <w:qFormat/>
    <w:uiPriority w:val="0"/>
    <w:rPr>
      <w:rFonts w:ascii="Times New Roman" w:hAnsi="Times New Roman" w:eastAsia="宋体" w:cs="Times New Roman"/>
      <w:szCs w:val="24"/>
    </w:rPr>
  </w:style>
  <w:style w:type="character" w:customStyle="1" w:styleId="212">
    <w:name w:val="javascript"/>
    <w:basedOn w:val="50"/>
    <w:qFormat/>
    <w:uiPriority w:val="0"/>
  </w:style>
  <w:style w:type="paragraph" w:customStyle="1" w:styleId="213">
    <w:name w:val="Char Char1 Char Char Char Char Char Char Char Char Char Char Char Char Char Char Char Char Char Char"/>
    <w:basedOn w:val="1"/>
    <w:qFormat/>
    <w:uiPriority w:val="0"/>
    <w:pPr>
      <w:spacing w:line="360" w:lineRule="auto"/>
      <w:ind w:firstLine="200" w:firstLineChars="200"/>
    </w:pPr>
    <w:rPr>
      <w:rFonts w:ascii="宋体" w:hAnsi="宋体" w:cs="宋体"/>
      <w:sz w:val="24"/>
    </w:rPr>
  </w:style>
  <w:style w:type="character" w:customStyle="1" w:styleId="214">
    <w:name w:val="m lh15"/>
    <w:basedOn w:val="50"/>
    <w:qFormat/>
    <w:uiPriority w:val="0"/>
  </w:style>
  <w:style w:type="paragraph" w:customStyle="1" w:styleId="215">
    <w:name w:val="Char Char1 Char Char Char Char Char Char Char Char Char Char Char Char Char Char Char Char Char Char Char Char1 Char1"/>
    <w:basedOn w:val="1"/>
    <w:qFormat/>
    <w:uiPriority w:val="0"/>
    <w:pPr>
      <w:spacing w:line="360" w:lineRule="auto"/>
      <w:ind w:firstLine="200" w:firstLineChars="200"/>
    </w:pPr>
    <w:rPr>
      <w:rFonts w:ascii="宋体" w:hAnsi="宋体" w:cs="宋体"/>
      <w:sz w:val="24"/>
    </w:rPr>
  </w:style>
  <w:style w:type="paragraph" w:customStyle="1" w:styleId="216">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Cs w:val="21"/>
    </w:rPr>
  </w:style>
  <w:style w:type="paragraph" w:styleId="217">
    <w:name w:val="List Paragraph"/>
    <w:basedOn w:val="1"/>
    <w:qFormat/>
    <w:uiPriority w:val="0"/>
    <w:pPr>
      <w:ind w:firstLine="420" w:firstLineChars="200"/>
    </w:pPr>
    <w:rPr>
      <w:rFonts w:ascii="Calibri" w:hAnsi="Calibri"/>
      <w:szCs w:val="22"/>
    </w:rPr>
  </w:style>
  <w:style w:type="paragraph" w:customStyle="1" w:styleId="218">
    <w:name w:val="正文缩进2"/>
    <w:basedOn w:val="1"/>
    <w:link w:val="219"/>
    <w:qFormat/>
    <w:uiPriority w:val="0"/>
    <w:pPr>
      <w:spacing w:line="360" w:lineRule="auto"/>
      <w:ind w:firstLine="200" w:firstLineChars="200"/>
    </w:pPr>
    <w:rPr>
      <w:bCs/>
      <w:sz w:val="24"/>
      <w:szCs w:val="21"/>
    </w:rPr>
  </w:style>
  <w:style w:type="character" w:customStyle="1" w:styleId="219">
    <w:name w:val="正文缩进2 Char"/>
    <w:link w:val="218"/>
    <w:qFormat/>
    <w:uiPriority w:val="0"/>
    <w:rPr>
      <w:rFonts w:ascii="Times New Roman" w:hAnsi="Times New Roman" w:eastAsia="宋体" w:cs="Times New Roman"/>
      <w:bCs/>
      <w:sz w:val="24"/>
      <w:szCs w:val="21"/>
    </w:rPr>
  </w:style>
  <w:style w:type="paragraph" w:customStyle="1" w:styleId="220">
    <w:name w:val="正文2缩进主要格式"/>
    <w:basedOn w:val="1"/>
    <w:link w:val="221"/>
    <w:semiHidden/>
    <w:qFormat/>
    <w:uiPriority w:val="0"/>
    <w:pPr>
      <w:spacing w:line="360" w:lineRule="auto"/>
      <w:ind w:firstLine="480" w:firstLineChars="200"/>
    </w:pPr>
    <w:rPr>
      <w:rFonts w:ascii="宋体" w:hAnsi="宋体" w:cs="宋体"/>
      <w:sz w:val="24"/>
      <w:szCs w:val="20"/>
    </w:rPr>
  </w:style>
  <w:style w:type="character" w:customStyle="1" w:styleId="221">
    <w:name w:val="正文2缩进主要格式 Char"/>
    <w:link w:val="220"/>
    <w:semiHidden/>
    <w:qFormat/>
    <w:uiPriority w:val="0"/>
    <w:rPr>
      <w:rFonts w:ascii="宋体" w:hAnsi="宋体" w:eastAsia="宋体" w:cs="宋体"/>
      <w:sz w:val="24"/>
      <w:szCs w:val="20"/>
    </w:rPr>
  </w:style>
  <w:style w:type="paragraph" w:customStyle="1" w:styleId="222">
    <w:name w:val="xingzhi"/>
    <w:basedOn w:val="1"/>
    <w:qFormat/>
    <w:uiPriority w:val="0"/>
    <w:pPr>
      <w:widowControl/>
      <w:spacing w:line="300" w:lineRule="atLeast"/>
      <w:jc w:val="left"/>
    </w:pPr>
    <w:rPr>
      <w:rFonts w:ascii="宋体" w:hAnsi="宋体" w:cs="宋体"/>
      <w:kern w:val="0"/>
      <w:sz w:val="24"/>
    </w:rPr>
  </w:style>
  <w:style w:type="paragraph" w:customStyle="1" w:styleId="223">
    <w:name w:val="1text"/>
    <w:basedOn w:val="1"/>
    <w:qFormat/>
    <w:uiPriority w:val="0"/>
    <w:pPr>
      <w:widowControl/>
      <w:spacing w:before="100" w:beforeAutospacing="1" w:after="100" w:afterAutospacing="1" w:line="360" w:lineRule="auto"/>
      <w:ind w:firstLine="440"/>
      <w:jc w:val="left"/>
    </w:pPr>
    <w:rPr>
      <w:rFonts w:ascii="Arial Unicode MS" w:hAnsi="Arial Unicode MS"/>
      <w:kern w:val="0"/>
      <w:sz w:val="24"/>
    </w:rPr>
  </w:style>
  <w:style w:type="paragraph" w:customStyle="1" w:styleId="224">
    <w:name w:val="生态正文01"/>
    <w:basedOn w:val="106"/>
    <w:qFormat/>
    <w:uiPriority w:val="0"/>
    <w:pPr>
      <w:adjustRightInd/>
      <w:snapToGrid/>
      <w:spacing w:line="540" w:lineRule="exact"/>
      <w:ind w:firstLine="560"/>
    </w:pPr>
    <w:rPr>
      <w:rFonts w:eastAsia="仿宋_GB2312"/>
      <w:bCs/>
      <w:snapToGrid/>
      <w:color w:val="auto"/>
      <w:kern w:val="2"/>
      <w:sz w:val="28"/>
    </w:rPr>
  </w:style>
  <w:style w:type="paragraph" w:customStyle="1" w:styleId="225">
    <w:name w:val="tt1"/>
    <w:basedOn w:val="1"/>
    <w:qFormat/>
    <w:uiPriority w:val="0"/>
    <w:pPr>
      <w:widowControl/>
      <w:spacing w:before="100" w:beforeAutospacing="1" w:after="100" w:afterAutospacing="1"/>
      <w:jc w:val="left"/>
    </w:pPr>
    <w:rPr>
      <w:rFonts w:ascii="宋体" w:hAnsi="宋体" w:cs="宋体"/>
      <w:kern w:val="0"/>
      <w:sz w:val="24"/>
    </w:rPr>
  </w:style>
  <w:style w:type="character" w:customStyle="1" w:styleId="226">
    <w:name w:val="px1216"/>
    <w:basedOn w:val="50"/>
    <w:qFormat/>
    <w:uiPriority w:val="0"/>
  </w:style>
  <w:style w:type="character" w:customStyle="1" w:styleId="227">
    <w:name w:val="t_tag"/>
    <w:basedOn w:val="50"/>
    <w:qFormat/>
    <w:uiPriority w:val="0"/>
  </w:style>
  <w:style w:type="paragraph" w:customStyle="1" w:styleId="228">
    <w:name w:val="Char Char Char Char Char Char1 Char"/>
    <w:basedOn w:val="1"/>
    <w:qFormat/>
    <w:uiPriority w:val="0"/>
  </w:style>
  <w:style w:type="character" w:customStyle="1" w:styleId="229">
    <w:name w:val="title3"/>
    <w:qFormat/>
    <w:uiPriority w:val="0"/>
  </w:style>
  <w:style w:type="character" w:customStyle="1" w:styleId="230">
    <w:name w:val="title4"/>
    <w:basedOn w:val="50"/>
    <w:qFormat/>
    <w:uiPriority w:val="0"/>
  </w:style>
  <w:style w:type="character" w:customStyle="1" w:styleId="231">
    <w:name w:val="c"/>
    <w:basedOn w:val="50"/>
    <w:qFormat/>
    <w:uiPriority w:val="0"/>
  </w:style>
  <w:style w:type="paragraph" w:customStyle="1" w:styleId="232">
    <w:name w:val="新正文"/>
    <w:basedOn w:val="1"/>
    <w:qFormat/>
    <w:uiPriority w:val="0"/>
    <w:pPr>
      <w:spacing w:before="60" w:line="460" w:lineRule="exact"/>
      <w:ind w:firstLine="200" w:firstLineChars="200"/>
    </w:pPr>
    <w:rPr>
      <w:sz w:val="24"/>
    </w:rPr>
  </w:style>
  <w:style w:type="character" w:customStyle="1" w:styleId="233">
    <w:name w:val="Char Char2"/>
    <w:qFormat/>
    <w:uiPriority w:val="0"/>
    <w:rPr>
      <w:rFonts w:eastAsia="宋体"/>
      <w:kern w:val="2"/>
      <w:sz w:val="28"/>
      <w:lang w:val="en-US" w:eastAsia="zh-CN" w:bidi="ar-SA"/>
    </w:rPr>
  </w:style>
  <w:style w:type="character" w:customStyle="1" w:styleId="234">
    <w:name w:val="apple-style-span"/>
    <w:basedOn w:val="50"/>
    <w:qFormat/>
    <w:uiPriority w:val="0"/>
  </w:style>
  <w:style w:type="paragraph" w:customStyle="1" w:styleId="235">
    <w:name w:val="标头"/>
    <w:basedOn w:val="1"/>
    <w:link w:val="236"/>
    <w:qFormat/>
    <w:uiPriority w:val="0"/>
    <w:pPr>
      <w:spacing w:line="360" w:lineRule="auto"/>
      <w:jc w:val="center"/>
    </w:pPr>
    <w:rPr>
      <w:rFonts w:ascii="Arial" w:hAnsi="Arial" w:eastAsia="黑体" w:cs="Arial"/>
      <w:szCs w:val="21"/>
    </w:rPr>
  </w:style>
  <w:style w:type="character" w:customStyle="1" w:styleId="236">
    <w:name w:val="标头 Char"/>
    <w:link w:val="235"/>
    <w:qFormat/>
    <w:uiPriority w:val="0"/>
    <w:rPr>
      <w:rFonts w:ascii="Arial" w:hAnsi="Arial" w:eastAsia="黑体" w:cs="Arial"/>
      <w:szCs w:val="21"/>
    </w:rPr>
  </w:style>
  <w:style w:type="paragraph" w:customStyle="1" w:styleId="237">
    <w:name w:val="p0"/>
    <w:basedOn w:val="1"/>
    <w:qFormat/>
    <w:uiPriority w:val="0"/>
    <w:pPr>
      <w:widowControl/>
      <w:spacing w:before="100" w:beforeAutospacing="1" w:after="100" w:afterAutospacing="1"/>
      <w:jc w:val="left"/>
    </w:pPr>
    <w:rPr>
      <w:rFonts w:ascii="宋体" w:hAnsi="宋体" w:cs="宋体"/>
      <w:kern w:val="0"/>
      <w:sz w:val="24"/>
    </w:rPr>
  </w:style>
  <w:style w:type="character" w:customStyle="1" w:styleId="238">
    <w:name w:val="Char Char1 Char"/>
    <w:basedOn w:val="50"/>
    <w:qFormat/>
    <w:uiPriority w:val="0"/>
    <w:rPr>
      <w:rFonts w:ascii="宋体" w:hAnsi="宋体" w:eastAsia="宋体" w:cs="宋体"/>
      <w:kern w:val="2"/>
      <w:sz w:val="24"/>
      <w:szCs w:val="24"/>
      <w:lang w:val="en-US" w:eastAsia="zh-CN" w:bidi="ar-SA"/>
    </w:rPr>
  </w:style>
  <w:style w:type="paragraph" w:customStyle="1" w:styleId="239">
    <w:name w:val="表格内部的标题"/>
    <w:basedOn w:val="1"/>
    <w:qFormat/>
    <w:uiPriority w:val="0"/>
    <w:pPr>
      <w:keepNext/>
      <w:keepLines/>
      <w:jc w:val="center"/>
    </w:pPr>
    <w:rPr>
      <w:rFonts w:ascii="黑体" w:eastAsia="黑体" w:cs="黑体"/>
      <w:sz w:val="20"/>
      <w:szCs w:val="20"/>
    </w:rPr>
  </w:style>
  <w:style w:type="character" w:customStyle="1" w:styleId="240">
    <w:name w:val="表格内标 Char"/>
    <w:basedOn w:val="50"/>
    <w:link w:val="241"/>
    <w:qFormat/>
    <w:uiPriority w:val="0"/>
    <w:rPr>
      <w:rFonts w:eastAsia="黑体"/>
    </w:rPr>
  </w:style>
  <w:style w:type="paragraph" w:customStyle="1" w:styleId="241">
    <w:name w:val="表格内标"/>
    <w:basedOn w:val="1"/>
    <w:next w:val="1"/>
    <w:link w:val="240"/>
    <w:qFormat/>
    <w:uiPriority w:val="0"/>
    <w:pPr>
      <w:adjustRightInd w:val="0"/>
      <w:snapToGrid w:val="0"/>
      <w:jc w:val="center"/>
    </w:pPr>
    <w:rPr>
      <w:rFonts w:eastAsia="黑体" w:asciiTheme="minorHAnsi" w:hAnsiTheme="minorHAnsi" w:cstheme="minorBidi"/>
      <w:szCs w:val="22"/>
    </w:rPr>
  </w:style>
  <w:style w:type="character" w:customStyle="1" w:styleId="242">
    <w:name w:val="图表标题 Char"/>
    <w:basedOn w:val="50"/>
    <w:link w:val="243"/>
    <w:qFormat/>
    <w:uiPriority w:val="0"/>
    <w:rPr>
      <w:rFonts w:ascii="宋体" w:hAnsi="宋体"/>
      <w:b/>
      <w:szCs w:val="24"/>
    </w:rPr>
  </w:style>
  <w:style w:type="paragraph" w:customStyle="1" w:styleId="243">
    <w:name w:val="图表标题"/>
    <w:basedOn w:val="1"/>
    <w:link w:val="242"/>
    <w:qFormat/>
    <w:uiPriority w:val="0"/>
    <w:pPr>
      <w:spacing w:beforeLines="25" w:afterLines="25" w:line="360" w:lineRule="auto"/>
      <w:jc w:val="center"/>
      <w:outlineLvl w:val="4"/>
    </w:pPr>
    <w:rPr>
      <w:rFonts w:ascii="宋体" w:hAnsi="宋体" w:eastAsiaTheme="minorEastAsia" w:cstheme="minorBidi"/>
      <w:b/>
    </w:rPr>
  </w:style>
  <w:style w:type="character" w:customStyle="1" w:styleId="244">
    <w:name w:val="表格内容 Char"/>
    <w:basedOn w:val="50"/>
    <w:link w:val="245"/>
    <w:qFormat/>
    <w:uiPriority w:val="0"/>
    <w:rPr>
      <w:rFonts w:ascii="宋体" w:hAnsi="Arial" w:eastAsia="Times New Roman"/>
      <w:sz w:val="24"/>
    </w:rPr>
  </w:style>
  <w:style w:type="paragraph" w:customStyle="1" w:styleId="245">
    <w:name w:val="表格内容"/>
    <w:link w:val="244"/>
    <w:qFormat/>
    <w:uiPriority w:val="0"/>
    <w:pPr>
      <w:keepNext/>
      <w:overflowPunct w:val="0"/>
      <w:adjustRightInd w:val="0"/>
      <w:jc w:val="center"/>
      <w:textAlignment w:val="baseline"/>
    </w:pPr>
    <w:rPr>
      <w:rFonts w:ascii="宋体" w:hAnsi="Arial" w:eastAsia="Times New Roman" w:cstheme="minorBidi"/>
      <w:kern w:val="2"/>
      <w:sz w:val="24"/>
      <w:szCs w:val="22"/>
      <w:lang w:val="en-US" w:eastAsia="zh-CN" w:bidi="ar-SA"/>
    </w:rPr>
  </w:style>
  <w:style w:type="paragraph" w:customStyle="1" w:styleId="246">
    <w:name w:val="样式11"/>
    <w:basedOn w:val="4"/>
    <w:qFormat/>
    <w:uiPriority w:val="0"/>
    <w:pPr>
      <w:tabs>
        <w:tab w:val="left" w:pos="1080"/>
      </w:tabs>
      <w:spacing w:before="0" w:after="0" w:line="240" w:lineRule="auto"/>
      <w:ind w:left="709" w:hanging="709"/>
    </w:pPr>
    <w:rPr>
      <w:rFonts w:ascii="仿宋_GB2312" w:eastAsia="仿宋_GB2312"/>
      <w:sz w:val="24"/>
      <w:szCs w:val="24"/>
    </w:rPr>
  </w:style>
  <w:style w:type="paragraph" w:customStyle="1" w:styleId="247">
    <w:name w:val="样式8"/>
    <w:basedOn w:val="14"/>
    <w:qFormat/>
    <w:uiPriority w:val="0"/>
    <w:pPr>
      <w:tabs>
        <w:tab w:val="left" w:pos="5203"/>
      </w:tabs>
      <w:spacing w:line="264" w:lineRule="auto"/>
      <w:ind w:firstLine="450" w:firstLineChars="184"/>
    </w:pPr>
    <w:rPr>
      <w:rFonts w:ascii="Arial" w:hAnsi="Arial" w:cs="Arial"/>
      <w:spacing w:val="10"/>
      <w:sz w:val="24"/>
      <w:szCs w:val="24"/>
    </w:rPr>
  </w:style>
  <w:style w:type="paragraph" w:customStyle="1" w:styleId="248">
    <w:name w:val="Char Char Char Char1 Char Char"/>
    <w:basedOn w:val="5"/>
    <w:qFormat/>
    <w:uiPriority w:val="0"/>
    <w:pPr>
      <w:tabs>
        <w:tab w:val="left" w:pos="0"/>
      </w:tabs>
      <w:adjustRightInd w:val="0"/>
      <w:snapToGrid w:val="0"/>
      <w:spacing w:before="120" w:after="0" w:line="360" w:lineRule="auto"/>
      <w:jc w:val="center"/>
    </w:pPr>
  </w:style>
  <w:style w:type="character" w:customStyle="1" w:styleId="249">
    <w:name w:val="正文01 Char Char"/>
    <w:qFormat/>
    <w:uiPriority w:val="0"/>
    <w:rPr>
      <w:kern w:val="2"/>
      <w:sz w:val="24"/>
    </w:rPr>
  </w:style>
  <w:style w:type="paragraph" w:customStyle="1" w:styleId="250">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51">
    <w:name w:val="reader-word-layer reader-word-s1-2"/>
    <w:basedOn w:val="1"/>
    <w:qFormat/>
    <w:uiPriority w:val="0"/>
    <w:pPr>
      <w:widowControl/>
      <w:spacing w:before="100" w:beforeAutospacing="1" w:after="100" w:afterAutospacing="1"/>
      <w:jc w:val="left"/>
    </w:pPr>
    <w:rPr>
      <w:rFonts w:ascii="宋体" w:hAnsi="宋体" w:cs="宋体"/>
      <w:kern w:val="0"/>
      <w:sz w:val="24"/>
    </w:rPr>
  </w:style>
  <w:style w:type="paragraph" w:customStyle="1" w:styleId="252">
    <w:name w:val="reader-word-layer reader-word-s3-10"/>
    <w:basedOn w:val="1"/>
    <w:qFormat/>
    <w:uiPriority w:val="0"/>
    <w:pPr>
      <w:widowControl/>
      <w:spacing w:before="100" w:beforeAutospacing="1" w:after="100" w:afterAutospacing="1"/>
      <w:jc w:val="left"/>
    </w:pPr>
    <w:rPr>
      <w:rFonts w:ascii="宋体" w:hAnsi="宋体" w:cs="宋体"/>
      <w:kern w:val="0"/>
      <w:sz w:val="24"/>
    </w:rPr>
  </w:style>
  <w:style w:type="paragraph" w:customStyle="1" w:styleId="253">
    <w:name w:val="Char Char Char1 Char"/>
    <w:basedOn w:val="1"/>
    <w:semiHidden/>
    <w:qFormat/>
    <w:uiPriority w:val="0"/>
  </w:style>
  <w:style w:type="paragraph" w:customStyle="1" w:styleId="254">
    <w:name w:val="(a表格"/>
    <w:basedOn w:val="1"/>
    <w:qFormat/>
    <w:uiPriority w:val="0"/>
    <w:pPr>
      <w:jc w:val="center"/>
    </w:pPr>
    <w:rPr>
      <w:rFonts w:eastAsia="仿宋_GB2312"/>
      <w:color w:val="000000"/>
      <w:szCs w:val="20"/>
    </w:rPr>
  </w:style>
  <w:style w:type="character" w:customStyle="1" w:styleId="255">
    <w:name w:val="apple-converted-space"/>
    <w:basedOn w:val="50"/>
    <w:qFormat/>
    <w:uiPriority w:val="0"/>
  </w:style>
  <w:style w:type="paragraph" w:customStyle="1" w:styleId="256">
    <w:name w:val="n_p_lineheight"/>
    <w:basedOn w:val="1"/>
    <w:qFormat/>
    <w:uiPriority w:val="0"/>
    <w:pPr>
      <w:widowControl/>
      <w:spacing w:before="100" w:beforeAutospacing="1" w:after="100" w:afterAutospacing="1"/>
      <w:jc w:val="left"/>
    </w:pPr>
    <w:rPr>
      <w:rFonts w:ascii="宋体" w:hAnsi="宋体" w:cs="宋体"/>
      <w:kern w:val="0"/>
      <w:sz w:val="24"/>
    </w:rPr>
  </w:style>
  <w:style w:type="paragraph" w:customStyle="1" w:styleId="257">
    <w:name w:val="poititlew"/>
    <w:basedOn w:val="1"/>
    <w:qFormat/>
    <w:uiPriority w:val="0"/>
    <w:pPr>
      <w:widowControl/>
      <w:spacing w:before="100" w:beforeAutospacing="1" w:after="100" w:afterAutospacing="1"/>
      <w:jc w:val="left"/>
    </w:pPr>
    <w:rPr>
      <w:rFonts w:ascii="宋体" w:hAnsi="宋体" w:cs="宋体"/>
      <w:kern w:val="0"/>
      <w:sz w:val="24"/>
    </w:rPr>
  </w:style>
  <w:style w:type="paragraph" w:customStyle="1" w:styleId="258">
    <w:name w:val="reader-word-layer reader-word-s1-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59">
    <w:name w:val="reader-word-layer reader-word-s1-14"/>
    <w:basedOn w:val="1"/>
    <w:qFormat/>
    <w:uiPriority w:val="0"/>
    <w:pPr>
      <w:widowControl/>
      <w:spacing w:before="100" w:beforeAutospacing="1" w:after="100" w:afterAutospacing="1"/>
      <w:jc w:val="left"/>
    </w:pPr>
    <w:rPr>
      <w:rFonts w:ascii="宋体" w:hAnsi="宋体" w:cs="宋体"/>
      <w:kern w:val="0"/>
      <w:sz w:val="24"/>
    </w:rPr>
  </w:style>
  <w:style w:type="paragraph" w:customStyle="1" w:styleId="260">
    <w:name w:val="reader-word-layer reader-word-s1-15"/>
    <w:basedOn w:val="1"/>
    <w:qFormat/>
    <w:uiPriority w:val="0"/>
    <w:pPr>
      <w:widowControl/>
      <w:spacing w:before="100" w:beforeAutospacing="1" w:after="100" w:afterAutospacing="1"/>
      <w:jc w:val="left"/>
    </w:pPr>
    <w:rPr>
      <w:rFonts w:ascii="宋体" w:hAnsi="宋体" w:cs="宋体"/>
      <w:kern w:val="0"/>
      <w:sz w:val="24"/>
    </w:rPr>
  </w:style>
  <w:style w:type="paragraph" w:customStyle="1" w:styleId="261">
    <w:name w:val="reader-word-layer reader-word-s1-8"/>
    <w:basedOn w:val="1"/>
    <w:qFormat/>
    <w:uiPriority w:val="0"/>
    <w:pPr>
      <w:widowControl/>
      <w:spacing w:before="100" w:beforeAutospacing="1" w:after="100" w:afterAutospacing="1"/>
      <w:jc w:val="left"/>
    </w:pPr>
    <w:rPr>
      <w:rFonts w:ascii="宋体" w:hAnsi="宋体" w:cs="宋体"/>
      <w:kern w:val="0"/>
      <w:sz w:val="24"/>
    </w:rPr>
  </w:style>
  <w:style w:type="paragraph" w:customStyle="1" w:styleId="262">
    <w:name w:val="reader-word-layer reader-word-s1-4"/>
    <w:basedOn w:val="1"/>
    <w:qFormat/>
    <w:uiPriority w:val="0"/>
    <w:pPr>
      <w:widowControl/>
      <w:spacing w:before="100" w:beforeAutospacing="1" w:after="100" w:afterAutospacing="1"/>
      <w:jc w:val="left"/>
    </w:pPr>
    <w:rPr>
      <w:rFonts w:ascii="宋体" w:hAnsi="宋体" w:cs="宋体"/>
      <w:kern w:val="0"/>
      <w:sz w:val="24"/>
    </w:rPr>
  </w:style>
  <w:style w:type="character" w:customStyle="1" w:styleId="263">
    <w:name w:val="样式 (符号) 宋体 小四"/>
    <w:qFormat/>
    <w:uiPriority w:val="0"/>
    <w:rPr>
      <w:rFonts w:ascii="Times New Roman" w:hAnsi="Times New Roman"/>
      <w:sz w:val="24"/>
      <w:szCs w:val="24"/>
    </w:rPr>
  </w:style>
  <w:style w:type="character" w:customStyle="1" w:styleId="264">
    <w:name w:val="批注文字 Char"/>
    <w:link w:val="17"/>
    <w:qFormat/>
    <w:uiPriority w:val="0"/>
    <w:rPr>
      <w:rFonts w:ascii="Arial" w:hAnsi="Arial"/>
      <w:sz w:val="24"/>
      <w:szCs w:val="24"/>
    </w:rPr>
  </w:style>
  <w:style w:type="character" w:customStyle="1" w:styleId="265">
    <w:name w:val="批注文字 Char1"/>
    <w:basedOn w:val="50"/>
    <w:qFormat/>
    <w:uiPriority w:val="0"/>
    <w:rPr>
      <w:rFonts w:ascii="Times New Roman" w:hAnsi="Times New Roman" w:eastAsia="宋体" w:cs="Times New Roman"/>
      <w:szCs w:val="24"/>
    </w:rPr>
  </w:style>
  <w:style w:type="character" w:customStyle="1" w:styleId="266">
    <w:name w:val="批注框文本 Char"/>
    <w:basedOn w:val="50"/>
    <w:link w:val="31"/>
    <w:semiHidden/>
    <w:qFormat/>
    <w:uiPriority w:val="99"/>
    <w:rPr>
      <w:rFonts w:ascii="Times New Roman" w:hAnsi="Times New Roman" w:eastAsia="宋体" w:cs="Times New Roman"/>
      <w:sz w:val="18"/>
      <w:szCs w:val="18"/>
    </w:rPr>
  </w:style>
  <w:style w:type="character" w:customStyle="1" w:styleId="267">
    <w:name w:val="批注主题 Char"/>
    <w:basedOn w:val="264"/>
    <w:link w:val="45"/>
    <w:semiHidden/>
    <w:qFormat/>
    <w:uiPriority w:val="99"/>
    <w:rPr>
      <w:rFonts w:ascii="Times New Roman" w:hAnsi="Times New Roman" w:eastAsia="宋体" w:cs="Times New Roman"/>
      <w:b/>
      <w:bCs/>
      <w:sz w:val="24"/>
      <w:szCs w:val="24"/>
    </w:rPr>
  </w:style>
  <w:style w:type="paragraph" w:customStyle="1" w:styleId="268">
    <w:name w:val="aa正文"/>
    <w:basedOn w:val="1"/>
    <w:qFormat/>
    <w:uiPriority w:val="0"/>
    <w:pPr>
      <w:spacing w:line="360" w:lineRule="auto"/>
      <w:ind w:firstLine="200" w:firstLineChars="200"/>
    </w:pPr>
    <w:rPr>
      <w:sz w:val="24"/>
    </w:rPr>
  </w:style>
  <w:style w:type="paragraph" w:customStyle="1" w:styleId="269">
    <w:name w:val="R22正文"/>
    <w:basedOn w:val="1"/>
    <w:qFormat/>
    <w:uiPriority w:val="0"/>
    <w:pPr>
      <w:spacing w:line="480" w:lineRule="exact"/>
      <w:ind w:firstLine="200" w:firstLineChars="200"/>
    </w:pPr>
    <w:rPr>
      <w:sz w:val="24"/>
    </w:rPr>
  </w:style>
  <w:style w:type="paragraph" w:customStyle="1" w:styleId="270">
    <w:name w:val="样式02"/>
    <w:next w:val="40"/>
    <w:qFormat/>
    <w:uiPriority w:val="0"/>
    <w:pPr>
      <w:widowControl w:val="0"/>
      <w:ind w:firstLine="200" w:firstLineChars="200"/>
      <w:jc w:val="both"/>
    </w:pPr>
    <w:rPr>
      <w:rFonts w:ascii="楷体_GB2312" w:hAnsi="宋体" w:eastAsia="楷体_GB2312" w:cs="Times New Roman"/>
      <w:b/>
      <w:kern w:val="2"/>
      <w:sz w:val="32"/>
      <w:szCs w:val="32"/>
      <w:lang w:val="en-US" w:eastAsia="zh-CN" w:bidi="ar-SA"/>
    </w:rPr>
  </w:style>
  <w:style w:type="paragraph" w:customStyle="1" w:styleId="271">
    <w:name w:val="R22表格"/>
    <w:basedOn w:val="1"/>
    <w:qFormat/>
    <w:uiPriority w:val="0"/>
    <w:pPr>
      <w:autoSpaceDE w:val="0"/>
      <w:autoSpaceDN w:val="0"/>
      <w:adjustRightInd w:val="0"/>
      <w:spacing w:line="360" w:lineRule="exact"/>
      <w:jc w:val="center"/>
    </w:pPr>
    <w:rPr>
      <w:color w:val="000000"/>
      <w:kern w:val="0"/>
      <w:szCs w:val="21"/>
    </w:rPr>
  </w:style>
  <w:style w:type="paragraph" w:customStyle="1" w:styleId="272">
    <w:name w:val="WPSOffice手动目录 1"/>
    <w:qFormat/>
    <w:uiPriority w:val="0"/>
    <w:rPr>
      <w:rFonts w:ascii="Times New Roman" w:hAnsi="Times New Roman" w:eastAsia="宋体" w:cs="Times New Roman"/>
      <w:lang w:val="en-US" w:eastAsia="zh-CN" w:bidi="ar-SA"/>
    </w:rPr>
  </w:style>
  <w:style w:type="paragraph" w:customStyle="1" w:styleId="273">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274">
    <w:name w:val="样式 正文文本文本正文正文文字 Char Char Char Char + 居中 首行缩进:  0 厘米 段前: 6 磅"/>
    <w:basedOn w:val="32"/>
    <w:next w:val="1"/>
    <w:qFormat/>
    <w:uiPriority w:val="0"/>
    <w:pPr>
      <w:snapToGrid/>
      <w:spacing w:before="120"/>
      <w:jc w:val="center"/>
    </w:pPr>
    <w:rPr>
      <w:rFonts w:ascii="宋体" w:cs="宋体"/>
      <w:w w:val="90"/>
      <w:sz w:val="24"/>
      <w:szCs w:val="24"/>
    </w:rPr>
  </w:style>
  <w:style w:type="paragraph" w:customStyle="1" w:styleId="275">
    <w:name w:val="正文(邵)"/>
    <w:basedOn w:val="1"/>
    <w:qFormat/>
    <w:uiPriority w:val="0"/>
    <w:pPr>
      <w:snapToGrid w:val="0"/>
      <w:spacing w:line="360" w:lineRule="auto"/>
      <w:ind w:firstLine="480"/>
    </w:pPr>
    <w:rPr>
      <w:sz w:val="24"/>
      <w:lang w:bidi="en-US"/>
    </w:rPr>
  </w:style>
  <w:style w:type="paragraph" w:customStyle="1" w:styleId="276">
    <w:name w:val="报告"/>
    <w:basedOn w:val="1"/>
    <w:qFormat/>
    <w:uiPriority w:val="0"/>
    <w:pPr>
      <w:overflowPunct w:val="0"/>
      <w:autoSpaceDE w:val="0"/>
      <w:autoSpaceDN w:val="0"/>
      <w:adjustRightInd w:val="0"/>
      <w:snapToGrid w:val="0"/>
      <w:spacing w:before="160" w:after="160" w:line="400" w:lineRule="atLeast"/>
      <w:ind w:firstLine="480" w:firstLineChars="200"/>
      <w:textAlignment w:val="baseline"/>
    </w:pPr>
    <w:rPr>
      <w:b/>
      <w:snapToGrid w:val="0"/>
      <w:sz w:val="24"/>
    </w:rPr>
  </w:style>
  <w:style w:type="paragraph" w:customStyle="1" w:styleId="277">
    <w:name w:val="标正"/>
    <w:basedOn w:val="275"/>
    <w:qFormat/>
    <w:uiPriority w:val="0"/>
    <w:pPr>
      <w:widowControl/>
      <w:ind w:firstLine="200" w:firstLineChars="200"/>
    </w:pPr>
  </w:style>
  <w:style w:type="paragraph" w:customStyle="1" w:styleId="278">
    <w:name w:val="Table Paragraph"/>
    <w:basedOn w:val="1"/>
    <w:qFormat/>
    <w:uiPriority w:val="0"/>
    <w:pPr>
      <w:jc w:val="center"/>
    </w:pPr>
    <w:rPr>
      <w:rFonts w:ascii="宋体" w:hAnsi="宋体" w:cs="宋体"/>
      <w:sz w:val="22"/>
      <w:szCs w:val="22"/>
    </w:rPr>
  </w:style>
  <w:style w:type="paragraph" w:customStyle="1" w:styleId="279">
    <w:name w:val="+"/>
    <w:qFormat/>
    <w:uiPriority w:val="0"/>
    <w:pPr>
      <w:widowControl w:val="0"/>
      <w:adjustRightInd w:val="0"/>
      <w:snapToGrid w:val="0"/>
      <w:spacing w:line="360" w:lineRule="auto"/>
      <w:ind w:firstLine="420" w:firstLineChars="200"/>
    </w:pPr>
    <w:rPr>
      <w:rFonts w:ascii="Times New Roman" w:hAnsi="Times New Roman" w:eastAsia="宋体" w:cs="Times New Roman"/>
      <w:sz w:val="24"/>
      <w:szCs w:val="24"/>
      <w:lang w:val="en-US" w:eastAsia="zh-CN" w:bidi="ar-SA"/>
    </w:rPr>
  </w:style>
  <w:style w:type="character" w:customStyle="1" w:styleId="280">
    <w:name w:val="font21"/>
    <w:basedOn w:val="50"/>
    <w:qFormat/>
    <w:uiPriority w:val="0"/>
    <w:rPr>
      <w:rFonts w:hint="eastAsia" w:ascii="宋体" w:hAnsi="宋体" w:eastAsia="宋体" w:cs="宋体"/>
      <w:color w:val="000000"/>
      <w:sz w:val="22"/>
      <w:szCs w:val="22"/>
      <w:u w:val="none"/>
    </w:rPr>
  </w:style>
  <w:style w:type="character" w:customStyle="1" w:styleId="281">
    <w:name w:val="font01"/>
    <w:basedOn w:val="50"/>
    <w:qFormat/>
    <w:uiPriority w:val="0"/>
    <w:rPr>
      <w:rFonts w:hint="eastAsia" w:ascii="宋体" w:hAnsi="宋体" w:eastAsia="宋体" w:cs="宋体"/>
      <w:color w:val="000000"/>
      <w:sz w:val="22"/>
      <w:szCs w:val="22"/>
      <w:u w:val="none"/>
    </w:rPr>
  </w:style>
  <w:style w:type="paragraph" w:customStyle="1" w:styleId="282">
    <w:name w:val="B正文"/>
    <w:basedOn w:val="1"/>
    <w:qFormat/>
    <w:uiPriority w:val="0"/>
    <w:pPr>
      <w:spacing w:line="360" w:lineRule="auto"/>
      <w:ind w:firstLine="200" w:firstLineChars="200"/>
    </w:pPr>
    <w:rPr>
      <w:sz w:val="24"/>
    </w:rPr>
  </w:style>
  <w:style w:type="paragraph" w:customStyle="1" w:styleId="283">
    <w:name w:val="B表内"/>
    <w:basedOn w:val="1"/>
    <w:qFormat/>
    <w:uiPriority w:val="0"/>
    <w:pPr>
      <w:spacing w:line="0" w:lineRule="atLeast"/>
      <w:jc w:val="center"/>
    </w:pPr>
    <w:rPr>
      <w:rFonts w:cs="宋体"/>
      <w:szCs w:val="20"/>
    </w:rPr>
  </w:style>
  <w:style w:type="paragraph" w:customStyle="1" w:styleId="284">
    <w:name w:val="6表格内容"/>
    <w:basedOn w:val="1"/>
    <w:next w:val="1"/>
    <w:qFormat/>
    <w:uiPriority w:val="0"/>
    <w:pPr>
      <w:jc w:val="center"/>
    </w:pPr>
    <w:rPr>
      <w:rFonts w:ascii="Calibri" w:hAnsi="Calibri"/>
      <w:szCs w:val="21"/>
    </w:rPr>
  </w:style>
  <w:style w:type="paragraph" w:customStyle="1" w:styleId="285">
    <w:name w:val="报告书正文"/>
    <w:basedOn w:val="1"/>
    <w:next w:val="1"/>
    <w:qFormat/>
    <w:uiPriority w:val="0"/>
    <w:pPr>
      <w:spacing w:line="520" w:lineRule="exact"/>
      <w:ind w:firstLine="200" w:firstLineChars="200"/>
    </w:pPr>
    <w:rPr>
      <w:rFonts w:ascii="Calibri" w:hAnsi="Calibri"/>
      <w:sz w:val="24"/>
    </w:rPr>
  </w:style>
  <w:style w:type="paragraph" w:customStyle="1" w:styleId="286">
    <w:name w:val="5图表标题"/>
    <w:basedOn w:val="1"/>
    <w:next w:val="1"/>
    <w:qFormat/>
    <w:uiPriority w:val="0"/>
    <w:pPr>
      <w:spacing w:line="360" w:lineRule="auto"/>
      <w:jc w:val="center"/>
    </w:pPr>
    <w:rPr>
      <w:rFonts w:ascii="Calibri" w:hAnsi="Calibri" w:eastAsia="黑体"/>
      <w:b/>
      <w:bCs/>
      <w:szCs w:val="21"/>
    </w:rPr>
  </w:style>
  <w:style w:type="character" w:customStyle="1" w:styleId="287">
    <w:name w:val="环评正文 Char Char"/>
    <w:link w:val="288"/>
    <w:qFormat/>
    <w:uiPriority w:val="99"/>
    <w:rPr>
      <w:sz w:val="24"/>
      <w:szCs w:val="24"/>
    </w:rPr>
  </w:style>
  <w:style w:type="paragraph" w:customStyle="1" w:styleId="288">
    <w:name w:val="环评正文"/>
    <w:basedOn w:val="1"/>
    <w:link w:val="287"/>
    <w:qFormat/>
    <w:uiPriority w:val="0"/>
    <w:pPr>
      <w:spacing w:line="360" w:lineRule="auto"/>
      <w:ind w:firstLine="200" w:firstLineChars="200"/>
    </w:pPr>
    <w:rPr>
      <w:kern w:val="0"/>
      <w:sz w:val="24"/>
    </w:rPr>
  </w:style>
  <w:style w:type="character" w:customStyle="1" w:styleId="289">
    <w:name w:val="description"/>
    <w:basedOn w:val="50"/>
    <w:qFormat/>
    <w:uiPriority w:val="0"/>
  </w:style>
  <w:style w:type="character" w:customStyle="1" w:styleId="290">
    <w:name w:val="表格文字 Char"/>
    <w:link w:val="188"/>
    <w:qFormat/>
    <w:uiPriority w:val="0"/>
    <w:rPr>
      <w:kern w:val="2"/>
      <w:sz w:val="21"/>
    </w:rPr>
  </w:style>
  <w:style w:type="paragraph" w:customStyle="1" w:styleId="291">
    <w:name w:val="表格内正文"/>
    <w:basedOn w:val="1"/>
    <w:qFormat/>
    <w:uiPriority w:val="0"/>
    <w:pPr>
      <w:spacing w:line="360" w:lineRule="auto"/>
      <w:ind w:firstLine="493"/>
    </w:pPr>
    <w:rPr>
      <w:rFonts w:ascii="宋体" w:hAnsi="宋体"/>
      <w:spacing w:val="4"/>
      <w:kern w:val="18"/>
      <w:szCs w:val="22"/>
    </w:rPr>
  </w:style>
  <w:style w:type="paragraph" w:customStyle="1" w:styleId="292">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293">
    <w:name w:val="正文首行缩进 2 + Times New Roman"/>
    <w:basedOn w:val="1"/>
    <w:qFormat/>
    <w:uiPriority w:val="0"/>
    <w:pPr>
      <w:tabs>
        <w:tab w:val="left" w:pos="0"/>
        <w:tab w:val="left" w:pos="3150"/>
        <w:tab w:val="left" w:pos="6180"/>
      </w:tabs>
      <w:autoSpaceDE w:val="0"/>
      <w:autoSpaceDN w:val="0"/>
      <w:spacing w:line="324" w:lineRule="auto"/>
      <w:ind w:right="113" w:firstLine="420" w:firstLineChars="200"/>
    </w:pPr>
    <w:rPr>
      <w:rFonts w:ascii="宋体"/>
      <w:kern w:val="0"/>
      <w:sz w:val="24"/>
      <w:szCs w:val="20"/>
    </w:rPr>
  </w:style>
  <w:style w:type="character" w:customStyle="1" w:styleId="294">
    <w:name w:val="font81"/>
    <w:basedOn w:val="50"/>
    <w:qFormat/>
    <w:uiPriority w:val="0"/>
    <w:rPr>
      <w:rFonts w:hint="default" w:ascii="Times New Roman" w:hAnsi="Times New Roman" w:cs="Times New Roman"/>
      <w:color w:val="000000"/>
      <w:sz w:val="20"/>
      <w:szCs w:val="20"/>
      <w:u w:val="none"/>
    </w:rPr>
  </w:style>
  <w:style w:type="paragraph" w:customStyle="1" w:styleId="295">
    <w:name w:val="Heading 1"/>
    <w:basedOn w:val="1"/>
    <w:qFormat/>
    <w:uiPriority w:val="1"/>
    <w:pPr>
      <w:spacing w:line="552" w:lineRule="exact"/>
      <w:ind w:left="655" w:hanging="258"/>
      <w:outlineLvl w:val="1"/>
    </w:pPr>
    <w:rPr>
      <w:rFonts w:ascii="Microsoft JhengHei" w:hAnsi="Microsoft JhengHei" w:eastAsia="Microsoft JhengHei" w:cs="Microsoft JhengHei"/>
      <w:b/>
      <w:bCs/>
      <w:sz w:val="32"/>
      <w:szCs w:val="32"/>
    </w:rPr>
  </w:style>
  <w:style w:type="paragraph" w:customStyle="1" w:styleId="296">
    <w:name w:val="样式 小四 行距: 1.5 倍行距"/>
    <w:basedOn w:val="1"/>
    <w:qFormat/>
    <w:uiPriority w:val="0"/>
    <w:pPr>
      <w:ind w:firstLine="480" w:firstLineChars="200"/>
    </w:pPr>
    <w:rPr>
      <w:rFonts w:hint="default" w:cs="宋体"/>
    </w:rPr>
  </w:style>
  <w:style w:type="paragraph" w:customStyle="1" w:styleId="297">
    <w:name w:val="XZW"/>
    <w:basedOn w:val="298"/>
    <w:qFormat/>
    <w:uiPriority w:val="0"/>
    <w:rPr>
      <w:rFonts w:eastAsia="仿宋_GB2312"/>
      <w:sz w:val="28"/>
    </w:rPr>
  </w:style>
  <w:style w:type="paragraph" w:customStyle="1" w:styleId="298">
    <w:name w:val="ZW"/>
    <w:basedOn w:val="1"/>
    <w:qFormat/>
    <w:uiPriority w:val="0"/>
    <w:pPr>
      <w:adjustRightInd w:val="0"/>
      <w:snapToGrid w:val="0"/>
      <w:ind w:firstLine="200"/>
    </w:pPr>
    <w:rPr>
      <w:kern w:val="0"/>
    </w:rPr>
  </w:style>
  <w:style w:type="paragraph" w:customStyle="1" w:styleId="299">
    <w:name w:val="正文样式"/>
    <w:basedOn w:val="1"/>
    <w:qFormat/>
    <w:uiPriority w:val="0"/>
    <w:pPr>
      <w:spacing w:line="360" w:lineRule="auto"/>
      <w:ind w:right="170" w:firstLine="480" w:firstLineChars="200"/>
    </w:pPr>
    <w:rPr>
      <w:rFonts w:ascii="Calibri" w:hAnsi="宋体"/>
      <w:sz w:val="24"/>
    </w:rPr>
  </w:style>
  <w:style w:type="paragraph" w:customStyle="1" w:styleId="300">
    <w:name w:val="表头 1"/>
    <w:basedOn w:val="1"/>
    <w:next w:val="1"/>
    <w:qFormat/>
    <w:uiPriority w:val="0"/>
    <w:pPr>
      <w:adjustRightInd w:val="0"/>
      <w:snapToGrid w:val="0"/>
      <w:jc w:val="center"/>
    </w:pPr>
    <w:rPr>
      <w:b/>
      <w:sz w:val="24"/>
    </w:rPr>
  </w:style>
  <w:style w:type="paragraph" w:customStyle="1" w:styleId="301">
    <w:name w:val="表格字体"/>
    <w:basedOn w:val="1"/>
    <w:qFormat/>
    <w:uiPriority w:val="0"/>
    <w:pPr>
      <w:spacing w:before="62" w:beforeLines="20" w:after="62" w:afterLines="20" w:line="360" w:lineRule="auto"/>
      <w:jc w:val="center"/>
    </w:pPr>
    <w:rPr>
      <w:sz w:val="24"/>
      <w:szCs w:val="21"/>
    </w:rPr>
  </w:style>
  <w:style w:type="paragraph" w:customStyle="1" w:styleId="302">
    <w:name w:val="表格字体1"/>
    <w:basedOn w:val="1"/>
    <w:qFormat/>
    <w:uiPriority w:val="0"/>
    <w:pPr>
      <w:widowControl/>
      <w:adjustRightInd w:val="0"/>
      <w:snapToGrid w:val="0"/>
      <w:spacing w:beforeLines="20" w:afterLines="20"/>
      <w:jc w:val="center"/>
    </w:pPr>
    <w:rPr>
      <w:color w:val="000000"/>
      <w:kern w:val="0"/>
      <w:szCs w:val="21"/>
    </w:rPr>
  </w:style>
  <w:style w:type="paragraph" w:customStyle="1" w:styleId="303">
    <w:name w:val="标题2"/>
    <w:basedOn w:val="1"/>
    <w:next w:val="3"/>
    <w:qFormat/>
    <w:uiPriority w:val="0"/>
    <w:pPr>
      <w:adjustRightInd w:val="0"/>
      <w:snapToGrid w:val="0"/>
      <w:spacing w:line="360" w:lineRule="auto"/>
    </w:pPr>
    <w:rPr>
      <w:rFonts w:hAnsi="宋体"/>
      <w:b/>
      <w:bCs/>
      <w:sz w:val="28"/>
      <w:szCs w:val="28"/>
    </w:rPr>
  </w:style>
  <w:style w:type="character" w:customStyle="1" w:styleId="304">
    <w:name w:val="表头 Char"/>
    <w:link w:val="8"/>
    <w:qFormat/>
    <w:uiPriority w:val="0"/>
    <w:rPr>
      <w:rFonts w:ascii="Arial" w:hAnsi="Arial" w:eastAsia="黑体"/>
      <w:b/>
      <w:szCs w:val="21"/>
    </w:rPr>
  </w:style>
  <w:style w:type="character" w:customStyle="1" w:styleId="305">
    <w:name w:val="font11"/>
    <w:basedOn w:val="50"/>
    <w:qFormat/>
    <w:uiPriority w:val="0"/>
    <w:rPr>
      <w:rFonts w:hint="eastAsia" w:ascii="宋体" w:hAnsi="宋体" w:eastAsia="宋体" w:cs="宋体"/>
      <w:color w:val="000000"/>
      <w:sz w:val="20"/>
      <w:szCs w:val="20"/>
      <w:u w:val="none"/>
    </w:rPr>
  </w:style>
  <w:style w:type="character" w:customStyle="1" w:styleId="306">
    <w:name w:val="普通(网站) Char"/>
    <w:basedOn w:val="50"/>
    <w:link w:val="33"/>
    <w:qFormat/>
    <w:uiPriority w:val="0"/>
    <w:rPr>
      <w:rFonts w:hint="eastAsia" w:ascii="宋体" w:hAnsi="宋体" w:eastAsia="宋体" w:cs="宋体"/>
      <w:sz w:val="24"/>
    </w:rPr>
  </w:style>
  <w:style w:type="paragraph" w:customStyle="1" w:styleId="307">
    <w:name w:val="0正文"/>
    <w:basedOn w:val="1"/>
    <w:qFormat/>
    <w:uiPriority w:val="0"/>
    <w:pPr>
      <w:keepNext w:val="0"/>
      <w:keepLines w:val="0"/>
      <w:widowControl w:val="0"/>
      <w:suppressLineNumbers w:val="0"/>
      <w:adjustRightInd w:val="0"/>
      <w:snapToGrid w:val="0"/>
      <w:spacing w:before="0" w:beforeAutospacing="0" w:after="0" w:afterAutospacing="0" w:line="360" w:lineRule="auto"/>
      <w:ind w:left="0" w:right="0" w:firstLine="200" w:firstLineChars="200"/>
      <w:jc w:val="both"/>
    </w:pPr>
    <w:rPr>
      <w:rFonts w:hint="default" w:ascii="Times New Roman" w:hAnsi="Times New Roman" w:eastAsia="宋体" w:cs="Times New Roman"/>
      <w:kern w:val="2"/>
      <w:sz w:val="24"/>
      <w:szCs w:val="24"/>
      <w:lang w:val="en-US" w:eastAsia="zh-CN" w:bidi="ar"/>
    </w:rPr>
  </w:style>
  <w:style w:type="paragraph" w:customStyle="1" w:styleId="308">
    <w:name w:val="Char Char Char Char Char Char Char Char Char Char Char Char Char 字元 字元"/>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4"/>
      <w:szCs w:val="24"/>
      <w:lang w:val="en-US" w:eastAsia="zh-CN" w:bidi="ar"/>
    </w:rPr>
  </w:style>
  <w:style w:type="character" w:customStyle="1" w:styleId="309">
    <w:name w:val="font51"/>
    <w:basedOn w:val="50"/>
    <w:qFormat/>
    <w:uiPriority w:val="0"/>
    <w:rPr>
      <w:rFonts w:hint="default" w:ascii="Times New Roman" w:hAnsi="Times New Roman" w:cs="Times New Roman"/>
      <w:color w:val="000000"/>
      <w:sz w:val="21"/>
      <w:szCs w:val="21"/>
      <w:u w:val="none"/>
    </w:rPr>
  </w:style>
  <w:style w:type="character" w:customStyle="1" w:styleId="310">
    <w:name w:val="font71"/>
    <w:basedOn w:val="50"/>
    <w:qFormat/>
    <w:uiPriority w:val="0"/>
    <w:rPr>
      <w:rFonts w:hint="default" w:ascii="Times New Roman" w:hAnsi="Times New Roman" w:cs="Times New Roman"/>
      <w:b/>
      <w:color w:val="000000"/>
      <w:sz w:val="22"/>
      <w:szCs w:val="22"/>
      <w:u w:val="none"/>
    </w:rPr>
  </w:style>
  <w:style w:type="paragraph" w:customStyle="1" w:styleId="311">
    <w:name w:val="正文20110824"/>
    <w:basedOn w:val="1"/>
    <w:qFormat/>
    <w:uiPriority w:val="0"/>
    <w:pPr>
      <w:keepNext w:val="0"/>
      <w:keepLines w:val="0"/>
      <w:widowControl w:val="0"/>
      <w:suppressLineNumbers w:val="0"/>
      <w:spacing w:before="0" w:beforeAutospacing="0" w:after="0" w:afterAutospacing="0" w:line="360" w:lineRule="auto"/>
      <w:ind w:left="0" w:right="0" w:firstLine="200" w:firstLineChars="200"/>
      <w:jc w:val="both"/>
    </w:pPr>
    <w:rPr>
      <w:rFonts w:hint="default" w:ascii="Calibri" w:hAnsi="Calibri" w:eastAsia="宋体" w:cs="Times New Roman"/>
      <w:color w:val="000000"/>
      <w:kern w:val="2"/>
      <w:sz w:val="24"/>
      <w:szCs w:val="24"/>
      <w:lang w:val="en-US" w:eastAsia="zh-CN" w:bidi="ar"/>
    </w:rPr>
  </w:style>
  <w:style w:type="paragraph" w:customStyle="1" w:styleId="312">
    <w:name w:val="msolistparagraph"/>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eastAsia="宋体" w:cs="Times New Roman"/>
      <w:kern w:val="0"/>
      <w:sz w:val="24"/>
      <w:szCs w:val="24"/>
      <w:lang w:val="en-US" w:eastAsia="zh-CN" w:bidi="ar"/>
    </w:rPr>
  </w:style>
  <w:style w:type="paragraph" w:customStyle="1" w:styleId="313">
    <w:name w:val="标题3"/>
    <w:next w:val="1"/>
    <w:qFormat/>
    <w:uiPriority w:val="99"/>
    <w:pPr>
      <w:spacing w:line="360" w:lineRule="auto"/>
      <w:jc w:val="both"/>
      <w:outlineLvl w:val="2"/>
    </w:pPr>
    <w:rPr>
      <w:rFonts w:ascii="Times New Roman" w:hAnsi="Times New Roman" w:eastAsia="宋体" w:cs="Times New Roman"/>
      <w:b/>
      <w:bCs/>
      <w:kern w:val="2"/>
      <w:sz w:val="28"/>
      <w:szCs w:val="28"/>
      <w:lang w:val="en-US" w:eastAsia="zh-CN" w:bidi="ar-SA"/>
    </w:rPr>
  </w:style>
  <w:style w:type="paragraph" w:customStyle="1" w:styleId="314">
    <w:name w:val="Char Char11"/>
    <w:basedOn w:val="1"/>
    <w:qFormat/>
    <w:uiPriority w:val="0"/>
    <w:pPr>
      <w:spacing w:line="360" w:lineRule="auto"/>
      <w:ind w:firstLine="200" w:firstLineChars="200"/>
    </w:pPr>
    <w:rPr>
      <w:rFonts w:ascii="Times New Roman" w:hAnsi="宋体" w:cs="宋体"/>
      <w:sz w:val="24"/>
    </w:rPr>
  </w:style>
  <w:style w:type="paragraph" w:customStyle="1" w:styleId="315">
    <w:name w:val="表头表格"/>
    <w:basedOn w:val="1"/>
    <w:qFormat/>
    <w:uiPriority w:val="0"/>
    <w:pPr>
      <w:snapToGrid w:val="0"/>
      <w:spacing w:beforeLines="50" w:line="360" w:lineRule="auto"/>
      <w:jc w:val="center"/>
    </w:pPr>
    <w:rPr>
      <w:rFonts w:ascii="Times New Roman"/>
      <w:b/>
      <w:bCs/>
      <w:color w:val="000000"/>
      <w:kern w:val="2"/>
      <w:sz w:val="21"/>
      <w:szCs w:val="21"/>
    </w:rPr>
  </w:style>
  <w:style w:type="paragraph" w:customStyle="1" w:styleId="316">
    <w:name w:val="表格内文字"/>
    <w:basedOn w:val="8"/>
    <w:qFormat/>
    <w:uiPriority w:val="0"/>
    <w:pPr>
      <w:snapToGrid/>
      <w:spacing w:line="240" w:lineRule="auto"/>
      <w:ind w:left="0" w:leftChars="0" w:right="0" w:rightChars="0" w:firstLine="0" w:firstLineChars="0"/>
    </w:pPr>
    <w:rPr>
      <w:color w:val="auto"/>
      <w:kern w:val="0"/>
      <w:sz w:val="21"/>
      <w:szCs w:val="20"/>
    </w:rPr>
  </w:style>
  <w:style w:type="paragraph" w:customStyle="1" w:styleId="317">
    <w:name w:val="00000000000000000000000"/>
    <w:basedOn w:val="1"/>
    <w:qFormat/>
    <w:uiPriority w:val="0"/>
    <w:pPr>
      <w:spacing w:before="0" w:after="0"/>
      <w:ind w:firstLine="480" w:firstLineChars="200"/>
      <w:outlineLvl w:val="9"/>
    </w:pPr>
    <w:rPr>
      <w:rFonts w:ascii="Times New Roman" w:hAnsi="Times New Roman" w:eastAsia="宋体"/>
      <w:snapToGrid w:val="0"/>
    </w:rPr>
  </w:style>
  <w:style w:type="paragraph" w:customStyle="1" w:styleId="318">
    <w:name w:val="D正文"/>
    <w:basedOn w:val="319"/>
    <w:qFormat/>
    <w:uiPriority w:val="0"/>
    <w:pPr>
      <w:spacing w:line="360" w:lineRule="auto"/>
      <w:ind w:firstLine="480"/>
    </w:pPr>
    <w:rPr>
      <w:color w:val="000000"/>
      <w:kern w:val="0"/>
    </w:rPr>
  </w:style>
  <w:style w:type="paragraph" w:customStyle="1" w:styleId="319">
    <w:name w:val="正文对的"/>
    <w:basedOn w:val="1"/>
    <w:semiHidden/>
    <w:qFormat/>
    <w:uiPriority w:val="0"/>
    <w:pPr>
      <w:spacing w:line="400" w:lineRule="exact"/>
      <w:ind w:firstLine="200" w:firstLineChars="200"/>
    </w:pPr>
    <w:rPr>
      <w:rFonts w:hAnsi="华康简宋"/>
      <w:sz w:val="24"/>
    </w:rPr>
  </w:style>
  <w:style w:type="paragraph" w:customStyle="1" w:styleId="320">
    <w:name w:val="图表题"/>
    <w:basedOn w:val="1"/>
    <w:next w:val="1"/>
    <w:qFormat/>
    <w:uiPriority w:val="0"/>
    <w:pPr>
      <w:spacing w:line="360" w:lineRule="auto"/>
      <w:ind w:firstLine="0" w:firstLineChars="0"/>
      <w:jc w:val="center"/>
    </w:pPr>
    <w:rPr>
      <w:rFonts w:eastAsia="黑体"/>
      <w:b/>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microsoft.com/office/2011/relationships/commentsExtended" Target="commentsExtended.xml"/><Relationship Id="rId33" Type="http://schemas.microsoft.com/office/2011/relationships/people" Target="people.xml"/><Relationship Id="rId32" Type="http://schemas.openxmlformats.org/officeDocument/2006/relationships/fontTable" Target="fontTable.xml"/><Relationship Id="rId31" Type="http://schemas.openxmlformats.org/officeDocument/2006/relationships/customXml" Target="../customXml/item2.xml"/><Relationship Id="rId30" Type="http://schemas.openxmlformats.org/officeDocument/2006/relationships/numbering" Target="numbering.xml"/><Relationship Id="rId3" Type="http://schemas.openxmlformats.org/officeDocument/2006/relationships/comments" Target="comments.xml"/><Relationship Id="rId29" Type="http://schemas.openxmlformats.org/officeDocument/2006/relationships/customXml" Target="../customXml/item1.xml"/><Relationship Id="rId28" Type="http://schemas.openxmlformats.org/officeDocument/2006/relationships/image" Target="media/image12.jpeg"/><Relationship Id="rId27" Type="http://schemas.openxmlformats.org/officeDocument/2006/relationships/image" Target="media/image11.png"/><Relationship Id="rId26" Type="http://schemas.openxmlformats.org/officeDocument/2006/relationships/image" Target="media/image10.png"/><Relationship Id="rId25" Type="http://schemas.openxmlformats.org/officeDocument/2006/relationships/image" Target="media/image9.png"/><Relationship Id="rId24" Type="http://schemas.openxmlformats.org/officeDocument/2006/relationships/image" Target="media/image8.png"/><Relationship Id="rId23" Type="http://schemas.openxmlformats.org/officeDocument/2006/relationships/image" Target="media/image7.jpeg"/><Relationship Id="rId22" Type="http://schemas.openxmlformats.org/officeDocument/2006/relationships/image" Target="media/image6.png"/><Relationship Id="rId21" Type="http://schemas.openxmlformats.org/officeDocument/2006/relationships/image" Target="media/image5.png"/><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pn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CAF4D15-F626-4508-BA77-D583CAF66B30}">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85</Pages>
  <Words>45007</Words>
  <Characters>50266</Characters>
  <Lines>269</Lines>
  <Paragraphs>75</Paragraphs>
  <TotalTime>43</TotalTime>
  <ScaleCrop>false</ScaleCrop>
  <LinksUpToDate>false</LinksUpToDate>
  <CharactersWithSpaces>52171</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2020-07-11T03:22:00Z</dcterms:created>
  <dc:creator>刘晓强</dc:creator>
  <cp:lastModifiedBy>「年少輕狂」</cp:lastModifiedBy>
  <cp:lastPrinted>2017-05-27T09:04:00Z</cp:lastPrinted>
  <dcterms:modified xsi:type="dcterms:W3CDTF">2023-10-24T00:25:22Z</dcterms:modified>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43907419AC514E4894365311B330D552</vt:lpwstr>
  </property>
</Properties>
</file>