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spacing w:before="0" w:after="0" w:line="360" w:lineRule="auto"/>
        <w:ind w:left="0" w:leftChars="0" w:right="0" w:firstLine="0" w:firstLineChars="0"/>
        <w:jc w:val="center"/>
        <w:textAlignment w:val="auto"/>
        <w:outlineLvl w:val="9"/>
        <w:rPr>
          <w:rFonts w:hint="default" w:ascii="Times New Roman" w:hAnsi="Times New Roman" w:eastAsia="仿宋" w:cs="Times New Roman"/>
          <w:b/>
          <w:bCs/>
          <w:spacing w:val="0"/>
          <w:sz w:val="48"/>
          <w:szCs w:val="48"/>
          <w:lang w:val="en-US" w:eastAsia="zh-CN"/>
        </w:rPr>
      </w:pPr>
      <w:r>
        <w:rPr>
          <w:rFonts w:hint="default" w:ascii="Times New Roman" w:hAnsi="Times New Roman" w:eastAsia="仿宋" w:cs="Times New Roman"/>
          <w:b/>
          <w:bCs/>
          <w:spacing w:val="0"/>
          <w:sz w:val="48"/>
          <w:szCs w:val="48"/>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before="0" w:after="0" w:line="360" w:lineRule="auto"/>
        <w:ind w:left="0" w:leftChars="0" w:right="0" w:firstLine="0" w:firstLineChars="0"/>
        <w:jc w:val="center"/>
        <w:textAlignment w:val="auto"/>
        <w:outlineLvl w:val="9"/>
        <w:rPr>
          <w:rFonts w:hint="default" w:ascii="Times New Roman" w:hAnsi="Times New Roman" w:eastAsia="仿宋" w:cs="Times New Roman"/>
          <w:b/>
          <w:bCs/>
          <w:color w:val="auto"/>
          <w:spacing w:val="0"/>
          <w:sz w:val="48"/>
          <w:szCs w:val="48"/>
          <w:lang w:val="en-US" w:eastAsia="zh-CN"/>
        </w:rPr>
      </w:pPr>
    </w:p>
    <w:p>
      <w:pPr>
        <w:pStyle w:val="43"/>
        <w:rPr>
          <w:rFonts w:hint="default"/>
          <w:lang w:val="en-US" w:eastAsia="zh-CN"/>
        </w:rPr>
      </w:pPr>
    </w:p>
    <w:p>
      <w:pPr>
        <w:keepNext w:val="0"/>
        <w:keepLines w:val="0"/>
        <w:pageBreakBefore w:val="0"/>
        <w:widowControl w:val="0"/>
        <w:kinsoku/>
        <w:wordWrap/>
        <w:overflowPunct/>
        <w:topLinePunct w:val="0"/>
        <w:autoSpaceDE/>
        <w:autoSpaceDN/>
        <w:bidi w:val="0"/>
        <w:adjustRightInd/>
        <w:snapToGrid w:val="0"/>
        <w:spacing w:before="0" w:after="0" w:line="360" w:lineRule="auto"/>
        <w:ind w:left="0" w:leftChars="0" w:right="0" w:firstLine="0" w:firstLineChars="0"/>
        <w:jc w:val="center"/>
        <w:textAlignment w:val="auto"/>
        <w:outlineLvl w:val="9"/>
        <w:rPr>
          <w:rFonts w:hint="default" w:ascii="Times New Roman" w:hAnsi="Times New Roman" w:eastAsia="宋体" w:cs="Times New Roman"/>
          <w:b/>
          <w:bCs/>
          <w:color w:val="00B050"/>
          <w:sz w:val="52"/>
          <w:szCs w:val="52"/>
          <w:lang w:val="en-US" w:eastAsia="zh-CN"/>
        </w:rPr>
      </w:pPr>
      <w:r>
        <w:rPr>
          <w:rFonts w:hint="eastAsia" w:ascii="Times New Roman" w:hAnsi="Times New Roman" w:eastAsia="宋体" w:cs="Times New Roman"/>
          <w:b/>
          <w:bCs/>
          <w:color w:val="auto"/>
          <w:spacing w:val="0"/>
          <w:sz w:val="52"/>
          <w:szCs w:val="52"/>
          <w:lang w:val="en-US" w:eastAsia="zh-CN"/>
        </w:rPr>
        <w:t>青海省格尔木市拉宁灶火多金属矿普查项目</w:t>
      </w:r>
      <w:r>
        <w:rPr>
          <w:rFonts w:hint="default" w:ascii="Times New Roman" w:hAnsi="Times New Roman" w:eastAsia="宋体" w:cs="Times New Roman"/>
          <w:b/>
          <w:bCs/>
          <w:color w:val="auto"/>
          <w:spacing w:val="0"/>
          <w:sz w:val="52"/>
          <w:szCs w:val="52"/>
          <w:lang w:val="en-US" w:eastAsia="zh-CN"/>
        </w:rPr>
        <w:t>竣工环境保护验收调查表</w:t>
      </w: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3"/>
          <w:szCs w:val="20"/>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lang w:val="en-US" w:eastAsia="zh-CN"/>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r>
        <w:rPr>
          <w:rFonts w:hint="default" w:ascii="Times New Roman" w:hAnsi="Times New Roman" w:eastAsia="宋体" w:cs="Times New Roman"/>
          <w:b/>
          <w:bCs/>
          <w:color w:val="auto"/>
          <w:spacing w:val="0"/>
          <w:kern w:val="0"/>
          <w:sz w:val="32"/>
          <w:szCs w:val="22"/>
          <w:lang w:val="en-US" w:eastAsia="zh-CN" w:bidi="ar-SA"/>
        </w:rPr>
        <w:t>委托单位：</w:t>
      </w:r>
      <w:r>
        <w:rPr>
          <w:rFonts w:hint="eastAsia" w:ascii="Times New Roman" w:hAnsi="Times New Roman" w:eastAsia="宋体" w:cs="Times New Roman"/>
          <w:b/>
          <w:bCs/>
          <w:color w:val="auto"/>
          <w:spacing w:val="0"/>
          <w:kern w:val="0"/>
          <w:sz w:val="32"/>
          <w:szCs w:val="22"/>
          <w:lang w:val="en-US" w:eastAsia="zh-CN" w:bidi="ar-SA"/>
        </w:rPr>
        <w:t xml:space="preserve">青海省投资集团有限公司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r>
        <w:rPr>
          <w:rFonts w:hint="default" w:ascii="Times New Roman" w:hAnsi="Times New Roman" w:eastAsia="宋体" w:cs="Times New Roman"/>
          <w:b/>
          <w:bCs/>
          <w:color w:val="auto"/>
          <w:spacing w:val="0"/>
          <w:kern w:val="0"/>
          <w:sz w:val="32"/>
          <w:szCs w:val="22"/>
          <w:lang w:val="en-US" w:eastAsia="zh-CN" w:bidi="ar-SA"/>
        </w:rPr>
        <w:t>编制单位：</w:t>
      </w:r>
      <w:r>
        <w:rPr>
          <w:rFonts w:hint="default" w:ascii="Times New Roman" w:hAnsi="Times New Roman" w:eastAsia="宋体" w:cs="Times New Roman"/>
          <w:b/>
          <w:bCs/>
          <w:color w:val="auto"/>
          <w:spacing w:val="0"/>
          <w:kern w:val="0"/>
          <w:sz w:val="32"/>
          <w:szCs w:val="22"/>
          <w:lang w:val="en-US" w:eastAsia="zh-CN" w:bidi="ar-SA"/>
        </w:rPr>
        <w:fldChar w:fldCharType="begin"/>
      </w:r>
      <w:r>
        <w:rPr>
          <w:rFonts w:hint="default" w:ascii="Times New Roman" w:hAnsi="Times New Roman" w:eastAsia="宋体" w:cs="Times New Roman"/>
          <w:b/>
          <w:bCs/>
          <w:color w:val="auto"/>
          <w:spacing w:val="0"/>
          <w:kern w:val="0"/>
          <w:sz w:val="32"/>
          <w:szCs w:val="22"/>
          <w:lang w:val="en-US" w:eastAsia="zh-CN" w:bidi="ar-SA"/>
        </w:rPr>
        <w:instrText xml:space="preserve"> HYPERLINK "https://aiqicha.baidu.com/detail/compinfo?pid=28803338399640&amp;rq=ef&amp;pd=ee&amp;from=ps" \t "https://www.baidu.com/_blank" </w:instrText>
      </w:r>
      <w:r>
        <w:rPr>
          <w:rFonts w:hint="default" w:ascii="Times New Roman" w:hAnsi="Times New Roman" w:eastAsia="宋体" w:cs="Times New Roman"/>
          <w:b/>
          <w:bCs/>
          <w:color w:val="auto"/>
          <w:spacing w:val="0"/>
          <w:kern w:val="0"/>
          <w:sz w:val="32"/>
          <w:szCs w:val="22"/>
          <w:lang w:val="en-US" w:eastAsia="zh-CN" w:bidi="ar-SA"/>
        </w:rPr>
        <w:fldChar w:fldCharType="separate"/>
      </w:r>
      <w:r>
        <w:rPr>
          <w:rFonts w:hint="default" w:ascii="Times New Roman" w:hAnsi="Times New Roman" w:eastAsia="宋体" w:cs="Times New Roman"/>
          <w:b/>
          <w:bCs/>
          <w:color w:val="auto"/>
          <w:spacing w:val="0"/>
          <w:kern w:val="0"/>
          <w:sz w:val="32"/>
          <w:szCs w:val="22"/>
          <w:lang w:val="en-US" w:eastAsia="zh-CN" w:bidi="ar-SA"/>
        </w:rPr>
        <w:t>青海国勘工程咨询有限公司</w:t>
      </w:r>
      <w:r>
        <w:rPr>
          <w:rFonts w:hint="default" w:ascii="Times New Roman" w:hAnsi="Times New Roman" w:eastAsia="宋体" w:cs="Times New Roman"/>
          <w:b/>
          <w:bCs/>
          <w:color w:val="auto"/>
          <w:spacing w:val="0"/>
          <w:kern w:val="0"/>
          <w:sz w:val="32"/>
          <w:szCs w:val="22"/>
          <w:lang w:val="en-US" w:eastAsia="zh-CN" w:bidi="ar-SA"/>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r>
        <w:rPr>
          <w:rFonts w:hint="default" w:ascii="Times New Roman" w:hAnsi="Times New Roman" w:eastAsia="宋体" w:cs="Times New Roman"/>
          <w:b/>
          <w:bCs/>
          <w:color w:val="auto"/>
          <w:spacing w:val="0"/>
          <w:kern w:val="0"/>
          <w:sz w:val="32"/>
          <w:szCs w:val="22"/>
          <w:lang w:val="en-US" w:eastAsia="zh-CN" w:bidi="ar-SA"/>
        </w:rPr>
        <w:t>编制日期：二〇二</w:t>
      </w:r>
      <w:r>
        <w:rPr>
          <w:rFonts w:hint="eastAsia" w:ascii="Times New Roman" w:hAnsi="Times New Roman" w:eastAsia="宋体" w:cs="Times New Roman"/>
          <w:b/>
          <w:bCs/>
          <w:color w:val="auto"/>
          <w:spacing w:val="0"/>
          <w:kern w:val="0"/>
          <w:sz w:val="32"/>
          <w:szCs w:val="22"/>
          <w:lang w:val="en-US" w:eastAsia="zh-CN" w:bidi="ar-SA"/>
        </w:rPr>
        <w:t>四</w:t>
      </w:r>
      <w:r>
        <w:rPr>
          <w:rFonts w:hint="default" w:ascii="Times New Roman" w:hAnsi="Times New Roman" w:eastAsia="宋体" w:cs="Times New Roman"/>
          <w:b/>
          <w:bCs/>
          <w:color w:val="auto"/>
          <w:spacing w:val="0"/>
          <w:kern w:val="0"/>
          <w:sz w:val="32"/>
          <w:szCs w:val="22"/>
          <w:lang w:val="en-US" w:eastAsia="zh-CN" w:bidi="ar-SA"/>
        </w:rPr>
        <w:t>年</w:t>
      </w:r>
      <w:r>
        <w:rPr>
          <w:rFonts w:hint="eastAsia" w:ascii="Times New Roman" w:hAnsi="Times New Roman" w:eastAsia="宋体" w:cs="Times New Roman"/>
          <w:b/>
          <w:bCs/>
          <w:color w:val="auto"/>
          <w:spacing w:val="0"/>
          <w:kern w:val="0"/>
          <w:sz w:val="32"/>
          <w:szCs w:val="22"/>
          <w:lang w:val="en-US" w:eastAsia="zh-CN" w:bidi="ar-SA"/>
        </w:rPr>
        <w:t>三</w:t>
      </w:r>
      <w:r>
        <w:rPr>
          <w:rFonts w:hint="default" w:ascii="Times New Roman" w:hAnsi="Times New Roman" w:eastAsia="宋体" w:cs="Times New Roman"/>
          <w:b/>
          <w:bCs/>
          <w:color w:val="auto"/>
          <w:spacing w:val="0"/>
          <w:kern w:val="0"/>
          <w:sz w:val="32"/>
          <w:szCs w:val="22"/>
          <w:lang w:val="en-US" w:eastAsia="zh-CN" w:bidi="ar-SA"/>
        </w:rPr>
        <w:t>月</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color w:val="auto"/>
          <w:spacing w:val="0"/>
          <w:kern w:val="0"/>
          <w:sz w:val="32"/>
          <w:szCs w:val="22"/>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sectPr>
          <w:headerReference r:id="rId4" w:type="first"/>
          <w:headerReference r:id="rId3" w:type="default"/>
          <w:footerReference r:id="rId5" w:type="default"/>
          <w:pgSz w:w="11906" w:h="16838"/>
          <w:pgMar w:top="1588" w:right="1361" w:bottom="1474" w:left="1474" w:header="1247" w:footer="1077" w:gutter="0"/>
          <w:pgBorders>
            <w:top w:val="none" w:sz="0" w:space="0"/>
            <w:left w:val="none" w:sz="0" w:space="0"/>
            <w:bottom w:val="none" w:sz="0" w:space="0"/>
            <w:right w:val="none" w:sz="0" w:space="0"/>
          </w:pgBorders>
          <w:pgNumType w:fmt="decimal"/>
          <w:cols w:space="720" w:num="1"/>
          <w:titlePg/>
          <w:docGrid w:linePitch="312" w:charSpace="0"/>
        </w:sectPr>
      </w:pPr>
    </w:p>
    <w:p>
      <w:pPr>
        <w:pStyle w:val="43"/>
        <w:rPr>
          <w:rFonts w:hint="default" w:ascii="Times New Roman" w:hAnsi="Times New Roman" w:cs="Times New Roman"/>
          <w:lang w:val="en-US" w:eastAsia="zh-CN"/>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pStyle w:val="43"/>
        <w:ind w:left="0" w:leftChars="0" w:firstLine="0" w:firstLineChars="0"/>
        <w:rPr>
          <w:rFonts w:hint="default" w:ascii="Times New Roman" w:hAnsi="Times New Roman" w:eastAsia="宋体" w:cs="Times New Roman"/>
          <w:b/>
          <w:bCs/>
          <w:color w:val="00B050"/>
          <w:kern w:val="2"/>
          <w:sz w:val="18"/>
          <w:szCs w:val="24"/>
          <w:lang w:val="en-US" w:eastAsia="zh-CN" w:bidi="ar-SA"/>
        </w:rPr>
      </w:pPr>
    </w:p>
    <w:p>
      <w:pPr>
        <w:pStyle w:val="43"/>
        <w:rPr>
          <w:rFonts w:hint="default" w:ascii="Times New Roman" w:hAnsi="Times New Roman" w:eastAsia="宋体" w:cs="Times New Roman"/>
          <w:b/>
          <w:bCs/>
          <w:color w:val="00B050"/>
          <w:kern w:val="2"/>
          <w:sz w:val="18"/>
          <w:szCs w:val="24"/>
          <w:lang w:val="en-US" w:eastAsia="zh-CN" w:bidi="ar-SA"/>
        </w:rPr>
      </w:pPr>
    </w:p>
    <w:p>
      <w:pPr>
        <w:widowControl w:val="0"/>
        <w:pBdr>
          <w:top w:val="none" w:color="auto" w:sz="0" w:space="1"/>
          <w:left w:val="none" w:color="auto" w:sz="0" w:space="4"/>
          <w:bottom w:val="none" w:color="auto" w:sz="0" w:space="1"/>
          <w:right w:val="none" w:color="auto" w:sz="0" w:space="4"/>
        </w:pBdr>
        <w:tabs>
          <w:tab w:val="center" w:pos="4153"/>
          <w:tab w:val="right" w:pos="8306"/>
        </w:tabs>
        <w:snapToGrid w:val="0"/>
        <w:jc w:val="both"/>
        <w:rPr>
          <w:rFonts w:hint="default" w:ascii="Times New Roman" w:hAnsi="Times New Roman" w:eastAsia="宋体" w:cs="Times New Roman"/>
          <w:b/>
          <w:bCs/>
          <w:color w:val="00B050"/>
          <w:kern w:val="2"/>
          <w:sz w:val="18"/>
          <w:szCs w:val="24"/>
          <w:lang w:val="en-US" w:eastAsia="zh-CN" w:bidi="ar-SA"/>
        </w:rPr>
      </w:pPr>
    </w:p>
    <w:p>
      <w:pPr>
        <w:pStyle w:val="6"/>
        <w:ind w:firstLine="2570" w:firstLineChars="800"/>
        <w:jc w:val="both"/>
        <w:rPr>
          <w:rFonts w:hint="default" w:ascii="Times New Roman" w:hAnsi="Times New Roman" w:eastAsia="仿宋" w:cs="Times New Roman"/>
          <w:b/>
          <w:bCs/>
          <w:color w:val="auto"/>
          <w:spacing w:val="0"/>
          <w:kern w:val="0"/>
          <w:sz w:val="32"/>
          <w:szCs w:val="22"/>
          <w:lang w:val="en-US" w:eastAsia="zh-CN"/>
        </w:rPr>
      </w:pPr>
      <w:r>
        <w:rPr>
          <w:rFonts w:hint="default" w:ascii="Times New Roman" w:hAnsi="Times New Roman" w:eastAsia="宋体" w:cs="Times New Roman"/>
          <w:b/>
          <w:bCs/>
          <w:color w:val="auto"/>
          <w:spacing w:val="0"/>
          <w:kern w:val="0"/>
          <w:sz w:val="32"/>
          <w:szCs w:val="22"/>
          <w:lang w:val="en-US" w:eastAsia="zh-CN"/>
        </w:rPr>
        <w:t xml:space="preserve">    </w:t>
      </w:r>
      <w:r>
        <w:rPr>
          <w:rFonts w:hint="default" w:ascii="Times New Roman" w:hAnsi="Times New Roman" w:eastAsia="仿宋" w:cs="Times New Roman"/>
          <w:b/>
          <w:bCs/>
          <w:color w:val="auto"/>
          <w:spacing w:val="0"/>
          <w:kern w:val="0"/>
          <w:sz w:val="32"/>
          <w:szCs w:val="22"/>
          <w:lang w:val="en-US" w:eastAsia="zh-CN"/>
        </w:rPr>
        <w:t xml:space="preserve">                                  </w:t>
      </w: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pPr>
    </w:p>
    <w:p>
      <w:pPr>
        <w:pStyle w:val="7"/>
        <w:rPr>
          <w:rFonts w:hint="default" w:ascii="Times New Roman" w:hAnsi="Times New Roman" w:cs="Times New Roman"/>
          <w:color w:val="0000FF"/>
          <w:lang w:val="en-US" w:eastAsia="zh-CN"/>
        </w:rPr>
        <w:sectPr>
          <w:headerReference r:id="rId6" w:type="first"/>
          <w:footerReference r:id="rId8" w:type="first"/>
          <w:footerReference r:id="rId7" w:type="default"/>
          <w:pgSz w:w="11906" w:h="16838"/>
          <w:pgMar w:top="1588" w:right="1361" w:bottom="1474" w:left="1474" w:header="794" w:footer="1077" w:gutter="0"/>
          <w:pgBorders>
            <w:top w:val="none" w:sz="0" w:space="0"/>
            <w:left w:val="none" w:sz="0" w:space="0"/>
            <w:bottom w:val="none" w:sz="0" w:space="0"/>
            <w:right w:val="none" w:sz="0" w:space="0"/>
          </w:pgBorders>
          <w:pgNumType w:fmt="decimal" w:start="1"/>
          <w:cols w:space="720" w:num="1"/>
          <w:titlePg/>
          <w:docGrid w:linePitch="312" w:charSpace="0"/>
        </w:sectPr>
      </w:pPr>
    </w:p>
    <w:p>
      <w:pPr>
        <w:pStyle w:val="2"/>
        <w:numPr>
          <w:ilvl w:val="0"/>
          <w:numId w:val="0"/>
        </w:numPr>
        <w:ind w:leftChars="0"/>
        <w:rPr>
          <w:rFonts w:hint="default" w:ascii="Times New Roman" w:hAnsi="Times New Roman" w:eastAsia="宋体" w:cs="Times New Roman"/>
          <w:b/>
          <w:bCs w:val="0"/>
          <w:color w:val="auto"/>
          <w:sz w:val="28"/>
          <w:szCs w:val="28"/>
        </w:rPr>
      </w:pPr>
      <w:r>
        <w:rPr>
          <w:rFonts w:hint="default" w:ascii="Times New Roman" w:hAnsi="Times New Roman" w:cs="Times New Roman"/>
          <w:b/>
          <w:bCs w:val="0"/>
          <w:sz w:val="28"/>
          <w:szCs w:val="28"/>
          <w:lang w:val="en-US" w:eastAsia="zh-CN"/>
        </w:rPr>
        <w:t>1.</w:t>
      </w:r>
      <w:r>
        <w:rPr>
          <w:rFonts w:hint="default" w:ascii="Times New Roman" w:hAnsi="Times New Roman" w:cs="Times New Roman"/>
          <w:b/>
          <w:bCs w:val="0"/>
          <w:sz w:val="28"/>
          <w:szCs w:val="28"/>
        </w:rPr>
        <w:t>项目整体情况</w:t>
      </w:r>
    </w:p>
    <w:tbl>
      <w:tblPr>
        <w:tblStyle w:val="44"/>
        <w:tblW w:w="861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73"/>
        <w:gridCol w:w="1661"/>
        <w:gridCol w:w="117"/>
        <w:gridCol w:w="912"/>
        <w:gridCol w:w="825"/>
        <w:gridCol w:w="313"/>
        <w:gridCol w:w="567"/>
        <w:gridCol w:w="216"/>
        <w:gridCol w:w="825"/>
        <w:gridCol w:w="92"/>
        <w:gridCol w:w="121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33"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建设项目名称</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bookmarkStart w:id="15" w:name="_GoBack"/>
            <w:r>
              <w:rPr>
                <w:rFonts w:hint="eastAsia" w:ascii="Times New Roman" w:hAnsi="Times New Roman" w:eastAsia="宋体" w:cs="Times New Roman"/>
                <w:sz w:val="24"/>
                <w:lang w:eastAsia="zh-CN"/>
              </w:rPr>
              <w:t>青海省格尔木市拉宁灶火多金属矿普查项目</w:t>
            </w:r>
          </w:p>
          <w:bookmarkEnd w:id="15"/>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387"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rPr>
              <w:t>建设单位</w:t>
            </w:r>
            <w:r>
              <w:rPr>
                <w:rFonts w:hint="default" w:ascii="Times New Roman" w:hAnsi="Times New Roman" w:eastAsia="宋体" w:cs="Times New Roman"/>
                <w:b w:val="0"/>
                <w:bCs w:val="0"/>
                <w:color w:val="auto"/>
                <w:sz w:val="24"/>
                <w:szCs w:val="24"/>
                <w:lang w:eastAsia="zh-CN"/>
              </w:rPr>
              <w:t>名称</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青海省投资集团有限公司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350"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法人代表</w:t>
            </w:r>
          </w:p>
        </w:tc>
        <w:tc>
          <w:tcPr>
            <w:tcW w:w="2690" w:type="dxa"/>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李新楼</w:t>
            </w:r>
          </w:p>
        </w:tc>
        <w:tc>
          <w:tcPr>
            <w:tcW w:w="1138"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联系人</w:t>
            </w:r>
          </w:p>
        </w:tc>
        <w:tc>
          <w:tcPr>
            <w:tcW w:w="2917"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毛鸿鹏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381"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通信地址</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2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联系电话</w:t>
            </w:r>
          </w:p>
        </w:tc>
        <w:tc>
          <w:tcPr>
            <w:tcW w:w="1661"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bCs/>
                <w:color w:val="000000"/>
                <w:sz w:val="24"/>
                <w:szCs w:val="24"/>
                <w:lang w:val="en-US" w:eastAsia="zh-CN"/>
              </w:rPr>
              <w:t>0971-6330242</w:t>
            </w:r>
          </w:p>
        </w:tc>
        <w:tc>
          <w:tcPr>
            <w:tcW w:w="1029"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传真</w:t>
            </w:r>
          </w:p>
        </w:tc>
        <w:tc>
          <w:tcPr>
            <w:tcW w:w="1138"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1700" w:type="dxa"/>
            <w:gridSpan w:val="4"/>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邮编</w:t>
            </w:r>
          </w:p>
        </w:tc>
        <w:tc>
          <w:tcPr>
            <w:tcW w:w="1217"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810</w:t>
            </w:r>
            <w:r>
              <w:rPr>
                <w:rFonts w:hint="eastAsia"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lang w:val="en-US" w:eastAsia="zh-CN"/>
              </w:rPr>
              <w:t>00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5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建设地点</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青海省格尔木市乌图美仁乡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65"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项目性质</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新建</w:t>
            </w:r>
            <w:r>
              <w:rPr>
                <w:rFonts w:hint="default" w:ascii="Times New Roman" w:hAnsi="Times New Roman" w:eastAsia="宋体" w:cs="Times New Roman"/>
                <w:color w:val="auto"/>
                <w:sz w:val="24"/>
                <w:szCs w:val="24"/>
              </w:rPr>
              <w:sym w:font="Wingdings 2" w:char="0052"/>
            </w:r>
            <w:r>
              <w:rPr>
                <w:rFonts w:hint="default" w:ascii="Times New Roman" w:hAnsi="Times New Roman" w:eastAsia="宋体" w:cs="Times New Roman"/>
                <w:color w:val="auto"/>
                <w:sz w:val="24"/>
                <w:szCs w:val="24"/>
              </w:rPr>
              <w:t>改扩建</w:t>
            </w:r>
            <w:r>
              <w:rPr>
                <w:rFonts w:hint="default" w:ascii="Times New Roman" w:hAnsi="Times New Roman" w:eastAsia="宋体" w:cs="Times New Roman"/>
                <w:color w:val="auto"/>
                <w:sz w:val="24"/>
                <w:szCs w:val="24"/>
              </w:rPr>
              <w:sym w:font="Wingdings 2" w:char="00A3"/>
            </w:r>
            <w:r>
              <w:rPr>
                <w:rFonts w:hint="default" w:ascii="Times New Roman" w:hAnsi="Times New Roman" w:eastAsia="宋体" w:cs="Times New Roman"/>
                <w:color w:val="auto"/>
                <w:sz w:val="24"/>
                <w:szCs w:val="24"/>
              </w:rPr>
              <w:t>技改</w:t>
            </w:r>
            <w:r>
              <w:rPr>
                <w:rFonts w:hint="default" w:ascii="Times New Roman" w:hAnsi="Times New Roman" w:eastAsia="宋体" w:cs="Times New Roman"/>
                <w:color w:val="auto"/>
                <w:sz w:val="24"/>
                <w:szCs w:val="24"/>
              </w:rPr>
              <w:sym w:font="Wingdings 2" w:char="00A3"/>
            </w:r>
            <w:r>
              <w:rPr>
                <w:rFonts w:hint="default" w:ascii="Times New Roman" w:hAnsi="Times New Roman" w:eastAsia="宋体" w:cs="Times New Roman"/>
                <w:color w:val="auto"/>
                <w:sz w:val="24"/>
                <w:szCs w:val="24"/>
                <w:lang w:val="en-US" w:eastAsia="zh-CN"/>
              </w:rPr>
              <w:t>其他</w:t>
            </w:r>
            <w:r>
              <w:rPr>
                <w:rFonts w:hint="default" w:ascii="Times New Roman" w:hAnsi="Times New Roman" w:eastAsia="宋体" w:cs="Times New Roman"/>
                <w:color w:val="auto"/>
                <w:sz w:val="24"/>
                <w:szCs w:val="24"/>
              </w:rPr>
              <w:sym w:font="Wingdings 2" w:char="00A3"/>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5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环境影响</w:t>
            </w:r>
            <w:r>
              <w:rPr>
                <w:rFonts w:hint="default" w:ascii="Times New Roman" w:hAnsi="Times New Roman" w:eastAsia="宋体" w:cs="Times New Roman"/>
                <w:b w:val="0"/>
                <w:bCs w:val="0"/>
                <w:color w:val="auto"/>
                <w:sz w:val="24"/>
                <w:szCs w:val="24"/>
              </w:rPr>
              <w:t>报告</w:t>
            </w:r>
          </w:p>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表名称</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cs="Times New Roman"/>
                <w:sz w:val="24"/>
                <w:lang w:eastAsia="zh-CN"/>
              </w:rPr>
              <w:t>青海省格尔木市拉宁灶火多金属矿普查项目</w:t>
            </w:r>
            <w:r>
              <w:rPr>
                <w:rFonts w:hint="default" w:ascii="Times New Roman" w:hAnsi="Times New Roman" w:cs="Times New Roman"/>
                <w:sz w:val="24"/>
              </w:rPr>
              <w:t>环境影响报告</w:t>
            </w:r>
            <w:r>
              <w:rPr>
                <w:rFonts w:hint="default" w:ascii="Times New Roman" w:hAnsi="Times New Roman" w:cs="Times New Roman"/>
                <w:sz w:val="24"/>
                <w:lang w:val="en-US" w:eastAsia="zh-CN"/>
              </w:rPr>
              <w:t>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90"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环境影响报告表编制单位</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FF0000"/>
                <w:sz w:val="24"/>
                <w:szCs w:val="24"/>
                <w:lang w:val="en-US" w:eastAsia="zh-CN"/>
              </w:rPr>
            </w:pPr>
            <w:r>
              <w:rPr>
                <w:rFonts w:hint="eastAsia" w:ascii="Times New Roman" w:hAnsi="Times New Roman" w:cs="Times New Roman"/>
                <w:color w:val="000000"/>
                <w:sz w:val="24"/>
                <w:szCs w:val="24"/>
                <w:lang w:val="en-US" w:eastAsia="zh-CN"/>
              </w:rPr>
              <w:t>内蒙古亿保环境科技有限公司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465"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初步设计单位</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365" w:hRule="atLeast"/>
          <w:jc w:val="center"/>
        </w:trPr>
        <w:tc>
          <w:tcPr>
            <w:tcW w:w="1873" w:type="dxa"/>
            <w:tcBorders>
              <w:tl2br w:val="nil"/>
              <w:tr2bl w:val="nil"/>
            </w:tcBorders>
            <w:noWrap w:val="0"/>
            <w:vAlign w:val="center"/>
          </w:tcPr>
          <w:p>
            <w:pPr>
              <w:spacing w:line="0" w:lineRule="atLeast"/>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sz w:val="24"/>
                <w:szCs w:val="24"/>
              </w:rPr>
              <w:t>环评审批部门</w:t>
            </w:r>
          </w:p>
        </w:tc>
        <w:tc>
          <w:tcPr>
            <w:tcW w:w="1661" w:type="dxa"/>
            <w:tcBorders>
              <w:tl2br w:val="nil"/>
              <w:tr2bl w:val="nil"/>
            </w:tcBorders>
            <w:noWrap w:val="0"/>
            <w:vAlign w:val="center"/>
          </w:tcPr>
          <w:p>
            <w:pPr>
              <w:spacing w:line="0" w:lineRule="atLeast"/>
              <w:ind w:left="-88" w:leftChars="-51" w:right="-103" w:rightChars="-49" w:hanging="19" w:firstLineChars="0"/>
              <w:jc w:val="center"/>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格尔木市</w:t>
            </w:r>
          </w:p>
          <w:p>
            <w:pPr>
              <w:spacing w:line="0" w:lineRule="atLeast"/>
              <w:ind w:left="-88" w:leftChars="-51" w:right="-103" w:rightChars="-49" w:hanging="19" w:firstLineChars="0"/>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生态环境局</w:t>
            </w:r>
          </w:p>
        </w:tc>
        <w:tc>
          <w:tcPr>
            <w:tcW w:w="1029" w:type="dxa"/>
            <w:gridSpan w:val="2"/>
            <w:tcBorders>
              <w:tl2br w:val="nil"/>
              <w:tr2bl w:val="nil"/>
            </w:tcBorders>
            <w:noWrap w:val="0"/>
            <w:vAlign w:val="center"/>
          </w:tcPr>
          <w:p>
            <w:pPr>
              <w:spacing w:line="0" w:lineRule="atLeast"/>
              <w:jc w:val="center"/>
              <w:rPr>
                <w:rFonts w:hint="default" w:ascii="Times New Roman" w:hAnsi="Times New Roman" w:eastAsia="宋体" w:cs="Times New Roman"/>
                <w:b w:val="0"/>
                <w:bCs/>
                <w:color w:val="000000"/>
                <w:sz w:val="24"/>
                <w:szCs w:val="24"/>
                <w:lang w:eastAsia="zh-CN"/>
              </w:rPr>
            </w:pPr>
            <w:r>
              <w:rPr>
                <w:rFonts w:hint="default" w:ascii="Times New Roman" w:hAnsi="Times New Roman" w:cs="Times New Roman"/>
                <w:b w:val="0"/>
                <w:bCs/>
                <w:color w:val="000000"/>
                <w:sz w:val="24"/>
                <w:szCs w:val="24"/>
              </w:rPr>
              <w:t>文号</w:t>
            </w:r>
          </w:p>
        </w:tc>
        <w:tc>
          <w:tcPr>
            <w:tcW w:w="1705" w:type="dxa"/>
            <w:gridSpan w:val="3"/>
            <w:tcBorders>
              <w:tl2br w:val="nil"/>
              <w:tr2bl w:val="nil"/>
            </w:tcBorders>
            <w:noWrap w:val="0"/>
            <w:vAlign w:val="center"/>
          </w:tcPr>
          <w:p>
            <w:pPr>
              <w:spacing w:line="0" w:lineRule="atLeast"/>
              <w:jc w:val="center"/>
              <w:rPr>
                <w:rFonts w:hint="default" w:ascii="Times New Roman" w:hAnsi="Times New Roman" w:eastAsia="宋体" w:cs="Times New Roman"/>
                <w:color w:val="FF0000"/>
                <w:sz w:val="24"/>
                <w:szCs w:val="24"/>
                <w:lang w:val="en-US" w:eastAsia="zh-CN"/>
              </w:rPr>
            </w:pPr>
            <w:r>
              <w:rPr>
                <w:rFonts w:hint="eastAsia" w:ascii="Times New Roman" w:hAnsi="Times New Roman" w:eastAsia="宋体" w:cs="Times New Roman"/>
                <w:color w:val="000000"/>
                <w:sz w:val="24"/>
                <w:szCs w:val="24"/>
                <w:lang w:val="en-US" w:eastAsia="zh-CN"/>
              </w:rPr>
              <w:t>格环发〔2019〕9号</w:t>
            </w:r>
          </w:p>
        </w:tc>
        <w:tc>
          <w:tcPr>
            <w:tcW w:w="1133" w:type="dxa"/>
            <w:gridSpan w:val="3"/>
            <w:tcBorders>
              <w:tl2br w:val="nil"/>
              <w:tr2bl w:val="nil"/>
            </w:tcBorders>
            <w:noWrap w:val="0"/>
            <w:vAlign w:val="center"/>
          </w:tcPr>
          <w:p>
            <w:pPr>
              <w:spacing w:line="0" w:lineRule="atLeast"/>
              <w:jc w:val="center"/>
              <w:rPr>
                <w:rFonts w:hint="default" w:ascii="Times New Roman" w:hAnsi="Times New Roman" w:eastAsia="Times New Roman" w:cs="Times New Roman"/>
                <w:b w:val="0"/>
                <w:bCs/>
                <w:color w:val="000000"/>
                <w:sz w:val="24"/>
              </w:rPr>
            </w:pPr>
            <w:r>
              <w:rPr>
                <w:rFonts w:hint="default" w:ascii="Times New Roman" w:hAnsi="Times New Roman" w:cs="Times New Roman"/>
                <w:b w:val="0"/>
                <w:bCs/>
                <w:color w:val="000000"/>
                <w:sz w:val="24"/>
                <w:szCs w:val="24"/>
              </w:rPr>
              <w:t>时间</w:t>
            </w:r>
          </w:p>
        </w:tc>
        <w:tc>
          <w:tcPr>
            <w:tcW w:w="1217" w:type="dxa"/>
            <w:tcBorders>
              <w:tl2br w:val="nil"/>
              <w:tr2bl w:val="nil"/>
            </w:tcBorders>
            <w:noWrap w:val="0"/>
            <w:vAlign w:val="center"/>
          </w:tcPr>
          <w:p>
            <w:pPr>
              <w:spacing w:line="0" w:lineRule="atLeast"/>
              <w:jc w:val="center"/>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2019年1月3日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267" w:hRule="atLeast"/>
          <w:jc w:val="center"/>
        </w:trPr>
        <w:tc>
          <w:tcPr>
            <w:tcW w:w="1873" w:type="dxa"/>
            <w:tcBorders>
              <w:tl2br w:val="nil"/>
              <w:tr2bl w:val="nil"/>
            </w:tcBorders>
            <w:noWrap w:val="0"/>
            <w:vAlign w:val="center"/>
          </w:tcPr>
          <w:p>
            <w:pPr>
              <w:spacing w:line="0" w:lineRule="atLeast"/>
              <w:jc w:val="center"/>
              <w:rPr>
                <w:rFonts w:hint="default" w:ascii="Times New Roman" w:hAnsi="Times New Roman" w:eastAsia="宋体" w:cs="Times New Roman"/>
                <w:b w:val="0"/>
                <w:bCs w:val="0"/>
                <w:color w:val="auto"/>
                <w:sz w:val="24"/>
                <w:szCs w:val="24"/>
                <w:lang w:val="en-US" w:eastAsia="zh-CN"/>
              </w:rPr>
            </w:pPr>
            <w:r>
              <w:rPr>
                <w:rFonts w:hint="default" w:ascii="Times New Roman" w:hAnsi="Times New Roman" w:cs="Times New Roman"/>
                <w:b w:val="0"/>
                <w:bCs w:val="0"/>
                <w:sz w:val="24"/>
                <w:szCs w:val="24"/>
                <w:lang w:val="en-US" w:eastAsia="zh-CN"/>
              </w:rPr>
              <w:t>初步设计</w:t>
            </w:r>
            <w:r>
              <w:rPr>
                <w:rFonts w:hint="default" w:ascii="Times New Roman" w:hAnsi="Times New Roman" w:cs="Times New Roman"/>
                <w:b w:val="0"/>
                <w:bCs w:val="0"/>
                <w:sz w:val="24"/>
                <w:szCs w:val="24"/>
              </w:rPr>
              <w:t>审批部门</w:t>
            </w:r>
          </w:p>
        </w:tc>
        <w:tc>
          <w:tcPr>
            <w:tcW w:w="1661" w:type="dxa"/>
            <w:tcBorders>
              <w:tl2br w:val="nil"/>
              <w:tr2bl w:val="nil"/>
            </w:tcBorders>
            <w:noWrap w:val="0"/>
            <w:vAlign w:val="center"/>
          </w:tcPr>
          <w:p>
            <w:pPr>
              <w:spacing w:line="0" w:lineRule="atLeast"/>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p>
        </w:tc>
        <w:tc>
          <w:tcPr>
            <w:tcW w:w="1029" w:type="dxa"/>
            <w:gridSpan w:val="2"/>
            <w:tcBorders>
              <w:tl2br w:val="nil"/>
              <w:tr2bl w:val="nil"/>
            </w:tcBorders>
            <w:noWrap w:val="0"/>
            <w:vAlign w:val="center"/>
          </w:tcPr>
          <w:p>
            <w:pPr>
              <w:spacing w:line="0" w:lineRule="atLeast"/>
              <w:jc w:val="center"/>
              <w:rPr>
                <w:rFonts w:hint="default" w:ascii="Times New Roman" w:hAnsi="Times New Roman" w:eastAsia="宋体" w:cs="Times New Roman"/>
                <w:b w:val="0"/>
                <w:bCs/>
                <w:color w:val="000000"/>
                <w:sz w:val="24"/>
                <w:szCs w:val="24"/>
                <w:lang w:eastAsia="zh-CN"/>
              </w:rPr>
            </w:pPr>
            <w:r>
              <w:rPr>
                <w:rFonts w:hint="default" w:ascii="Times New Roman" w:hAnsi="Times New Roman" w:cs="Times New Roman"/>
                <w:b w:val="0"/>
                <w:bCs/>
                <w:color w:val="000000"/>
                <w:sz w:val="24"/>
                <w:szCs w:val="24"/>
              </w:rPr>
              <w:t>文号</w:t>
            </w:r>
          </w:p>
        </w:tc>
        <w:tc>
          <w:tcPr>
            <w:tcW w:w="1705" w:type="dxa"/>
            <w:gridSpan w:val="3"/>
            <w:tcBorders>
              <w:tl2br w:val="nil"/>
              <w:tr2bl w:val="nil"/>
            </w:tcBorders>
            <w:noWrap w:val="0"/>
            <w:vAlign w:val="center"/>
          </w:tcPr>
          <w:p>
            <w:pPr>
              <w:spacing w:line="0" w:lineRule="atLeast"/>
              <w:jc w:val="center"/>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w:t>
            </w:r>
          </w:p>
        </w:tc>
        <w:tc>
          <w:tcPr>
            <w:tcW w:w="1133" w:type="dxa"/>
            <w:gridSpan w:val="3"/>
            <w:tcBorders>
              <w:tl2br w:val="nil"/>
              <w:tr2bl w:val="nil"/>
            </w:tcBorders>
            <w:noWrap w:val="0"/>
            <w:vAlign w:val="center"/>
          </w:tcPr>
          <w:p>
            <w:pPr>
              <w:spacing w:line="0" w:lineRule="atLeast"/>
              <w:jc w:val="center"/>
              <w:rPr>
                <w:rFonts w:hint="default" w:ascii="Times New Roman" w:hAnsi="Times New Roman" w:eastAsia="宋体" w:cs="Times New Roman"/>
                <w:b w:val="0"/>
                <w:bCs/>
                <w:color w:val="000000"/>
                <w:sz w:val="24"/>
                <w:szCs w:val="24"/>
                <w:lang w:val="en-US" w:eastAsia="zh-CN"/>
              </w:rPr>
            </w:pPr>
            <w:r>
              <w:rPr>
                <w:rFonts w:hint="default" w:ascii="Times New Roman" w:hAnsi="Times New Roman" w:cs="Times New Roman"/>
                <w:b w:val="0"/>
                <w:bCs/>
                <w:color w:val="000000"/>
                <w:sz w:val="24"/>
                <w:szCs w:val="24"/>
              </w:rPr>
              <w:t>时间</w:t>
            </w:r>
          </w:p>
        </w:tc>
        <w:tc>
          <w:tcPr>
            <w:tcW w:w="1217" w:type="dxa"/>
            <w:tcBorders>
              <w:tl2br w:val="nil"/>
              <w:tr2bl w:val="nil"/>
            </w:tcBorders>
            <w:noWrap w:val="0"/>
            <w:vAlign w:val="center"/>
          </w:tcPr>
          <w:p>
            <w:pPr>
              <w:spacing w:line="0" w:lineRule="atLeast"/>
              <w:jc w:val="center"/>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582"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eastAsia="zh-CN"/>
              </w:rPr>
              <w:t>环境保护设施设计单位</w:t>
            </w:r>
          </w:p>
        </w:tc>
        <w:tc>
          <w:tcPr>
            <w:tcW w:w="6745" w:type="dxa"/>
            <w:gridSpan w:val="10"/>
            <w:tcBorders>
              <w:tl2br w:val="nil"/>
              <w:tr2bl w:val="nil"/>
            </w:tcBorders>
            <w:noWrap w:val="0"/>
            <w:vAlign w:val="center"/>
          </w:tcPr>
          <w:p>
            <w:pPr>
              <w:pStyle w:val="43"/>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628"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环境保护</w:t>
            </w:r>
            <w:r>
              <w:rPr>
                <w:rFonts w:hint="default" w:ascii="Times New Roman" w:hAnsi="Times New Roman" w:eastAsia="宋体" w:cs="Times New Roman"/>
                <w:b w:val="0"/>
                <w:bCs w:val="0"/>
                <w:color w:val="auto"/>
                <w:sz w:val="24"/>
                <w:szCs w:val="24"/>
              </w:rPr>
              <w:t>设施</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施工单位</w:t>
            </w:r>
          </w:p>
        </w:tc>
        <w:tc>
          <w:tcPr>
            <w:tcW w:w="6745" w:type="dxa"/>
            <w:gridSpan w:val="10"/>
            <w:tcBorders>
              <w:tl2br w:val="nil"/>
              <w:tr2bl w:val="nil"/>
            </w:tcBorders>
            <w:noWrap w:val="0"/>
            <w:vAlign w:val="center"/>
          </w:tcPr>
          <w:p>
            <w:pPr>
              <w:ind w:left="0" w:leftChars="0" w:firstLine="0" w:firstLineChars="0"/>
              <w:jc w:val="center"/>
              <w:rPr>
                <w:rFonts w:hint="default"/>
                <w:lang w:val="en-US" w:eastAsia="zh-CN"/>
              </w:rPr>
            </w:pPr>
            <w:r>
              <w:rPr>
                <w:rFonts w:hint="eastAsia"/>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564"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环保设施监理</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单位</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0" w:leftChars="0" w:firstLine="0" w:firstLineChars="0"/>
              <w:jc w:val="center"/>
              <w:textAlignment w:val="auto"/>
              <w:rPr>
                <w:rFonts w:hint="default" w:ascii="Times New Roman" w:hAnsi="Times New Roman" w:eastAsia="宋体" w:cs="Times New Roman"/>
                <w:color w:val="000000"/>
                <w:spacing w:val="-2"/>
                <w:kern w:val="0"/>
                <w:sz w:val="24"/>
                <w:szCs w:val="24"/>
                <w:lang w:val="en-US" w:eastAsia="zh-CN" w:bidi="ar-SA"/>
              </w:rPr>
            </w:pPr>
            <w:r>
              <w:rPr>
                <w:rFonts w:hint="eastAsia" w:ascii="Times New Roman" w:hAnsi="Times New Roman" w:eastAsia="宋体" w:cs="Times New Roman"/>
                <w:color w:val="000000"/>
                <w:spacing w:val="-2"/>
                <w:kern w:val="0"/>
                <w:sz w:val="24"/>
                <w:szCs w:val="24"/>
                <w:lang w:val="en-US" w:eastAsia="zh-CN" w:bidi="ar-SA"/>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投资总概算</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auto"/>
                <w:sz w:val="24"/>
                <w:szCs w:val="24"/>
                <w:lang w:eastAsia="zh-CN"/>
              </w:rPr>
            </w:pPr>
            <w:r>
              <w:rPr>
                <w:rFonts w:hint="default" w:ascii="Times New Roman" w:hAnsi="Times New Roman" w:eastAsia="宋体" w:cs="Times New Roman"/>
                <w:b w:val="0"/>
                <w:bCs w:val="0"/>
                <w:color w:val="auto"/>
                <w:sz w:val="24"/>
                <w:szCs w:val="24"/>
                <w:lang w:eastAsia="zh-CN"/>
              </w:rPr>
              <w:t>（万元）</w:t>
            </w:r>
          </w:p>
        </w:tc>
        <w:tc>
          <w:tcPr>
            <w:tcW w:w="1778"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000000"/>
                <w:sz w:val="24"/>
                <w:szCs w:val="24"/>
                <w:lang w:val="en-US" w:eastAsia="zh-CN"/>
              </w:rPr>
              <w:t>1830</w:t>
            </w:r>
          </w:p>
        </w:tc>
        <w:tc>
          <w:tcPr>
            <w:tcW w:w="1737"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环保投资</w:t>
            </w:r>
            <w:r>
              <w:rPr>
                <w:rFonts w:hint="default" w:ascii="Times New Roman" w:hAnsi="Times New Roman" w:eastAsia="宋体" w:cs="Times New Roman"/>
                <w:color w:val="auto"/>
                <w:sz w:val="24"/>
                <w:szCs w:val="24"/>
                <w:lang w:eastAsia="zh-CN"/>
              </w:rPr>
              <w:t>总概算</w:t>
            </w:r>
            <w:r>
              <w:rPr>
                <w:rFonts w:hint="default" w:ascii="Times New Roman" w:hAnsi="Times New Roman" w:eastAsia="宋体" w:cs="Times New Roman"/>
                <w:color w:val="auto"/>
                <w:sz w:val="24"/>
                <w:szCs w:val="24"/>
              </w:rPr>
              <w:t>（万元）</w:t>
            </w:r>
          </w:p>
        </w:tc>
        <w:tc>
          <w:tcPr>
            <w:tcW w:w="1096" w:type="dxa"/>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000000"/>
                <w:sz w:val="24"/>
                <w:szCs w:val="24"/>
                <w:lang w:val="en-US" w:eastAsia="zh-CN"/>
              </w:rPr>
              <w:t>135.97</w:t>
            </w:r>
          </w:p>
        </w:tc>
        <w:tc>
          <w:tcPr>
            <w:tcW w:w="825"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rPr>
              <w:t>比例</w:t>
            </w:r>
          </w:p>
        </w:tc>
        <w:tc>
          <w:tcPr>
            <w:tcW w:w="1309"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000000"/>
                <w:sz w:val="24"/>
                <w:szCs w:val="24"/>
                <w:lang w:val="en-US" w:eastAsia="zh-CN"/>
              </w:rPr>
              <w:t>7.4</w:t>
            </w: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实际总投资</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lang w:eastAsia="zh-CN"/>
                <w14:textFill>
                  <w14:solidFill>
                    <w14:schemeClr w14:val="tx1"/>
                  </w14:solidFill>
                </w14:textFill>
              </w:rPr>
              <w:t>（万元）</w:t>
            </w:r>
          </w:p>
        </w:tc>
        <w:tc>
          <w:tcPr>
            <w:tcW w:w="1778"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1830</w:t>
            </w:r>
          </w:p>
        </w:tc>
        <w:tc>
          <w:tcPr>
            <w:tcW w:w="1737"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环保投资</w:t>
            </w:r>
            <w:r>
              <w:rPr>
                <w:rFonts w:hint="default" w:ascii="Times New Roman" w:hAnsi="Times New Roman" w:eastAsia="宋体" w:cs="Times New Roman"/>
                <w:color w:val="000000" w:themeColor="text1"/>
                <w:sz w:val="24"/>
                <w:szCs w:val="24"/>
                <w:lang w:eastAsia="zh-CN"/>
                <w14:textFill>
                  <w14:solidFill>
                    <w14:schemeClr w14:val="tx1"/>
                  </w14:solidFill>
                </w14:textFill>
              </w:rPr>
              <w:t>总概算</w:t>
            </w:r>
            <w:r>
              <w:rPr>
                <w:rFonts w:hint="default" w:ascii="Times New Roman" w:hAnsi="Times New Roman" w:eastAsia="宋体" w:cs="Times New Roman"/>
                <w:color w:val="000000" w:themeColor="text1"/>
                <w:sz w:val="24"/>
                <w:szCs w:val="24"/>
                <w14:textFill>
                  <w14:solidFill>
                    <w14:schemeClr w14:val="tx1"/>
                  </w14:solidFill>
                </w14:textFill>
              </w:rPr>
              <w:t>（万元）</w:t>
            </w:r>
          </w:p>
        </w:tc>
        <w:tc>
          <w:tcPr>
            <w:tcW w:w="1096" w:type="dxa"/>
            <w:gridSpan w:val="3"/>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135.97</w:t>
            </w:r>
          </w:p>
        </w:tc>
        <w:tc>
          <w:tcPr>
            <w:tcW w:w="825"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比例</w:t>
            </w:r>
          </w:p>
        </w:tc>
        <w:tc>
          <w:tcPr>
            <w:tcW w:w="1309"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7.4</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526"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设计生产能力</w:t>
            </w:r>
          </w:p>
          <w:p>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（交通量）</w:t>
            </w:r>
          </w:p>
        </w:tc>
        <w:tc>
          <w:tcPr>
            <w:tcW w:w="1778" w:type="dxa"/>
            <w:gridSpan w:val="2"/>
            <w:tcBorders>
              <w:tl2br w:val="nil"/>
              <w:tr2bl w:val="nil"/>
            </w:tcBorders>
            <w:noWrap w:val="0"/>
            <w:vAlign w:val="center"/>
          </w:tcPr>
          <w:p>
            <w:pPr>
              <w:pStyle w:val="86"/>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探矿面积13.57平方公里</w:t>
            </w:r>
          </w:p>
        </w:tc>
        <w:tc>
          <w:tcPr>
            <w:tcW w:w="1737"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建设项目开工时间</w:t>
            </w:r>
          </w:p>
        </w:tc>
        <w:tc>
          <w:tcPr>
            <w:tcW w:w="3230" w:type="dxa"/>
            <w:gridSpan w:val="6"/>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2019</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719"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eastAsia="zh-CN"/>
                <w14:textFill>
                  <w14:solidFill>
                    <w14:schemeClr w14:val="tx1"/>
                  </w14:solidFill>
                </w14:textFill>
              </w:rPr>
            </w:pPr>
            <w:r>
              <w:rPr>
                <w:rFonts w:hint="default" w:ascii="Times New Roman" w:hAnsi="Times New Roman" w:eastAsia="宋体" w:cs="Times New Roman"/>
                <w:color w:val="000000" w:themeColor="text1"/>
                <w:sz w:val="24"/>
                <w:szCs w:val="24"/>
                <w:lang w:eastAsia="zh-CN"/>
                <w14:textFill>
                  <w14:solidFill>
                    <w14:schemeClr w14:val="tx1"/>
                  </w14:solidFill>
                </w14:textFill>
              </w:rPr>
              <w:t>实际生产能力</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（交通量）</w:t>
            </w:r>
          </w:p>
        </w:tc>
        <w:tc>
          <w:tcPr>
            <w:tcW w:w="1778" w:type="dxa"/>
            <w:gridSpan w:val="2"/>
            <w:tcBorders>
              <w:tl2br w:val="nil"/>
              <w:tr2bl w:val="nil"/>
            </w:tcBorders>
            <w:noWrap w:val="0"/>
            <w:vAlign w:val="center"/>
          </w:tcPr>
          <w:p>
            <w:pPr>
              <w:pStyle w:val="86"/>
              <w:keepNext w:val="0"/>
              <w:keepLines w:val="0"/>
              <w:pageBreakBefore w:val="0"/>
              <w:numPr>
                <w:ilvl w:val="0"/>
                <w:numId w:val="0"/>
              </w:numPr>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color w:val="000000" w:themeColor="text1"/>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探矿面积13.57平方公里</w:t>
            </w:r>
          </w:p>
        </w:tc>
        <w:tc>
          <w:tcPr>
            <w:tcW w:w="1737" w:type="dxa"/>
            <w:gridSpan w:val="2"/>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项目竣工日期</w:t>
            </w:r>
          </w:p>
        </w:tc>
        <w:tc>
          <w:tcPr>
            <w:tcW w:w="3230" w:type="dxa"/>
            <w:gridSpan w:val="6"/>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leftChars="0" w:hanging="240" w:hangingChars="10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000000" w:themeColor="text1"/>
                <w:sz w:val="24"/>
                <w:szCs w:val="24"/>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638" w:hRule="atLeast"/>
          <w:jc w:val="center"/>
        </w:trPr>
        <w:tc>
          <w:tcPr>
            <w:tcW w:w="187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调查经费</w:t>
            </w:r>
          </w:p>
        </w:tc>
        <w:tc>
          <w:tcPr>
            <w:tcW w:w="6745" w:type="dxa"/>
            <w:gridSpan w:val="10"/>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auto"/>
              <w:ind w:left="240" w:hanging="240" w:hangingChars="100"/>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90" w:hRule="atLeast"/>
          <w:jc w:val="center"/>
        </w:trPr>
        <w:tc>
          <w:tcPr>
            <w:tcW w:w="1873" w:type="dxa"/>
            <w:tcBorders>
              <w:tl2br w:val="nil"/>
              <w:tr2bl w:val="nil"/>
            </w:tcBorders>
            <w:noWrap w:val="0"/>
            <w:vAlign w:val="top"/>
          </w:tcPr>
          <w:p>
            <w:pPr>
              <w:keepNext w:val="0"/>
              <w:keepLines w:val="0"/>
              <w:widowControl/>
              <w:suppressLineNumbers w:val="0"/>
              <w:spacing w:line="240" w:lineRule="auto"/>
              <w:jc w:val="center"/>
              <w:rPr>
                <w:rFonts w:hint="default" w:ascii="Times New Roman" w:hAnsi="Times New Roman" w:eastAsia="宋体" w:cs="Times New Roman"/>
                <w:color w:val="0000FF"/>
                <w:kern w:val="2"/>
                <w:sz w:val="24"/>
                <w:szCs w:val="24"/>
                <w:lang w:val="en-US" w:eastAsia="zh-CN" w:bidi="ar-SA"/>
              </w:rPr>
            </w:pPr>
            <w:r>
              <w:rPr>
                <w:rFonts w:hint="default" w:ascii="Times New Roman" w:hAnsi="Times New Roman" w:eastAsia="宋体" w:cs="Times New Roman"/>
                <w:color w:val="auto"/>
                <w:sz w:val="24"/>
                <w:szCs w:val="24"/>
              </w:rPr>
              <w:t>项目建设过程简述（项目立项~试运行）</w:t>
            </w:r>
          </w:p>
        </w:tc>
        <w:tc>
          <w:tcPr>
            <w:tcW w:w="6745" w:type="dxa"/>
            <w:gridSpan w:val="10"/>
            <w:tcBorders>
              <w:tl2br w:val="nil"/>
              <w:tr2bl w:val="nil"/>
            </w:tcBorders>
            <w:noWrap w:val="0"/>
            <w:vAlign w:val="center"/>
          </w:tcPr>
          <w:p>
            <w:pPr>
              <w:spacing w:line="360" w:lineRule="auto"/>
              <w:ind w:firstLine="480" w:firstLineChars="200"/>
              <w:rPr>
                <w:rFonts w:hint="default" w:ascii="Times New Roman" w:hAnsi="Times New Roman" w:eastAsia="宋体" w:cs="Times New Roman"/>
                <w:sz w:val="24"/>
                <w:szCs w:val="24"/>
                <w:lang w:val="en-US" w:eastAsia="zh-CN"/>
              </w:rPr>
            </w:pPr>
            <w:r>
              <w:rPr>
                <w:rFonts w:hint="default"/>
                <w:sz w:val="24"/>
                <w:szCs w:val="24"/>
                <w:lang w:val="en-US" w:eastAsia="zh-CN"/>
              </w:rPr>
              <w:t>青海省投资集团有限公司研究了之前的矿区开展的预查工作后，大致了解了矿区的地</w:t>
            </w:r>
            <w:r>
              <w:rPr>
                <w:rFonts w:hint="default" w:ascii="Times New Roman" w:hAnsi="Times New Roman" w:eastAsia="宋体" w:cs="Times New Roman"/>
                <w:sz w:val="24"/>
                <w:szCs w:val="24"/>
                <w:lang w:val="en-US" w:eastAsia="zh-CN"/>
              </w:rPr>
              <w:t>层、2构造、岩浆岩、矿化蚀变等地质特征；圈出了物化探异常，确定了重点工作靶区。</w:t>
            </w:r>
          </w:p>
          <w:p>
            <w:pPr>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sz w:val="24"/>
                <w:lang w:eastAsia="zh-CN"/>
              </w:rPr>
              <w:t>青海省格尔木市拉宁灶火多金属矿普查项目</w:t>
            </w:r>
            <w:r>
              <w:rPr>
                <w:rFonts w:hint="eastAsia" w:ascii="Times New Roman" w:hAnsi="Times New Roman" w:eastAsia="宋体" w:cs="Times New Roman"/>
                <w:color w:val="000000"/>
                <w:sz w:val="24"/>
                <w:lang w:val="en-US" w:eastAsia="zh-CN"/>
              </w:rPr>
              <w:t>的探矿证，</w:t>
            </w:r>
            <w:r>
              <w:rPr>
                <w:rFonts w:hint="default" w:ascii="Times New Roman" w:hAnsi="Times New Roman" w:eastAsia="宋体" w:cs="Times New Roman"/>
                <w:color w:val="000000"/>
                <w:kern w:val="0"/>
                <w:sz w:val="24"/>
                <w:szCs w:val="24"/>
                <w:lang w:val="en-US" w:eastAsia="zh-CN" w:bidi="ar"/>
              </w:rPr>
              <w:t>矿产资源勘查许可证证号为</w:t>
            </w:r>
            <w:r>
              <w:rPr>
                <w:rFonts w:hint="eastAsia" w:ascii="Times New Roman" w:hAnsi="Times New Roman" w:eastAsia="宋体" w:cs="Times New Roman"/>
                <w:color w:val="000000"/>
                <w:kern w:val="0"/>
                <w:sz w:val="24"/>
                <w:szCs w:val="24"/>
                <w:lang w:val="en-US" w:eastAsia="zh-CN" w:bidi="ar"/>
              </w:rPr>
              <w:t>T63120081202018904。</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bCs/>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青海省投资集团有限公司</w:t>
            </w:r>
            <w:r>
              <w:rPr>
                <w:rFonts w:hint="eastAsia" w:ascii="Times New Roman" w:hAnsi="Times New Roman"/>
                <w:bCs/>
                <w:color w:val="000000" w:themeColor="text1"/>
                <w:sz w:val="24"/>
                <w:szCs w:val="24"/>
                <w14:textFill>
                  <w14:solidFill>
                    <w14:schemeClr w14:val="tx1"/>
                  </w14:solidFill>
                </w14:textFill>
              </w:rPr>
              <w:t>于20</w:t>
            </w:r>
            <w:r>
              <w:rPr>
                <w:rFonts w:hint="eastAsia" w:ascii="Times New Roman" w:hAnsi="Times New Roman"/>
                <w:bCs/>
                <w:color w:val="000000" w:themeColor="text1"/>
                <w:sz w:val="24"/>
                <w:szCs w:val="24"/>
                <w:lang w:val="en-US" w:eastAsia="zh-CN"/>
                <w14:textFill>
                  <w14:solidFill>
                    <w14:schemeClr w14:val="tx1"/>
                  </w14:solidFill>
                </w14:textFill>
              </w:rPr>
              <w:t>18</w:t>
            </w:r>
            <w:r>
              <w:rPr>
                <w:rFonts w:hint="eastAsia" w:ascii="Times New Roman" w:hAnsi="Times New Roman"/>
                <w:bCs/>
                <w:color w:val="000000" w:themeColor="text1"/>
                <w:sz w:val="24"/>
                <w:szCs w:val="24"/>
                <w14:textFill>
                  <w14:solidFill>
                    <w14:schemeClr w14:val="tx1"/>
                  </w14:solidFill>
                </w14:textFill>
              </w:rPr>
              <w:t>年</w:t>
            </w:r>
            <w:r>
              <w:rPr>
                <w:rFonts w:hint="eastAsia" w:ascii="Times New Roman" w:hAnsi="Times New Roman"/>
                <w:bCs/>
                <w:color w:val="000000" w:themeColor="text1"/>
                <w:sz w:val="24"/>
                <w:szCs w:val="24"/>
                <w:lang w:val="en-US" w:eastAsia="zh-CN"/>
                <w14:textFill>
                  <w14:solidFill>
                    <w14:schemeClr w14:val="tx1"/>
                  </w14:solidFill>
                </w14:textFill>
              </w:rPr>
              <w:t>9</w:t>
            </w:r>
            <w:r>
              <w:rPr>
                <w:rFonts w:hint="eastAsia" w:ascii="Times New Roman" w:hAnsi="Times New Roman"/>
                <w:bCs/>
                <w:color w:val="000000" w:themeColor="text1"/>
                <w:sz w:val="24"/>
                <w:szCs w:val="24"/>
                <w14:textFill>
                  <w14:solidFill>
                    <w14:schemeClr w14:val="tx1"/>
                  </w14:solidFill>
                </w14:textFill>
              </w:rPr>
              <w:t>月委托</w:t>
            </w:r>
            <w:r>
              <w:rPr>
                <w:rFonts w:hint="eastAsia" w:ascii="Times New Roman" w:hAnsi="Times New Roman" w:eastAsia="宋体" w:cs="Times New Roman"/>
                <w:color w:val="000000" w:themeColor="text1"/>
                <w:sz w:val="24"/>
                <w:lang w:val="en-US" w:eastAsia="zh-CN"/>
                <w14:textFill>
                  <w14:solidFill>
                    <w14:schemeClr w14:val="tx1"/>
                  </w14:solidFill>
                </w14:textFill>
              </w:rPr>
              <w:t>内蒙古亿保环境科技有限公司</w:t>
            </w:r>
            <w:r>
              <w:rPr>
                <w:rFonts w:hint="eastAsia" w:ascii="Times New Roman" w:hAnsi="Times New Roman"/>
                <w:bCs/>
                <w:color w:val="000000" w:themeColor="text1"/>
                <w:sz w:val="24"/>
                <w:szCs w:val="24"/>
                <w14:textFill>
                  <w14:solidFill>
                    <w14:schemeClr w14:val="tx1"/>
                  </w14:solidFill>
                </w14:textFill>
              </w:rPr>
              <w:t>进行该项目的环境影响评价工作，并编制完成了《青海省格尔木市拉宁灶火多金属矿普查项目环境影响报告表》。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bCs/>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lang w:val="en-US" w:eastAsia="zh-CN"/>
                <w14:textFill>
                  <w14:solidFill>
                    <w14:schemeClr w14:val="tx1"/>
                  </w14:solidFill>
                </w14:textFill>
              </w:rPr>
              <w:t>2019年1月3日</w:t>
            </w:r>
            <w:r>
              <w:rPr>
                <w:rFonts w:hint="eastAsia" w:ascii="Times New Roman" w:hAnsi="Times New Roman"/>
                <w:bCs/>
                <w:color w:val="000000" w:themeColor="text1"/>
                <w:sz w:val="24"/>
                <w:szCs w:val="24"/>
                <w14:textFill>
                  <w14:solidFill>
                    <w14:schemeClr w14:val="tx1"/>
                  </w14:solidFill>
                </w14:textFill>
              </w:rPr>
              <w:t>，</w:t>
            </w:r>
            <w:r>
              <w:rPr>
                <w:rFonts w:hint="eastAsia" w:ascii="Times New Roman" w:hAnsi="Times New Roman"/>
                <w:bCs/>
                <w:color w:val="000000" w:themeColor="text1"/>
                <w:sz w:val="24"/>
                <w:szCs w:val="24"/>
                <w:lang w:val="en-US" w:eastAsia="zh-CN"/>
                <w14:textFill>
                  <w14:solidFill>
                    <w14:schemeClr w14:val="tx1"/>
                  </w14:solidFill>
                </w14:textFill>
              </w:rPr>
              <w:t>格尔木市生态环境局（</w:t>
            </w:r>
            <w:r>
              <w:rPr>
                <w:rFonts w:hint="eastAsia" w:ascii="Times New Roman" w:hAnsi="Times New Roman" w:eastAsia="宋体" w:cs="Times New Roman"/>
                <w:color w:val="000000" w:themeColor="text1"/>
                <w:sz w:val="24"/>
                <w:szCs w:val="24"/>
                <w:lang w:val="en-US" w:eastAsia="zh-CN"/>
              </w:rPr>
              <w:t>原格尔木市环境保护局</w:t>
            </w:r>
            <w:r>
              <w:rPr>
                <w:rFonts w:hint="eastAsia" w:ascii="Times New Roman" w:hAnsi="Times New Roman"/>
                <w:bCs/>
                <w:color w:val="000000" w:themeColor="text1"/>
                <w:sz w:val="24"/>
                <w:szCs w:val="24"/>
                <w:lang w:val="en-US" w:eastAsia="zh-CN"/>
                <w14:textFill>
                  <w14:solidFill>
                    <w14:schemeClr w14:val="tx1"/>
                  </w14:solidFill>
                </w14:textFill>
              </w:rPr>
              <w:t>）</w:t>
            </w:r>
            <w:r>
              <w:rPr>
                <w:rFonts w:hint="eastAsia" w:ascii="Times New Roman" w:hAnsi="Times New Roman"/>
                <w:bCs/>
                <w:color w:val="000000" w:themeColor="text1"/>
                <w:sz w:val="24"/>
                <w:szCs w:val="24"/>
                <w14:textFill>
                  <w14:solidFill>
                    <w14:schemeClr w14:val="tx1"/>
                  </w14:solidFill>
                </w14:textFill>
              </w:rPr>
              <w:t>对《</w:t>
            </w:r>
            <w:r>
              <w:rPr>
                <w:rFonts w:hint="eastAsia" w:ascii="Times New Roman" w:hAnsi="Times New Roman"/>
                <w:bCs/>
                <w:color w:val="000000" w:themeColor="text1"/>
                <w:sz w:val="24"/>
                <w:szCs w:val="24"/>
                <w14:textFill>
                  <w14:solidFill>
                    <w14:schemeClr w14:val="tx1"/>
                  </w14:solidFill>
                </w14:textFill>
              </w:rPr>
              <w:t>青海省格尔木市拉宁灶火多金属矿普查项目</w:t>
            </w:r>
            <w:r>
              <w:rPr>
                <w:rFonts w:hint="eastAsia" w:ascii="Times New Roman" w:hAnsi="Times New Roman"/>
                <w:bCs/>
                <w:color w:val="000000" w:themeColor="text1"/>
                <w:sz w:val="24"/>
                <w:szCs w:val="24"/>
                <w14:textFill>
                  <w14:solidFill>
                    <w14:schemeClr w14:val="tx1"/>
                  </w14:solidFill>
                </w14:textFill>
              </w:rPr>
              <w:t>环境影响报告表》进行了批复（</w:t>
            </w:r>
            <w:r>
              <w:rPr>
                <w:rFonts w:hint="eastAsia" w:ascii="Times New Roman" w:hAnsi="Times New Roman" w:eastAsia="宋体" w:cs="Times New Roman"/>
                <w:color w:val="000000" w:themeColor="text1"/>
                <w:sz w:val="24"/>
                <w:lang w:val="en-US" w:eastAsia="zh-CN"/>
                <w14:textFill>
                  <w14:solidFill>
                    <w14:schemeClr w14:val="tx1"/>
                  </w14:solidFill>
                </w14:textFill>
              </w:rPr>
              <w:t>格环发〔2019〕9号</w:t>
            </w:r>
            <w:r>
              <w:rPr>
                <w:rFonts w:hint="eastAsia" w:ascii="Times New Roman" w:hAnsi="Times New Roman"/>
                <w:bCs/>
                <w:color w:val="000000" w:themeColor="text1"/>
                <w:sz w:val="24"/>
                <w:szCs w:val="24"/>
                <w14:textFill>
                  <w14:solidFill>
                    <w14:schemeClr w14:val="tx1"/>
                  </w14:solidFill>
                </w14:textFill>
              </w:rPr>
              <w:t>），同意项目建设。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lang w:val="en-US" w:eastAsia="zh-CN"/>
              </w:rPr>
            </w:pPr>
            <w:r>
              <w:rPr>
                <w:rFonts w:hint="eastAsia" w:ascii="Times New Roman" w:hAnsi="Times New Roman"/>
                <w:bCs/>
                <w:color w:val="000000" w:themeColor="text1"/>
                <w:sz w:val="24"/>
                <w:szCs w:val="24"/>
                <w14:textFill>
                  <w14:solidFill>
                    <w14:schemeClr w14:val="tx1"/>
                  </w14:solidFill>
                </w14:textFill>
              </w:rPr>
              <w:t>项目于</w:t>
            </w:r>
            <w:r>
              <w:rPr>
                <w:rFonts w:hint="eastAsia" w:ascii="Times New Roman" w:hAnsi="Times New Roman"/>
                <w:bCs/>
                <w:color w:val="000000" w:themeColor="text1"/>
                <w:sz w:val="24"/>
                <w:szCs w:val="24"/>
                <w:lang w:val="en-US" w:eastAsia="zh-CN"/>
                <w14:textFill>
                  <w14:solidFill>
                    <w14:schemeClr w14:val="tx1"/>
                  </w14:solidFill>
                </w14:textFill>
              </w:rPr>
              <w:t>2019</w:t>
            </w:r>
            <w:r>
              <w:rPr>
                <w:rFonts w:hint="default" w:ascii="Times New Roman" w:hAnsi="Times New Roman" w:eastAsia="宋体" w:cs="Times New Roman"/>
                <w:color w:val="000000" w:themeColor="text1"/>
                <w:sz w:val="24"/>
                <w:szCs w:val="24"/>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14:textFill>
                  <w14:solidFill>
                    <w14:schemeClr w14:val="tx1"/>
                  </w14:solidFill>
                </w14:textFill>
              </w:rPr>
              <w:t>月</w:t>
            </w:r>
            <w:r>
              <w:rPr>
                <w:rFonts w:hint="eastAsia" w:ascii="Times New Roman" w:hAnsi="Times New Roman"/>
                <w:bCs/>
                <w:color w:val="000000" w:themeColor="text1"/>
                <w:sz w:val="24"/>
                <w:szCs w:val="24"/>
                <w14:textFill>
                  <w14:solidFill>
                    <w14:schemeClr w14:val="tx1"/>
                  </w14:solidFill>
                </w14:textFill>
              </w:rPr>
              <w:t>筹备开工，</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10</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月</w:t>
            </w:r>
            <w:r>
              <w:rPr>
                <w:rFonts w:hint="eastAsia" w:ascii="Times New Roman" w:hAnsi="Times New Roman"/>
                <w:bCs/>
                <w:color w:val="000000" w:themeColor="text1"/>
                <w:sz w:val="24"/>
                <w:szCs w:val="24"/>
                <w14:textFill>
                  <w14:solidFill>
                    <w14:schemeClr w14:val="tx1"/>
                  </w14:solidFill>
                </w14:textFill>
              </w:rPr>
              <w:t>竣工并进行施工扰动区域植被恢复。根据《中华人民共和国环境保护法》、《建设项目竣工环境保护验收暂行办法》、《建设项目竣工环境保护验收调查技术规范－生态影响类》等相关规定，</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青海省投资集团有限公司</w:t>
            </w:r>
            <w:r>
              <w:rPr>
                <w:rFonts w:hint="eastAsia" w:ascii="Times New Roman" w:hAnsi="Times New Roman"/>
                <w:bCs/>
                <w:color w:val="000000" w:themeColor="text1"/>
                <w:sz w:val="24"/>
                <w:szCs w:val="24"/>
                <w14:textFill>
                  <w14:solidFill>
                    <w14:schemeClr w14:val="tx1"/>
                  </w14:solidFill>
                </w14:textFill>
              </w:rPr>
              <w:t>于2024年1月委托我公司进行“青海省格尔木市拉宁灶火多金属矿普查项目”竣工环境保护验收调查工作，接受委托后，我公司对项目环境状况进行了实地踏勘、资料收集，并认真研究了相关技术资料和竣工资料，对本项目环境保护治理措施、环境敏感点、施工占地的生态恢复及环保措施的执行情况等方面进行了重点调查，在此基础上编制完成了《</w:t>
            </w:r>
            <w:r>
              <w:rPr>
                <w:rFonts w:hint="eastAsia" w:ascii="Times New Roman" w:hAnsi="Times New Roman"/>
                <w:bCs/>
                <w:color w:val="000000" w:themeColor="text1"/>
                <w:sz w:val="24"/>
                <w:szCs w:val="24"/>
                <w14:textFill>
                  <w14:solidFill>
                    <w14:schemeClr w14:val="tx1"/>
                  </w14:solidFill>
                </w14:textFill>
              </w:rPr>
              <w:t>青海省格尔木市拉宁灶火多金属矿普查项目</w:t>
            </w:r>
            <w:r>
              <w:rPr>
                <w:rFonts w:hint="eastAsia" w:ascii="Times New Roman" w:hAnsi="Times New Roman"/>
                <w:bCs/>
                <w:color w:val="000000" w:themeColor="text1"/>
                <w:sz w:val="24"/>
                <w:szCs w:val="24"/>
                <w:lang w:val="en-US" w:eastAsia="zh-CN"/>
                <w14:textFill>
                  <w14:solidFill>
                    <w14:schemeClr w14:val="tx1"/>
                  </w14:solidFill>
                </w14:textFill>
              </w:rPr>
              <w:t>竣工环境保护验收调查表</w:t>
            </w:r>
            <w:r>
              <w:rPr>
                <w:rFonts w:hint="eastAsia" w:ascii="Times New Roman" w:hAnsi="Times New Roman"/>
                <w:bCs/>
                <w:color w:val="000000" w:themeColor="text1"/>
                <w:sz w:val="24"/>
                <w:szCs w:val="24"/>
                <w14:textFill>
                  <w14:solidFill>
                    <w14:schemeClr w14:val="tx1"/>
                  </w14:solidFill>
                </w14:textFill>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trHeight w:val="90" w:hRule="atLeast"/>
          <w:jc w:val="center"/>
        </w:trPr>
        <w:tc>
          <w:tcPr>
            <w:tcW w:w="1873" w:type="dxa"/>
            <w:tcBorders>
              <w:tl2br w:val="nil"/>
              <w:tr2bl w:val="nil"/>
            </w:tcBorders>
            <w:noWrap w:val="0"/>
            <w:vAlign w:val="center"/>
          </w:tcPr>
          <w:p>
            <w:pPr>
              <w:spacing w:line="240" w:lineRule="auto"/>
              <w:jc w:val="center"/>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cs="Times New Roman"/>
                <w:b w:val="0"/>
                <w:bCs/>
                <w:color w:val="auto"/>
                <w:sz w:val="24"/>
                <w:szCs w:val="24"/>
                <w:lang w:eastAsia="zh-CN"/>
              </w:rPr>
              <w:t>编制依据</w:t>
            </w:r>
          </w:p>
        </w:tc>
        <w:tc>
          <w:tcPr>
            <w:tcW w:w="6745" w:type="dxa"/>
            <w:gridSpan w:val="10"/>
            <w:tcBorders>
              <w:tl2br w:val="nil"/>
              <w:tr2bl w:val="nil"/>
            </w:tcBorders>
            <w:noWrap w:val="0"/>
            <w:vAlign w:val="center"/>
          </w:tcPr>
          <w:p>
            <w:pPr>
              <w:spacing w:line="360" w:lineRule="auto"/>
              <w:ind w:firstLine="482" w:firstLineChars="200"/>
              <w:jc w:val="both"/>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1.法律法规</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（1）《中华人民共和国环境保护法》，2015.1.1；</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（2）《中华人民共和国环境影响评价法》，2018.12.29；</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（3）《中华人民共和国水污染防治法》，2018.1.1；</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（4）《中华人民共和国大气污染防治法》，2018.10.26；</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（5）《中华人民共和国环境噪声污染防治法》，2022.6.5；</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（6）《中华人民共和国固体废物污染环境防治法》，2020.9.1；</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（7）《建设项目环境保护管理条例》，国务院令第682号，2017.10.1；</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（8）《建设项目竣工环境保护验收暂行办法》国环规环[2017]4号；</w:t>
            </w:r>
          </w:p>
          <w:p>
            <w:pPr>
              <w:spacing w:line="360" w:lineRule="auto"/>
              <w:ind w:firstLine="482" w:firstLineChars="200"/>
              <w:jc w:val="both"/>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2.竣工环境保护验收技术规范</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（1）《建设项目竣工环境保护验收技术规范生态影响类》（HJ/T 394-2007）；</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（2）《关于印发环评管理中部分行业建设项目重大变动清单的通知》环办〔2015〕52号；</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（3）《建设项目竣工环境保护验收现场检查及审查要点的通知》，环办[2015]113号，2015.12.30；</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（4）《关于进一步加强生态保护工作的意见》，环发[2007]3号，2007.3.15。</w:t>
            </w:r>
          </w:p>
          <w:p>
            <w:pPr>
              <w:spacing w:line="360" w:lineRule="auto"/>
              <w:ind w:firstLine="482" w:firstLineChars="200"/>
              <w:jc w:val="both"/>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3.技术规定及导则</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（1）《建设项目环境影响评价技术导则—总纲》（HJ2.1-2016）；</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（2）《环境影响评价技术导则—大气环境》（HJ2.2-2018）；</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（3）《环境影响评价评价技术导则—声环境》（HJ 2.4-2021）；</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（4）《建设项目环境风险评价技术导则》（HJ 169-2018）；</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（5）《环境影响评价评价技术导则—生态环境》（HJ 19-2022）；</w:t>
            </w:r>
          </w:p>
          <w:p>
            <w:pPr>
              <w:spacing w:line="360" w:lineRule="auto"/>
              <w:ind w:firstLine="482" w:firstLineChars="200"/>
              <w:jc w:val="both"/>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4.环境影响报告表及审批部门审批决定</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lang w:val="en-US" w:eastAsia="zh-CN"/>
              </w:rPr>
              <w:t>内蒙古亿保环境科技有限公司</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青海省格尔木市拉宁灶火多金属矿普查项目</w:t>
            </w:r>
            <w:r>
              <w:rPr>
                <w:rFonts w:hint="default" w:ascii="Times New Roman" w:hAnsi="Times New Roman" w:eastAsia="宋体" w:cs="Times New Roman"/>
                <w:color w:val="auto"/>
                <w:sz w:val="24"/>
                <w:szCs w:val="24"/>
                <w:lang w:val="en-US" w:eastAsia="zh-CN"/>
              </w:rPr>
              <w:t>环境影响报告表》（20</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9</w:t>
            </w:r>
            <w:r>
              <w:rPr>
                <w:rFonts w:hint="default" w:ascii="Times New Roman" w:hAnsi="Times New Roman" w:eastAsia="宋体" w:cs="Times New Roman"/>
                <w:color w:val="auto"/>
                <w:sz w:val="24"/>
                <w:szCs w:val="24"/>
                <w:lang w:val="en-US" w:eastAsia="zh-CN"/>
              </w:rPr>
              <w:t>）；</w:t>
            </w:r>
          </w:p>
          <w:p>
            <w:pPr>
              <w:spacing w:line="360" w:lineRule="auto"/>
              <w:ind w:firstLine="480" w:firstLineChars="20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格尔木</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市生态环境局关于《</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青海省格尔木市拉宁灶火多金属矿普查项目</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环境影响报告表的批复》（</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格环发</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〔20</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19</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9号</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2019</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年1月</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日）；</w:t>
            </w:r>
          </w:p>
          <w:p>
            <w:pPr>
              <w:spacing w:line="360" w:lineRule="auto"/>
              <w:ind w:firstLine="480" w:firstLineChars="200"/>
              <w:jc w:val="both"/>
              <w:rPr>
                <w:rFonts w:hint="default" w:ascii="Times New Roman" w:hAnsi="Times New Roman" w:eastAsia="宋体" w:cs="Times New Roman"/>
                <w:color w:val="000000" w:themeColor="text1"/>
                <w:sz w:val="24"/>
                <w:szCs w:val="24"/>
                <w:lang w:val="en-US" w:eastAsia="zh-CN"/>
                <w14:textFill>
                  <w14:solidFill>
                    <w14:schemeClr w14:val="tx1"/>
                  </w14:solidFill>
                </w14:textFill>
              </w:rPr>
            </w:pPr>
          </w:p>
          <w:p>
            <w:pPr>
              <w:spacing w:line="360" w:lineRule="auto"/>
              <w:ind w:firstLine="482" w:firstLineChars="200"/>
              <w:jc w:val="both"/>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5.其他文件</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（1）验收技术服务合同；</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（2）其他和项目有关的设计文件。</w:t>
            </w: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spacing w:line="360" w:lineRule="auto"/>
              <w:ind w:firstLine="480" w:firstLineChars="200"/>
              <w:jc w:val="both"/>
              <w:rPr>
                <w:rFonts w:hint="default" w:ascii="Times New Roman" w:hAnsi="Times New Roman" w:eastAsia="宋体" w:cs="Times New Roman"/>
                <w:color w:val="auto"/>
                <w:sz w:val="24"/>
                <w:szCs w:val="24"/>
                <w:lang w:val="en-US" w:eastAsia="zh-CN"/>
              </w:rPr>
            </w:pPr>
          </w:p>
          <w:p>
            <w:pPr>
              <w:pStyle w:val="82"/>
              <w:rPr>
                <w:rFonts w:hint="default" w:ascii="Times New Roman" w:hAnsi="Times New Roman" w:eastAsia="宋体" w:cs="Times New Roman"/>
                <w:color w:val="auto"/>
                <w:sz w:val="24"/>
                <w:szCs w:val="24"/>
                <w:lang w:val="en-US" w:eastAsia="zh-CN"/>
              </w:rPr>
            </w:pPr>
          </w:p>
        </w:tc>
      </w:tr>
    </w:tbl>
    <w:p>
      <w:pPr>
        <w:pStyle w:val="2"/>
        <w:numPr>
          <w:ilvl w:val="0"/>
          <w:numId w:val="0"/>
        </w:numPr>
        <w:ind w:leftChars="0"/>
        <w:rPr>
          <w:rFonts w:hint="default" w:ascii="Times New Roman" w:hAnsi="Times New Roman" w:cs="Times New Roman"/>
          <w:b/>
          <w:bCs w:val="0"/>
          <w:color w:val="auto"/>
          <w:sz w:val="28"/>
          <w:szCs w:val="28"/>
        </w:rPr>
      </w:pPr>
      <w:bookmarkStart w:id="0" w:name="_Toc4962"/>
      <w:r>
        <w:rPr>
          <w:rFonts w:hint="default" w:ascii="Times New Roman" w:hAnsi="Times New Roman" w:cs="Times New Roman"/>
          <w:b/>
          <w:bCs w:val="0"/>
          <w:color w:val="auto"/>
          <w:sz w:val="28"/>
          <w:szCs w:val="28"/>
          <w:lang w:val="en-US" w:eastAsia="zh-CN"/>
        </w:rPr>
        <w:br w:type="page"/>
      </w:r>
      <w:bookmarkEnd w:id="0"/>
      <w:bookmarkStart w:id="1" w:name="_Toc16532"/>
      <w:r>
        <w:rPr>
          <w:rFonts w:hint="default" w:ascii="Times New Roman" w:hAnsi="Times New Roman" w:cs="Times New Roman"/>
          <w:b/>
          <w:bCs w:val="0"/>
          <w:sz w:val="28"/>
          <w:szCs w:val="28"/>
          <w:lang w:val="en-US" w:eastAsia="zh-CN"/>
        </w:rPr>
        <w:t>2.</w:t>
      </w:r>
      <w:r>
        <w:rPr>
          <w:rFonts w:hint="default" w:ascii="Times New Roman" w:hAnsi="Times New Roman" w:cs="Times New Roman"/>
          <w:b/>
          <w:bCs w:val="0"/>
          <w:sz w:val="28"/>
          <w:szCs w:val="28"/>
        </w:rPr>
        <w:t>调查范围、因子、目标、重点</w:t>
      </w:r>
      <w:bookmarkEnd w:id="1"/>
    </w:p>
    <w:tbl>
      <w:tblPr>
        <w:tblStyle w:val="44"/>
        <w:tblW w:w="8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7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调查</w:t>
            </w:r>
          </w:p>
          <w:p>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范围</w:t>
            </w:r>
          </w:p>
        </w:tc>
        <w:tc>
          <w:tcPr>
            <w:tcW w:w="7897" w:type="dxa"/>
            <w:noWrap w:val="0"/>
            <w:vAlign w:val="top"/>
          </w:tcPr>
          <w:p>
            <w:pPr>
              <w:pStyle w:val="17"/>
              <w:spacing w:line="360" w:lineRule="auto"/>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根据《青海省格尔木市拉宁灶火多金属矿普查项目环境影响报告表》及批复等相关文件，确定本次调查范围与环境影响评价文件的范围一致，具体如下：</w:t>
            </w:r>
          </w:p>
          <w:p>
            <w:pPr>
              <w:keepNext w:val="0"/>
              <w:keepLines w:val="0"/>
              <w:pageBreakBefore w:val="0"/>
              <w:numPr>
                <w:ilvl w:val="0"/>
                <w:numId w:val="4"/>
              </w:numPr>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工程调查范围</w:t>
            </w:r>
          </w:p>
          <w:p>
            <w:pPr>
              <w:pStyle w:val="43"/>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工程调查范围主要为探矿工作扰动过的区域，包括施工钻孔作业场地。</w:t>
            </w:r>
          </w:p>
          <w:p>
            <w:pPr>
              <w:keepNext w:val="0"/>
              <w:keepLines w:val="0"/>
              <w:widowControl/>
              <w:numPr>
                <w:ilvl w:val="0"/>
                <w:numId w:val="4"/>
              </w:numPr>
              <w:suppressLineNumbers w:val="0"/>
              <w:spacing w:line="360" w:lineRule="auto"/>
              <w:ind w:left="0" w:leftChars="0" w:firstLine="480" w:firstLineChars="20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生态环境调查范围</w:t>
            </w:r>
          </w:p>
          <w:p>
            <w:pPr>
              <w:pStyle w:val="43"/>
              <w:numPr>
                <w:ilvl w:val="0"/>
                <w:numId w:val="0"/>
              </w:numPr>
              <w:spacing w:line="360" w:lineRule="auto"/>
              <w:ind w:firstLine="480" w:firstLineChars="20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生态环境调查范围为各工业场地、办公生活区用地范围及向外延伸1km的范围。</w:t>
            </w:r>
          </w:p>
          <w:p>
            <w:pPr>
              <w:spacing w:line="360" w:lineRule="auto"/>
              <w:ind w:firstLine="480" w:firstLineChars="200"/>
              <w:rPr>
                <w:rFonts w:hint="default"/>
                <w:lang w:val="en-US" w:eastAsia="zh-CN"/>
              </w:rPr>
            </w:pPr>
            <w:r>
              <w:rPr>
                <w:rFonts w:hint="default" w:ascii="Times New Roman" w:hAnsi="Times New Roman" w:eastAsia="宋体" w:cs="Times New Roman"/>
                <w:sz w:val="24"/>
                <w:szCs w:val="24"/>
                <w:lang w:val="en-US" w:eastAsia="zh-CN"/>
              </w:rPr>
              <w:t>结合项目具体特点、周围区域环境现状和环境功能区划，调查内容为：工程建设内容、污染源及污染物排放、生态影响及环境保护措施落实情况调查等</w:t>
            </w:r>
            <w:r>
              <w:rPr>
                <w:rFonts w:hint="eastAsia" w:ascii="Times New Roman" w:hAnsi="Times New Roman" w:eastAsia="宋体" w:cs="Times New Roman"/>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 w:type="dxa"/>
            <w:noWrap w:val="0"/>
            <w:vAlign w:val="center"/>
          </w:tcPr>
          <w:p>
            <w:pPr>
              <w:spacing w:line="360" w:lineRule="exact"/>
              <w:jc w:val="center"/>
              <w:rPr>
                <w:rFonts w:hint="default" w:ascii="Times New Roman" w:hAnsi="Times New Roman" w:cs="Times New Roman"/>
                <w:sz w:val="24"/>
                <w:szCs w:val="24"/>
              </w:rPr>
            </w:pPr>
            <w:r>
              <w:rPr>
                <w:rFonts w:hint="default" w:ascii="Times New Roman" w:hAnsi="Times New Roman" w:cs="Times New Roman"/>
                <w:sz w:val="24"/>
                <w:szCs w:val="24"/>
              </w:rPr>
              <w:t>调查</w:t>
            </w:r>
          </w:p>
          <w:p>
            <w:pPr>
              <w:spacing w:line="360" w:lineRule="exact"/>
              <w:jc w:val="center"/>
              <w:rPr>
                <w:rFonts w:hint="default" w:ascii="Times New Roman" w:hAnsi="Times New Roman" w:cs="Times New Roman"/>
                <w:sz w:val="24"/>
                <w:szCs w:val="24"/>
              </w:rPr>
            </w:pPr>
            <w:r>
              <w:rPr>
                <w:rFonts w:hint="default" w:ascii="Times New Roman" w:hAnsi="Times New Roman" w:cs="Times New Roman"/>
                <w:sz w:val="24"/>
                <w:szCs w:val="24"/>
              </w:rPr>
              <w:t>因子</w:t>
            </w:r>
          </w:p>
        </w:tc>
        <w:tc>
          <w:tcPr>
            <w:tcW w:w="7897" w:type="dxa"/>
            <w:noWrap w:val="0"/>
            <w:vAlign w:val="top"/>
          </w:tcPr>
          <w:p>
            <w:pPr>
              <w:spacing w:line="460" w:lineRule="exact"/>
              <w:ind w:firstLine="480" w:firstLineChars="200"/>
              <w:rPr>
                <w:rFonts w:hint="default" w:ascii="Times New Roman" w:hAnsi="Times New Roman" w:cs="Times New Roman"/>
                <w:color w:val="000000"/>
                <w:sz w:val="24"/>
                <w:szCs w:val="24"/>
              </w:rPr>
            </w:pPr>
            <w:r>
              <w:rPr>
                <w:rFonts w:hint="default" w:ascii="Times New Roman" w:hAnsi="Times New Roman" w:cs="Times New Roman"/>
                <w:color w:val="000000"/>
                <w:sz w:val="24"/>
                <w:szCs w:val="24"/>
              </w:rPr>
              <w:t>本次竣工验收调查因子参照环境影响报告表中的评价范围，并根据工程实际的变化及对环境的实际影响，结合现场踏勘情况对调查因子进行适当的调整。调查范围见</w:t>
            </w:r>
            <w:r>
              <w:rPr>
                <w:rFonts w:hint="eastAsia" w:ascii="Times New Roman" w:hAnsi="Times New Roman" w:cs="Times New Roman"/>
                <w:color w:val="000000"/>
                <w:sz w:val="24"/>
                <w:szCs w:val="24"/>
                <w:lang w:val="en-US" w:eastAsia="zh-CN"/>
              </w:rPr>
              <w:t>下表</w:t>
            </w:r>
            <w:r>
              <w:rPr>
                <w:rFonts w:hint="default" w:ascii="Times New Roman" w:hAnsi="Times New Roman" w:cs="Times New Roman"/>
                <w:color w:val="000000"/>
                <w:sz w:val="24"/>
                <w:szCs w:val="24"/>
              </w:rPr>
              <w:t>。</w:t>
            </w:r>
          </w:p>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表2</w:t>
            </w:r>
            <w:r>
              <w:rPr>
                <w:rFonts w:hint="eastAsia" w:ascii="Times New Roman" w:hAnsi="Times New Roman" w:cs="Times New Roman"/>
                <w:b/>
                <w:bCs/>
                <w:sz w:val="24"/>
                <w:szCs w:val="24"/>
                <w:lang w:val="en-US" w:eastAsia="zh-CN"/>
              </w:rPr>
              <w:t xml:space="preserve">-1   </w:t>
            </w:r>
            <w:r>
              <w:rPr>
                <w:rFonts w:hint="default" w:ascii="Times New Roman" w:hAnsi="Times New Roman" w:cs="Times New Roman"/>
                <w:b/>
                <w:bCs/>
                <w:sz w:val="24"/>
                <w:szCs w:val="24"/>
              </w:rPr>
              <w:t>环保验收调查因子与环评调查因子对比分析表</w:t>
            </w:r>
          </w:p>
          <w:tbl>
            <w:tblPr>
              <w:tblStyle w:val="44"/>
              <w:tblW w:w="757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6"/>
              <w:gridCol w:w="2300"/>
              <w:gridCol w:w="3284"/>
              <w:gridCol w:w="126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4" w:hRule="atLeast"/>
                <w:jc w:val="center"/>
              </w:trPr>
              <w:tc>
                <w:tcPr>
                  <w:tcW w:w="726"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调查项目</w:t>
                  </w:r>
                </w:p>
              </w:tc>
              <w:tc>
                <w:tcPr>
                  <w:tcW w:w="2300"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环评阶段调查因子</w:t>
                  </w:r>
                </w:p>
              </w:tc>
              <w:tc>
                <w:tcPr>
                  <w:tcW w:w="3284"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验收调查因子</w:t>
                  </w:r>
                </w:p>
              </w:tc>
              <w:tc>
                <w:tcPr>
                  <w:tcW w:w="1268"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变化情况</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099" w:hRule="atLeast"/>
                <w:jc w:val="center"/>
              </w:trPr>
              <w:tc>
                <w:tcPr>
                  <w:tcW w:w="726"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生态环境</w:t>
                  </w:r>
                </w:p>
              </w:tc>
              <w:tc>
                <w:tcPr>
                  <w:tcW w:w="2300" w:type="dxa"/>
                  <w:noWrap w:val="0"/>
                  <w:vAlign w:val="center"/>
                </w:tcPr>
                <w:p>
                  <w:pPr>
                    <w:snapToGrid w:val="0"/>
                    <w:jc w:val="center"/>
                    <w:rPr>
                      <w:rFonts w:hint="default" w:ascii="Times New Roman" w:hAnsi="Times New Roman" w:cs="Times New Roman"/>
                      <w:color w:val="000000"/>
                      <w:lang w:val="en-US"/>
                    </w:rPr>
                  </w:pPr>
                  <w:r>
                    <w:rPr>
                      <w:rFonts w:hint="eastAsia" w:ascii="Times New Roman" w:hAnsi="Times New Roman" w:cs="Times New Roman"/>
                      <w:color w:val="000000"/>
                      <w:lang w:val="en-US" w:eastAsia="zh-CN"/>
                    </w:rPr>
                    <w:t>施工引起的植被及地形地貌破坏</w:t>
                  </w:r>
                </w:p>
              </w:tc>
              <w:tc>
                <w:tcPr>
                  <w:tcW w:w="3284"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调查</w:t>
                  </w:r>
                  <w:r>
                    <w:rPr>
                      <w:rFonts w:hint="default" w:ascii="Times New Roman" w:hAnsi="Times New Roman" w:cs="Times New Roman"/>
                      <w:szCs w:val="21"/>
                      <w:lang w:val="en-US" w:eastAsia="zh-CN"/>
                    </w:rPr>
                    <w:t>临时</w:t>
                  </w:r>
                  <w:r>
                    <w:rPr>
                      <w:rFonts w:hint="eastAsia" w:ascii="Times New Roman" w:hAnsi="Times New Roman" w:cs="Times New Roman"/>
                      <w:szCs w:val="21"/>
                      <w:lang w:val="en-US" w:eastAsia="zh-CN"/>
                    </w:rPr>
                    <w:t>用地的</w:t>
                  </w:r>
                  <w:r>
                    <w:rPr>
                      <w:rFonts w:hint="default" w:ascii="Times New Roman" w:hAnsi="Times New Roman" w:cs="Times New Roman"/>
                      <w:szCs w:val="21"/>
                      <w:lang w:val="en-US" w:eastAsia="zh-CN"/>
                    </w:rPr>
                    <w:t>恢复情况及绿化情况、</w:t>
                  </w:r>
                  <w:r>
                    <w:rPr>
                      <w:rFonts w:hint="default" w:ascii="Times New Roman" w:hAnsi="Times New Roman" w:cs="Times New Roman"/>
                      <w:szCs w:val="21"/>
                    </w:rPr>
                    <w:t>各工程措施的维护情况和实施效果，植物措施的植被抚育、管护和生长情况。</w:t>
                  </w:r>
                </w:p>
              </w:tc>
              <w:tc>
                <w:tcPr>
                  <w:tcW w:w="1268" w:type="dxa"/>
                  <w:noWrap w:val="0"/>
                  <w:vAlign w:val="center"/>
                </w:tcPr>
                <w:p>
                  <w:pPr>
                    <w:pStyle w:val="200"/>
                    <w:ind w:left="210" w:hanging="210" w:hangingChars="100"/>
                    <w:jc w:val="center"/>
                    <w:rPr>
                      <w:rFonts w:hint="default" w:ascii="Times New Roman" w:hAnsi="Times New Roman" w:cs="Times New Roman"/>
                      <w:szCs w:val="21"/>
                    </w:rPr>
                  </w:pPr>
                  <w:r>
                    <w:rPr>
                      <w:rFonts w:hint="default" w:ascii="Times New Roman" w:hAnsi="Times New Roman" w:cs="Times New Roman"/>
                      <w:szCs w:val="21"/>
                    </w:rPr>
                    <w:t>与环评</w:t>
                  </w:r>
                  <w:r>
                    <w:rPr>
                      <w:rFonts w:hint="eastAsia" w:ascii="Times New Roman" w:hAnsi="Times New Roman" w:cs="Times New Roman"/>
                      <w:szCs w:val="21"/>
                      <w:lang w:val="en-US" w:eastAsia="zh-CN"/>
                    </w:rPr>
                    <w:t>阶段</w:t>
                  </w:r>
                  <w:r>
                    <w:rPr>
                      <w:rFonts w:hint="default" w:ascii="Times New Roman" w:hAnsi="Times New Roman" w:cs="Times New Roman"/>
                      <w:szCs w:val="21"/>
                    </w:rPr>
                    <w:t>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726"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声环境</w:t>
                  </w:r>
                </w:p>
              </w:tc>
              <w:tc>
                <w:tcPr>
                  <w:tcW w:w="2300"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等效连续A声级</w:t>
                  </w:r>
                  <w:r>
                    <w:rPr>
                      <w:rFonts w:hint="eastAsia" w:ascii="Times New Roman" w:hAnsi="Times New Roman" w:cs="Times New Roman"/>
                      <w:szCs w:val="21"/>
                      <w:lang w:eastAsia="zh-CN"/>
                    </w:rPr>
                    <w:t>，</w:t>
                  </w:r>
                  <w:r>
                    <w:rPr>
                      <w:rFonts w:hint="default" w:ascii="Times New Roman" w:hAnsi="Times New Roman" w:cs="Times New Roman"/>
                      <w:szCs w:val="21"/>
                    </w:rPr>
                    <w:t>LAeq；</w:t>
                  </w:r>
                </w:p>
              </w:tc>
              <w:tc>
                <w:tcPr>
                  <w:tcW w:w="3284"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等效连续A声级，LAeq；</w:t>
                  </w:r>
                </w:p>
              </w:tc>
              <w:tc>
                <w:tcPr>
                  <w:tcW w:w="1268" w:type="dxa"/>
                  <w:noWrap w:val="0"/>
                  <w:vAlign w:val="center"/>
                </w:tcPr>
                <w:p>
                  <w:pPr>
                    <w:pStyle w:val="200"/>
                    <w:jc w:val="center"/>
                    <w:rPr>
                      <w:rFonts w:hint="default" w:ascii="Times New Roman" w:hAnsi="Times New Roman" w:cs="Times New Roman"/>
                      <w:kern w:val="0"/>
                      <w:szCs w:val="21"/>
                    </w:rPr>
                  </w:pPr>
                  <w:r>
                    <w:rPr>
                      <w:rFonts w:hint="default" w:ascii="Times New Roman" w:hAnsi="Times New Roman" w:cs="Times New Roman"/>
                      <w:szCs w:val="21"/>
                    </w:rPr>
                    <w:t>与环评阶段一致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64" w:hRule="atLeast"/>
                <w:jc w:val="center"/>
              </w:trPr>
              <w:tc>
                <w:tcPr>
                  <w:tcW w:w="726" w:type="dxa"/>
                  <w:noWrap w:val="0"/>
                  <w:vAlign w:val="center"/>
                </w:tcPr>
                <w:p>
                  <w:pPr>
                    <w:pStyle w:val="200"/>
                    <w:rPr>
                      <w:rFonts w:hint="default" w:ascii="Times New Roman" w:hAnsi="Times New Roman" w:cs="Times New Roman"/>
                      <w:kern w:val="0"/>
                      <w:szCs w:val="21"/>
                    </w:rPr>
                  </w:pPr>
                  <w:r>
                    <w:rPr>
                      <w:rFonts w:hint="default" w:ascii="Times New Roman" w:hAnsi="Times New Roman" w:cs="Times New Roman"/>
                      <w:szCs w:val="21"/>
                    </w:rPr>
                    <w:t>环境空气</w:t>
                  </w:r>
                </w:p>
              </w:tc>
              <w:tc>
                <w:tcPr>
                  <w:tcW w:w="2300" w:type="dxa"/>
                  <w:noWrap w:val="0"/>
                  <w:vAlign w:val="center"/>
                </w:tcPr>
                <w:p>
                  <w:pPr>
                    <w:jc w:val="center"/>
                    <w:rPr>
                      <w:rFonts w:hint="default" w:ascii="Times New Roman" w:hAnsi="Times New Roman" w:eastAsia="宋体" w:cs="Times New Roman"/>
                      <w:color w:val="000000"/>
                      <w:lang w:val="en-US" w:eastAsia="zh-CN"/>
                    </w:rPr>
                  </w:pPr>
                  <w:r>
                    <w:rPr>
                      <w:rFonts w:hint="eastAsia" w:ascii="Times New Roman" w:hAnsi="Times New Roman" w:cs="Times New Roman"/>
                      <w:color w:val="000000"/>
                      <w:lang w:val="en-US" w:eastAsia="zh-CN"/>
                    </w:rPr>
                    <w:t>TSP</w:t>
                  </w:r>
                </w:p>
              </w:tc>
              <w:tc>
                <w:tcPr>
                  <w:tcW w:w="3284" w:type="dxa"/>
                  <w:noWrap w:val="0"/>
                  <w:vAlign w:val="center"/>
                </w:tcPr>
                <w:p>
                  <w:pPr>
                    <w:pStyle w:val="200"/>
                    <w:rPr>
                      <w:rFonts w:hint="default" w:ascii="Times New Roman" w:hAnsi="Times New Roman" w:eastAsia="宋体" w:cs="Times New Roman"/>
                      <w:kern w:val="0"/>
                      <w:szCs w:val="21"/>
                      <w:lang w:val="en-US" w:eastAsia="zh-CN"/>
                    </w:rPr>
                  </w:pPr>
                  <w:r>
                    <w:rPr>
                      <w:rFonts w:hint="eastAsia" w:ascii="Times New Roman" w:hAnsi="Times New Roman" w:cs="Times New Roman"/>
                      <w:lang w:val="en-US" w:eastAsia="zh-CN"/>
                    </w:rPr>
                    <w:t>TSP</w:t>
                  </w:r>
                </w:p>
              </w:tc>
              <w:tc>
                <w:tcPr>
                  <w:tcW w:w="1268" w:type="dxa"/>
                  <w:noWrap w:val="0"/>
                  <w:vAlign w:val="center"/>
                </w:tcPr>
                <w:p>
                  <w:pPr>
                    <w:ind w:firstLine="0"/>
                    <w:jc w:val="center"/>
                    <w:rPr>
                      <w:rFonts w:hint="default" w:ascii="Times New Roman" w:hAnsi="Times New Roman" w:cs="Times New Roman"/>
                      <w:kern w:val="0"/>
                      <w:szCs w:val="21"/>
                    </w:rPr>
                  </w:pPr>
                  <w:r>
                    <w:rPr>
                      <w:rFonts w:hint="default" w:ascii="Times New Roman" w:hAnsi="Times New Roman" w:cs="Times New Roman"/>
                      <w:szCs w:val="21"/>
                    </w:rPr>
                    <w:t>与环评阶段一致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39" w:hRule="atLeast"/>
                <w:jc w:val="center"/>
              </w:trPr>
              <w:tc>
                <w:tcPr>
                  <w:tcW w:w="726" w:type="dxa"/>
                  <w:noWrap w:val="0"/>
                  <w:vAlign w:val="center"/>
                </w:tcPr>
                <w:p>
                  <w:pPr>
                    <w:pStyle w:val="200"/>
                    <w:jc w:val="center"/>
                    <w:rPr>
                      <w:rFonts w:hint="default" w:ascii="Times New Roman" w:hAnsi="Times New Roman" w:cs="Times New Roman"/>
                      <w:kern w:val="0"/>
                      <w:szCs w:val="21"/>
                    </w:rPr>
                  </w:pPr>
                  <w:r>
                    <w:rPr>
                      <w:rFonts w:hint="default" w:ascii="Times New Roman" w:hAnsi="Times New Roman" w:cs="Times New Roman"/>
                      <w:szCs w:val="21"/>
                    </w:rPr>
                    <w:t>水环境</w:t>
                  </w:r>
                </w:p>
              </w:tc>
              <w:tc>
                <w:tcPr>
                  <w:tcW w:w="2300" w:type="dxa"/>
                  <w:noWrap w:val="0"/>
                  <w:vAlign w:val="center"/>
                </w:tcPr>
                <w:p>
                  <w:pPr>
                    <w:pStyle w:val="200"/>
                    <w:jc w:val="center"/>
                    <w:rPr>
                      <w:rFonts w:hint="default" w:ascii="Times New Roman" w:hAnsi="Times New Roman" w:cs="Times New Roman"/>
                      <w:szCs w:val="21"/>
                      <w:lang w:val="en-US" w:eastAsia="zh-CN"/>
                    </w:rPr>
                  </w:pPr>
                  <w:r>
                    <w:rPr>
                      <w:rFonts w:hint="default" w:ascii="Times New Roman" w:hAnsi="Times New Roman" w:cs="Times New Roman"/>
                      <w:szCs w:val="21"/>
                      <w:lang w:val="en-US" w:eastAsia="zh-CN"/>
                    </w:rPr>
                    <w:t>调查工业场地及生活办公场地生活污水处理措施</w:t>
                  </w:r>
                </w:p>
              </w:tc>
              <w:tc>
                <w:tcPr>
                  <w:tcW w:w="3284" w:type="dxa"/>
                  <w:noWrap w:val="0"/>
                  <w:vAlign w:val="center"/>
                </w:tcPr>
                <w:p>
                  <w:pPr>
                    <w:pStyle w:val="6"/>
                    <w:spacing w:line="240" w:lineRule="auto"/>
                    <w:ind w:left="0" w:leftChars="0" w:firstLine="0" w:firstLineChars="0"/>
                    <w:jc w:val="center"/>
                    <w:rPr>
                      <w:rFonts w:hint="default" w:ascii="Times New Roman" w:hAnsi="Times New Roman" w:cs="Times New Roman"/>
                      <w:color w:val="000000"/>
                      <w:sz w:val="21"/>
                      <w:lang w:val="en-US" w:eastAsia="zh-CN"/>
                    </w:rPr>
                  </w:pPr>
                  <w:r>
                    <w:rPr>
                      <w:rFonts w:hint="default" w:ascii="Times New Roman" w:hAnsi="Times New Roman" w:cs="Times New Roman"/>
                      <w:color w:val="000000"/>
                      <w:sz w:val="21"/>
                      <w:lang w:val="en-US" w:eastAsia="zh-CN"/>
                    </w:rPr>
                    <w:t>调查工业场地及生活办公场地生活污水处理措施</w:t>
                  </w:r>
                </w:p>
              </w:tc>
              <w:tc>
                <w:tcPr>
                  <w:tcW w:w="1268" w:type="dxa"/>
                  <w:noWrap w:val="0"/>
                  <w:vAlign w:val="center"/>
                </w:tcPr>
                <w:p>
                  <w:pPr>
                    <w:ind w:firstLine="0"/>
                    <w:jc w:val="center"/>
                    <w:rPr>
                      <w:rFonts w:hint="default" w:ascii="Times New Roman" w:hAnsi="Times New Roman" w:cs="Times New Roman"/>
                      <w:kern w:val="0"/>
                      <w:szCs w:val="21"/>
                    </w:rPr>
                  </w:pPr>
                  <w:r>
                    <w:rPr>
                      <w:rFonts w:hint="default" w:ascii="Times New Roman" w:hAnsi="Times New Roman" w:cs="Times New Roman"/>
                      <w:szCs w:val="21"/>
                    </w:rPr>
                    <w:t>与环评阶段一致</w:t>
                  </w:r>
                </w:p>
              </w:tc>
            </w:tr>
          </w:tbl>
          <w:p>
            <w:pPr>
              <w:pStyle w:val="6"/>
              <w:ind w:left="0" w:leftChars="0" w:firstLine="0" w:firstLineChars="0"/>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77" w:type="dxa"/>
            <w:noWrap w:val="0"/>
            <w:vAlign w:val="center"/>
          </w:tcPr>
          <w:p>
            <w:pPr>
              <w:spacing w:line="360" w:lineRule="exact"/>
              <w:jc w:val="center"/>
              <w:rPr>
                <w:rFonts w:hint="default" w:ascii="Times New Roman" w:hAnsi="Times New Roman" w:cs="Times New Roman"/>
                <w:sz w:val="24"/>
                <w:szCs w:val="24"/>
              </w:rPr>
            </w:pPr>
            <w:r>
              <w:rPr>
                <w:rFonts w:hint="default" w:ascii="Times New Roman" w:hAnsi="Times New Roman" w:cs="Times New Roman"/>
                <w:sz w:val="24"/>
                <w:szCs w:val="24"/>
              </w:rPr>
              <w:t>环境敏感目标</w:t>
            </w:r>
          </w:p>
        </w:tc>
        <w:tc>
          <w:tcPr>
            <w:tcW w:w="7897" w:type="dxa"/>
            <w:noWrap w:val="0"/>
            <w:vAlign w:val="top"/>
          </w:tcPr>
          <w:p>
            <w:pPr>
              <w:pStyle w:val="7"/>
              <w:spacing w:after="0" w:line="360" w:lineRule="auto"/>
              <w:ind w:firstLine="480" w:firstLineChars="200"/>
              <w:outlineLvl w:val="1"/>
              <w:rPr>
                <w:rFonts w:hint="default" w:ascii="Times New Roman" w:hAnsi="Times New Roman" w:cs="Times New Roman"/>
                <w:color w:val="auto"/>
                <w:kern w:val="0"/>
                <w:sz w:val="24"/>
                <w:lang w:val="en-US" w:eastAsia="zh-CN"/>
              </w:rPr>
            </w:pPr>
            <w:r>
              <w:rPr>
                <w:rFonts w:hint="default" w:ascii="Times New Roman" w:hAnsi="Times New Roman" w:cs="Times New Roman"/>
                <w:color w:val="auto"/>
                <w:kern w:val="0"/>
                <w:sz w:val="24"/>
              </w:rPr>
              <w:t>经核查工程施工范围及其周边无风景名胜、自然景观、重点文物保护单位等环境敏感点；工程占地范围内未发现国家濒危或国家级、省级保护珍稀植物及古树名木。动植物均为常见种。</w:t>
            </w:r>
            <w:r>
              <w:rPr>
                <w:rFonts w:hint="eastAsia" w:ascii="Times New Roman" w:hAnsi="Times New Roman" w:cs="Times New Roman"/>
                <w:color w:val="auto"/>
                <w:kern w:val="0"/>
                <w:sz w:val="24"/>
                <w:lang w:val="en-US" w:eastAsia="zh-CN"/>
              </w:rPr>
              <w:t>项目周边无大气环境、地表水环境、声环境保护目标。</w:t>
            </w:r>
            <w:r>
              <w:rPr>
                <w:rFonts w:hint="default" w:ascii="Times New Roman" w:hAnsi="Times New Roman" w:cs="Times New Roman"/>
                <w:color w:val="auto"/>
                <w:kern w:val="0"/>
                <w:sz w:val="24"/>
              </w:rPr>
              <w:t>主要保护目标详见表</w:t>
            </w:r>
            <w:r>
              <w:rPr>
                <w:rFonts w:hint="eastAsia" w:ascii="Times New Roman" w:hAnsi="Times New Roman" w:cs="Times New Roman"/>
                <w:color w:val="auto"/>
                <w:kern w:val="0"/>
                <w:sz w:val="24"/>
                <w:lang w:val="en-US" w:eastAsia="zh-CN"/>
              </w:rPr>
              <w:t>2</w:t>
            </w:r>
            <w:r>
              <w:rPr>
                <w:rFonts w:hint="default" w:ascii="Times New Roman" w:hAnsi="Times New Roman" w:cs="Times New Roman"/>
                <w:color w:val="auto"/>
                <w:kern w:val="0"/>
                <w:sz w:val="24"/>
                <w:lang w:val="en-US" w:eastAsia="zh-CN"/>
              </w:rPr>
              <w:t>-2。</w:t>
            </w:r>
          </w:p>
          <w:p>
            <w:pPr>
              <w:pStyle w:val="7"/>
              <w:keepNext w:val="0"/>
              <w:keepLines w:val="0"/>
              <w:pageBreakBefore w:val="0"/>
              <w:widowControl/>
              <w:kinsoku/>
              <w:wordWrap/>
              <w:overflowPunct/>
              <w:topLinePunct w:val="0"/>
              <w:autoSpaceDE/>
              <w:autoSpaceDN/>
              <w:bidi w:val="0"/>
              <w:adjustRightInd/>
              <w:snapToGrid w:val="0"/>
              <w:spacing w:before="0" w:after="0" w:line="360" w:lineRule="auto"/>
              <w:ind w:right="0" w:firstLine="482" w:firstLineChars="200"/>
              <w:jc w:val="center"/>
              <w:textAlignment w:val="auto"/>
              <w:outlineLvl w:val="1"/>
              <w:rPr>
                <w:rFonts w:hint="default" w:ascii="Times New Roman" w:hAnsi="Times New Roman" w:cs="Times New Roman"/>
                <w:color w:val="auto"/>
                <w:sz w:val="24"/>
                <w:szCs w:val="24"/>
              </w:rPr>
            </w:pPr>
            <w:r>
              <w:rPr>
                <w:rFonts w:hint="default" w:ascii="Times New Roman" w:hAnsi="Times New Roman" w:cs="Times New Roman"/>
                <w:b/>
                <w:bCs/>
                <w:color w:val="auto"/>
                <w:sz w:val="24"/>
                <w:szCs w:val="24"/>
                <w:lang w:val="en-US" w:eastAsia="zh-CN"/>
              </w:rPr>
              <w:t>表</w:t>
            </w:r>
            <w:r>
              <w:rPr>
                <w:rFonts w:hint="eastAsia" w:ascii="Times New Roman" w:hAnsi="Times New Roman" w:cs="Times New Roman"/>
                <w:b/>
                <w:bCs/>
                <w:color w:val="auto"/>
                <w:sz w:val="24"/>
                <w:szCs w:val="24"/>
                <w:lang w:val="en-US" w:eastAsia="zh-CN"/>
              </w:rPr>
              <w:t>2</w:t>
            </w:r>
            <w:r>
              <w:rPr>
                <w:rFonts w:hint="default" w:ascii="Times New Roman" w:hAnsi="Times New Roman" w:cs="Times New Roman"/>
                <w:b/>
                <w:bCs/>
                <w:color w:val="auto"/>
                <w:sz w:val="24"/>
                <w:szCs w:val="24"/>
                <w:lang w:val="en-US" w:eastAsia="zh-CN"/>
              </w:rPr>
              <w:t xml:space="preserve">-2   </w:t>
            </w:r>
            <w:r>
              <w:rPr>
                <w:rFonts w:hint="default" w:ascii="Times New Roman" w:hAnsi="Times New Roman" w:cs="Times New Roman"/>
                <w:b/>
                <w:bCs/>
                <w:color w:val="auto"/>
                <w:sz w:val="24"/>
                <w:szCs w:val="24"/>
              </w:rPr>
              <w:t>项目主要环境保护目标</w:t>
            </w:r>
          </w:p>
          <w:tbl>
            <w:tblPr>
              <w:tblStyle w:val="4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1633"/>
              <w:gridCol w:w="1812"/>
              <w:gridCol w:w="3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682" w:type="pct"/>
                  <w:noWrap w:val="0"/>
                  <w:vAlign w:val="top"/>
                </w:tcPr>
                <w:p>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
                      <w:bCs w:val="0"/>
                      <w:color w:val="auto"/>
                      <w:kern w:val="0"/>
                      <w:sz w:val="21"/>
                      <w:szCs w:val="21"/>
                      <w:lang w:val="en-US" w:eastAsia="zh-CN"/>
                    </w:rPr>
                  </w:pPr>
                  <w:r>
                    <w:rPr>
                      <w:rFonts w:hint="default" w:ascii="Times New Roman" w:hAnsi="Times New Roman" w:eastAsia="宋体" w:cs="Times New Roman"/>
                      <w:b/>
                      <w:bCs w:val="0"/>
                      <w:color w:val="auto"/>
                      <w:kern w:val="0"/>
                      <w:sz w:val="21"/>
                      <w:szCs w:val="21"/>
                      <w:lang w:eastAsia="zh-CN"/>
                    </w:rPr>
                    <w:t>项目</w:t>
                  </w:r>
                </w:p>
              </w:tc>
              <w:tc>
                <w:tcPr>
                  <w:tcW w:w="1064" w:type="pct"/>
                  <w:noWrap w:val="0"/>
                  <w:vAlign w:val="top"/>
                </w:tcPr>
                <w:p>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
                      <w:bCs w:val="0"/>
                      <w:color w:val="auto"/>
                      <w:kern w:val="0"/>
                      <w:sz w:val="21"/>
                      <w:szCs w:val="21"/>
                      <w:lang w:val="en-US" w:eastAsia="zh-CN"/>
                    </w:rPr>
                  </w:pPr>
                  <w:r>
                    <w:rPr>
                      <w:rFonts w:hint="default" w:ascii="Times New Roman" w:hAnsi="Times New Roman" w:eastAsia="宋体" w:cs="Times New Roman"/>
                      <w:b/>
                      <w:bCs w:val="0"/>
                      <w:color w:val="auto"/>
                      <w:kern w:val="0"/>
                      <w:sz w:val="21"/>
                      <w:szCs w:val="21"/>
                      <w:lang w:eastAsia="zh-CN"/>
                    </w:rPr>
                    <w:t>保护目标</w:t>
                  </w:r>
                </w:p>
              </w:tc>
              <w:tc>
                <w:tcPr>
                  <w:tcW w:w="1181" w:type="pct"/>
                  <w:noWrap w:val="0"/>
                  <w:vAlign w:val="top"/>
                </w:tcPr>
                <w:p>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
                      <w:bCs w:val="0"/>
                      <w:color w:val="auto"/>
                      <w:kern w:val="0"/>
                      <w:sz w:val="21"/>
                      <w:szCs w:val="21"/>
                      <w:lang w:val="en-US" w:eastAsia="zh-CN"/>
                    </w:rPr>
                  </w:pPr>
                  <w:r>
                    <w:rPr>
                      <w:rFonts w:hint="eastAsia" w:ascii="Times New Roman" w:hAnsi="Times New Roman" w:eastAsia="宋体" w:cs="Times New Roman"/>
                      <w:b/>
                      <w:bCs w:val="0"/>
                      <w:color w:val="auto"/>
                      <w:kern w:val="0"/>
                      <w:sz w:val="21"/>
                      <w:szCs w:val="21"/>
                      <w:lang w:val="en-US" w:eastAsia="zh-CN"/>
                    </w:rPr>
                    <w:t>方位</w:t>
                  </w:r>
                </w:p>
              </w:tc>
              <w:tc>
                <w:tcPr>
                  <w:tcW w:w="2071" w:type="pct"/>
                  <w:noWrap w:val="0"/>
                  <w:vAlign w:val="top"/>
                </w:tcPr>
                <w:p>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
                      <w:bCs w:val="0"/>
                      <w:color w:val="auto"/>
                      <w:kern w:val="0"/>
                      <w:sz w:val="21"/>
                      <w:szCs w:val="21"/>
                      <w:lang w:val="en-US" w:eastAsia="zh-CN"/>
                    </w:rPr>
                  </w:pPr>
                  <w:r>
                    <w:rPr>
                      <w:rFonts w:hint="default" w:ascii="Times New Roman" w:hAnsi="Times New Roman" w:eastAsia="宋体" w:cs="Times New Roman"/>
                      <w:b/>
                      <w:bCs w:val="0"/>
                      <w:color w:val="auto"/>
                      <w:kern w:val="0"/>
                      <w:sz w:val="21"/>
                      <w:szCs w:val="21"/>
                      <w:lang w:val="en-US" w:eastAsia="zh-CN"/>
                    </w:rPr>
                    <w:t>保护级别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 w:hRule="atLeast"/>
                <w:jc w:val="center"/>
              </w:trPr>
              <w:tc>
                <w:tcPr>
                  <w:tcW w:w="682" w:type="pct"/>
                  <w:noWrap w:val="0"/>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生态环境</w:t>
                  </w:r>
                </w:p>
              </w:tc>
              <w:tc>
                <w:tcPr>
                  <w:tcW w:w="2245" w:type="pct"/>
                  <w:gridSpan w:val="2"/>
                  <w:noWrap w:val="0"/>
                  <w:vAlign w:val="center"/>
                </w:tcPr>
                <w:p>
                  <w:pPr>
                    <w:keepNext w:val="0"/>
                    <w:keepLines w:val="0"/>
                    <w:pageBreakBefore w:val="0"/>
                    <w:widowControl/>
                    <w:kinsoku/>
                    <w:wordWrap/>
                    <w:overflowPunct/>
                    <w:topLinePunct w:val="0"/>
                    <w:autoSpaceDE/>
                    <w:autoSpaceDN/>
                    <w:bidi w:val="0"/>
                    <w:spacing w:line="240" w:lineRule="auto"/>
                    <w:ind w:left="0" w:leftChars="0" w:firstLine="0" w:firstLineChars="0"/>
                    <w:jc w:val="center"/>
                    <w:rPr>
                      <w:rFonts w:hint="default" w:ascii="Times New Roman" w:hAnsi="Times New Roman" w:cs="Times New Roman"/>
                      <w:color w:val="auto"/>
                      <w:kern w:val="0"/>
                      <w:sz w:val="21"/>
                      <w:szCs w:val="21"/>
                      <w:lang w:val="en-US" w:eastAsia="zh-CN"/>
                    </w:rPr>
                  </w:pPr>
                  <w:r>
                    <w:rPr>
                      <w:rFonts w:hint="default" w:ascii="Times New Roman" w:hAnsi="Times New Roman" w:cs="Times New Roman"/>
                      <w:color w:val="auto"/>
                      <w:kern w:val="0"/>
                      <w:sz w:val="21"/>
                      <w:szCs w:val="21"/>
                      <w:lang w:val="en-US" w:eastAsia="zh-CN"/>
                    </w:rPr>
                    <w:t>生态环境调查范围为各工业场地、办公生活区用地范围及向外延伸1km</w:t>
                  </w:r>
                  <w:r>
                    <w:rPr>
                      <w:rFonts w:hint="eastAsia" w:ascii="Times New Roman" w:hAnsi="Times New Roman" w:cs="Times New Roman"/>
                      <w:color w:val="auto"/>
                      <w:kern w:val="0"/>
                      <w:sz w:val="21"/>
                      <w:szCs w:val="21"/>
                      <w:lang w:val="en-US" w:eastAsia="zh-CN"/>
                    </w:rPr>
                    <w:t>内植被及地形地貌</w:t>
                  </w:r>
                </w:p>
              </w:tc>
              <w:tc>
                <w:tcPr>
                  <w:tcW w:w="2071" w:type="pct"/>
                  <w:noWrap w:val="0"/>
                  <w:vAlign w:val="center"/>
                </w:tcPr>
                <w:p>
                  <w:pPr>
                    <w:keepNext w:val="0"/>
                    <w:keepLines w:val="0"/>
                    <w:pageBreakBefore w:val="0"/>
                    <w:kinsoku/>
                    <w:wordWrap/>
                    <w:overflowPunct/>
                    <w:topLinePunct w:val="0"/>
                    <w:autoSpaceDE/>
                    <w:autoSpaceDN/>
                    <w:bidi w:val="0"/>
                    <w:adjustRightInd w:val="0"/>
                    <w:snapToGrid w:val="0"/>
                    <w:spacing w:line="240" w:lineRule="auto"/>
                    <w:ind w:left="0" w:leftChars="0" w:firstLine="0" w:firstLineChars="0"/>
                    <w:jc w:val="center"/>
                    <w:rPr>
                      <w:rFonts w:hint="default" w:ascii="Times New Roman" w:hAnsi="Times New Roman" w:eastAsia="宋体" w:cs="Times New Roman"/>
                      <w:color w:val="auto"/>
                      <w:kern w:val="0"/>
                      <w:sz w:val="21"/>
                      <w:szCs w:val="21"/>
                      <w:lang w:val="en-US" w:eastAsia="zh-CN"/>
                    </w:rPr>
                  </w:pPr>
                  <w:r>
                    <w:rPr>
                      <w:rFonts w:hint="eastAsia" w:ascii="Times New Roman" w:hAnsi="Times New Roman" w:cs="Times New Roman"/>
                      <w:color w:val="auto"/>
                      <w:sz w:val="21"/>
                      <w:szCs w:val="21"/>
                      <w:lang w:val="en-US" w:eastAsia="zh-CN"/>
                    </w:rPr>
                    <w:t>施工结束后其地形地貌及植被不受影响</w:t>
                  </w:r>
                </w:p>
              </w:tc>
            </w:tr>
          </w:tbl>
          <w:p>
            <w:pPr>
              <w:pStyle w:val="17"/>
              <w:rPr>
                <w:rFonts w:hint="default" w:ascii="Times New Roman" w:hAnsi="Times New Roman" w:eastAsia="宋体" w:cs="Times New Roman"/>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7" w:type="dxa"/>
            <w:noWrap w:val="0"/>
            <w:vAlign w:val="center"/>
          </w:tcPr>
          <w:p>
            <w:pPr>
              <w:spacing w:line="360" w:lineRule="exact"/>
              <w:jc w:val="both"/>
              <w:rPr>
                <w:rFonts w:hint="default" w:ascii="Times New Roman" w:hAnsi="Times New Roman" w:cs="Times New Roman"/>
                <w:sz w:val="24"/>
                <w:szCs w:val="24"/>
              </w:rPr>
            </w:pPr>
            <w:r>
              <w:rPr>
                <w:rFonts w:hint="default" w:ascii="Times New Roman" w:hAnsi="Times New Roman" w:cs="Times New Roman"/>
                <w:sz w:val="24"/>
                <w:szCs w:val="24"/>
              </w:rPr>
              <w:t>调查</w:t>
            </w:r>
          </w:p>
          <w:p>
            <w:pPr>
              <w:spacing w:line="360" w:lineRule="exact"/>
              <w:jc w:val="center"/>
              <w:rPr>
                <w:rFonts w:hint="default" w:ascii="Times New Roman" w:hAnsi="Times New Roman" w:cs="Times New Roman"/>
                <w:sz w:val="24"/>
                <w:szCs w:val="24"/>
              </w:rPr>
            </w:pPr>
            <w:r>
              <w:rPr>
                <w:rFonts w:hint="default" w:ascii="Times New Roman" w:hAnsi="Times New Roman" w:cs="Times New Roman"/>
                <w:sz w:val="24"/>
                <w:szCs w:val="24"/>
              </w:rPr>
              <w:t>重点</w:t>
            </w:r>
          </w:p>
        </w:tc>
        <w:tc>
          <w:tcPr>
            <w:tcW w:w="7897" w:type="dxa"/>
            <w:noWrap w:val="0"/>
            <w:vAlign w:val="top"/>
          </w:tcPr>
          <w:p>
            <w:pPr>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本次竣工环境保护验收调查内容为：</w:t>
            </w:r>
          </w:p>
          <w:p>
            <w:pPr>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（1）核查实际工程内容、设计方案变更情况和环境保护措施变更情况。 </w:t>
            </w:r>
          </w:p>
          <w:p>
            <w:pPr>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（2）调查工程在施工和管理等方面落实环境影响报告表提出的环境保护 </w:t>
            </w:r>
          </w:p>
          <w:p>
            <w:pPr>
              <w:snapToGrid w:val="0"/>
              <w:spacing w:line="360" w:lineRule="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措施的情况，以及对各级环境保护行政主管部门批复要求的落实情况。 </w:t>
            </w:r>
          </w:p>
          <w:p>
            <w:pPr>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（3）调查该工程已采取的生态保护及污染控制措施，分析各项措施实施的有效性。 </w:t>
            </w:r>
          </w:p>
          <w:p>
            <w:pPr>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 xml:space="preserve">（4）调查探矿工程完成后针对产生的景观破坏等生态环境问题所采取的生态恢复措施进行有效性评估。根据现场考察，确定主要生态环境调查对象主要为施工占地的复土、绿化情况；有无国家重点保护植物以及移栽保护的记录；生态环境保护措施落实情况；如果环保措施未落实，提出生态环境保护保护措施的补救措施和建议。  </w:t>
            </w:r>
          </w:p>
          <w:p>
            <w:pPr>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w:t>
            </w: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）环境管理检查</w:t>
            </w:r>
          </w:p>
          <w:p>
            <w:pPr>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调查建设单位环境保护管理机构及规章制度的制定、执行情况，环境保护相关档案资料的齐备情况，环境影响评价报告中要求建设的环境保护设施的运行管理情况及环境监测计划的落实情况。</w:t>
            </w:r>
          </w:p>
          <w:p>
            <w:pPr>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r>
              <w:rPr>
                <w:rFonts w:hint="eastAsia" w:ascii="Times New Roman" w:hAnsi="Times New Roman" w:eastAsia="宋体" w:cs="Times New Roman"/>
                <w:color w:val="000000"/>
                <w:sz w:val="24"/>
                <w:szCs w:val="24"/>
                <w:lang w:val="en-US" w:eastAsia="zh-CN"/>
              </w:rPr>
              <w:t>6</w:t>
            </w:r>
            <w:r>
              <w:rPr>
                <w:rFonts w:hint="default" w:ascii="Times New Roman" w:hAnsi="Times New Roman" w:eastAsia="宋体" w:cs="Times New Roman"/>
                <w:color w:val="000000"/>
                <w:sz w:val="24"/>
                <w:szCs w:val="24"/>
              </w:rPr>
              <w:t>）工程环保投资情况</w:t>
            </w:r>
          </w:p>
          <w:p>
            <w:pPr>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重点调查工程是否按工程设计文件和批复文件要求落实各项环保措施的资金，各项环保设施和措施的实际投资情况。</w:t>
            </w:r>
          </w:p>
          <w:p>
            <w:pPr>
              <w:pStyle w:val="82"/>
              <w:rPr>
                <w:rFonts w:hint="default" w:ascii="Times New Roman" w:hAnsi="Times New Roman" w:eastAsia="宋体" w:cs="Times New Roman"/>
                <w:color w:val="000000"/>
                <w:sz w:val="24"/>
                <w:szCs w:val="24"/>
              </w:rPr>
            </w:pPr>
          </w:p>
          <w:p>
            <w:pPr>
              <w:pStyle w:val="82"/>
              <w:spacing w:line="240" w:lineRule="auto"/>
              <w:rPr>
                <w:rFonts w:hint="default" w:ascii="Times New Roman" w:hAnsi="Times New Roman" w:eastAsia="宋体" w:cs="Times New Roman"/>
                <w:color w:val="000000"/>
                <w:sz w:val="24"/>
                <w:szCs w:val="24"/>
              </w:rPr>
            </w:pPr>
          </w:p>
          <w:p>
            <w:pPr>
              <w:pStyle w:val="82"/>
              <w:rPr>
                <w:rFonts w:hint="default" w:ascii="Times New Roman" w:hAnsi="Times New Roman" w:eastAsia="宋体" w:cs="Times New Roman"/>
                <w:color w:val="000000"/>
                <w:sz w:val="24"/>
                <w:szCs w:val="24"/>
              </w:rPr>
            </w:pPr>
          </w:p>
          <w:p>
            <w:pPr>
              <w:pStyle w:val="82"/>
              <w:spacing w:line="240" w:lineRule="auto"/>
              <w:rPr>
                <w:rFonts w:hint="default" w:ascii="Times New Roman" w:hAnsi="Times New Roman" w:eastAsia="宋体" w:cs="Times New Roman"/>
                <w:color w:val="000000"/>
                <w:sz w:val="24"/>
                <w:szCs w:val="24"/>
              </w:rPr>
            </w:pPr>
          </w:p>
          <w:p>
            <w:pPr>
              <w:pStyle w:val="82"/>
              <w:spacing w:line="240" w:lineRule="auto"/>
              <w:rPr>
                <w:rFonts w:hint="default" w:ascii="Times New Roman" w:hAnsi="Times New Roman" w:eastAsia="宋体" w:cs="Times New Roman"/>
                <w:color w:val="000000"/>
                <w:sz w:val="24"/>
                <w:szCs w:val="24"/>
              </w:rPr>
            </w:pPr>
          </w:p>
          <w:p>
            <w:pPr>
              <w:pStyle w:val="43"/>
              <w:rPr>
                <w:rFonts w:hint="default" w:ascii="Times New Roman" w:hAnsi="Times New Roman" w:eastAsia="宋体" w:cs="Times New Roman"/>
                <w:color w:val="000000"/>
                <w:sz w:val="24"/>
                <w:szCs w:val="24"/>
              </w:rPr>
            </w:pPr>
          </w:p>
          <w:p>
            <w:pPr>
              <w:rPr>
                <w:rFonts w:hint="default" w:ascii="Times New Roman" w:hAnsi="Times New Roman" w:cs="Times New Roman"/>
              </w:rPr>
            </w:pPr>
          </w:p>
        </w:tc>
      </w:tr>
    </w:tbl>
    <w:p>
      <w:pPr>
        <w:pStyle w:val="2"/>
        <w:numPr>
          <w:ilvl w:val="0"/>
          <w:numId w:val="0"/>
        </w:numPr>
        <w:ind w:leftChars="0"/>
        <w:rPr>
          <w:rFonts w:hint="default" w:ascii="Times New Roman" w:hAnsi="Times New Roman" w:cs="Times New Roman"/>
          <w:sz w:val="28"/>
          <w:szCs w:val="28"/>
        </w:rPr>
      </w:pPr>
      <w:r>
        <w:rPr>
          <w:rFonts w:hint="default" w:ascii="Times New Roman" w:hAnsi="Times New Roman" w:cs="Times New Roman"/>
          <w:b/>
          <w:bCs w:val="0"/>
          <w:color w:val="auto"/>
          <w:sz w:val="28"/>
          <w:szCs w:val="28"/>
        </w:rPr>
        <w:br w:type="page"/>
      </w:r>
      <w:bookmarkStart w:id="2" w:name="_Toc22156"/>
      <w:bookmarkStart w:id="3" w:name="_Toc464201729"/>
      <w:r>
        <w:rPr>
          <w:rFonts w:hint="default" w:ascii="Times New Roman" w:hAnsi="Times New Roman" w:cs="Times New Roman"/>
          <w:b/>
          <w:bCs w:val="0"/>
          <w:sz w:val="28"/>
          <w:szCs w:val="28"/>
          <w:lang w:val="en-US" w:eastAsia="zh-CN"/>
        </w:rPr>
        <w:t>3.</w:t>
      </w:r>
      <w:r>
        <w:rPr>
          <w:rFonts w:hint="default" w:ascii="Times New Roman" w:hAnsi="Times New Roman" w:cs="Times New Roman"/>
          <w:b/>
          <w:bCs w:val="0"/>
          <w:sz w:val="28"/>
          <w:szCs w:val="28"/>
        </w:rPr>
        <w:t>验收执行标准</w:t>
      </w:r>
      <w:bookmarkEnd w:id="2"/>
      <w:bookmarkEnd w:id="3"/>
    </w:p>
    <w:tbl>
      <w:tblPr>
        <w:tblStyle w:val="4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79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66" w:hRule="atLeast"/>
          <w:jc w:val="center"/>
        </w:trPr>
        <w:tc>
          <w:tcPr>
            <w:tcW w:w="781" w:type="dxa"/>
            <w:noWrap w:val="0"/>
            <w:vAlign w:val="center"/>
          </w:tcPr>
          <w:p>
            <w:pPr>
              <w:spacing w:line="360" w:lineRule="exact"/>
              <w:jc w:val="center"/>
              <w:rPr>
                <w:rFonts w:hint="default" w:ascii="Times New Roman" w:hAnsi="Times New Roman" w:cs="Times New Roman"/>
                <w:sz w:val="24"/>
                <w:szCs w:val="24"/>
              </w:rPr>
            </w:pPr>
            <w:r>
              <w:rPr>
                <w:rFonts w:hint="default" w:ascii="Times New Roman" w:hAnsi="Times New Roman" w:cs="Times New Roman"/>
                <w:sz w:val="24"/>
                <w:szCs w:val="24"/>
              </w:rPr>
              <w:t>环境质量标准</w:t>
            </w:r>
          </w:p>
        </w:tc>
        <w:tc>
          <w:tcPr>
            <w:tcW w:w="7939" w:type="dxa"/>
            <w:noWrap w:val="0"/>
            <w:vAlign w:val="top"/>
          </w:tcPr>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（1）环境空气</w:t>
            </w:r>
          </w:p>
          <w:p>
            <w:pPr>
              <w:adjustRightInd w:val="0"/>
              <w:snapToGrid w:val="0"/>
              <w:spacing w:line="360" w:lineRule="auto"/>
              <w:ind w:firstLine="480" w:firstLineChars="200"/>
              <w:rPr>
                <w:rFonts w:hint="default" w:ascii="Times New Roman" w:hAnsi="Times New Roman" w:cs="Times New Roman"/>
                <w:kern w:val="0"/>
                <w:sz w:val="24"/>
                <w:szCs w:val="24"/>
              </w:rPr>
            </w:pPr>
            <w:r>
              <w:rPr>
                <w:rFonts w:hint="default" w:ascii="Times New Roman" w:hAnsi="Times New Roman" w:cs="Times New Roman"/>
                <w:kern w:val="0"/>
                <w:sz w:val="24"/>
                <w:szCs w:val="24"/>
              </w:rPr>
              <w:t>项目所在区域环境空气执行《环境空气质量</w:t>
            </w:r>
            <w:r>
              <w:rPr>
                <w:rFonts w:hint="default" w:ascii="Times New Roman" w:hAnsi="Times New Roman" w:eastAsia="宋体" w:cs="Times New Roman"/>
                <w:kern w:val="0"/>
                <w:sz w:val="24"/>
                <w:szCs w:val="24"/>
                <w:vertAlign w:val="baseline"/>
                <w:lang w:val="en-US" w:eastAsia="zh-CN" w:bidi="ar-SA"/>
              </w:rPr>
              <w:t>标准</w:t>
            </w:r>
            <w:r>
              <w:rPr>
                <w:rFonts w:hint="default" w:ascii="Times New Roman" w:hAnsi="Times New Roman" w:cs="Times New Roman"/>
                <w:kern w:val="0"/>
                <w:sz w:val="24"/>
                <w:szCs w:val="24"/>
              </w:rPr>
              <w:t>》（GB3095-2012）二级标准的有关规定，标准值</w:t>
            </w:r>
            <w:r>
              <w:rPr>
                <w:rFonts w:hint="default" w:ascii="Times New Roman" w:hAnsi="Times New Roman" w:cs="Times New Roman"/>
                <w:kern w:val="0"/>
                <w:sz w:val="24"/>
                <w:szCs w:val="24"/>
                <w:lang w:eastAsia="zh-CN"/>
              </w:rPr>
              <w:t>详</w:t>
            </w:r>
            <w:r>
              <w:rPr>
                <w:rFonts w:hint="default" w:ascii="Times New Roman" w:hAnsi="Times New Roman" w:cs="Times New Roman"/>
                <w:kern w:val="0"/>
                <w:sz w:val="24"/>
                <w:szCs w:val="24"/>
              </w:rPr>
              <w:t>见下表：</w:t>
            </w:r>
          </w:p>
          <w:p>
            <w:pPr>
              <w:adjustRightInd w:val="0"/>
              <w:snapToGrid w:val="0"/>
              <w:spacing w:line="360" w:lineRule="auto"/>
              <w:jc w:val="center"/>
              <w:rPr>
                <w:rFonts w:hint="default" w:ascii="Times New Roman" w:hAnsi="Times New Roman" w:cs="Times New Roman"/>
                <w:b/>
                <w:kern w:val="0"/>
                <w:sz w:val="24"/>
                <w:szCs w:val="24"/>
                <w:vertAlign w:val="superscript"/>
              </w:rPr>
            </w:pPr>
            <w:r>
              <w:rPr>
                <w:rFonts w:hint="default" w:ascii="Times New Roman" w:hAnsi="Times New Roman" w:cs="Times New Roman"/>
                <w:b/>
                <w:kern w:val="0"/>
                <w:sz w:val="24"/>
                <w:szCs w:val="24"/>
              </w:rPr>
              <w:t>表3-</w:t>
            </w:r>
            <w:r>
              <w:rPr>
                <w:rFonts w:hint="default" w:ascii="Times New Roman" w:hAnsi="Times New Roman" w:cs="Times New Roman"/>
                <w:b/>
                <w:kern w:val="0"/>
                <w:sz w:val="24"/>
                <w:szCs w:val="24"/>
                <w:lang w:val="en-US" w:eastAsia="zh-CN"/>
              </w:rPr>
              <w:t>1</w:t>
            </w:r>
            <w:r>
              <w:rPr>
                <w:rFonts w:hint="eastAsia" w:ascii="Times New Roman" w:hAnsi="Times New Roman" w:cs="Times New Roman"/>
                <w:b/>
                <w:kern w:val="0"/>
                <w:sz w:val="24"/>
                <w:szCs w:val="24"/>
                <w:lang w:val="en-US" w:eastAsia="zh-CN"/>
              </w:rPr>
              <w:t xml:space="preserve">   </w:t>
            </w:r>
            <w:r>
              <w:rPr>
                <w:rFonts w:hint="default" w:ascii="Times New Roman" w:hAnsi="Times New Roman" w:cs="Times New Roman"/>
                <w:b/>
                <w:kern w:val="0"/>
                <w:sz w:val="24"/>
                <w:szCs w:val="24"/>
              </w:rPr>
              <w:t>环境空气质量标准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9"/>
              <w:gridCol w:w="1690"/>
              <w:gridCol w:w="2095"/>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污染物项目</w:t>
                  </w:r>
                </w:p>
              </w:tc>
              <w:tc>
                <w:tcPr>
                  <w:tcW w:w="1690"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平均时间</w:t>
                  </w:r>
                </w:p>
              </w:tc>
              <w:tc>
                <w:tcPr>
                  <w:tcW w:w="2095"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浓度限值（二级）</w:t>
                  </w:r>
                </w:p>
              </w:tc>
              <w:tc>
                <w:tcPr>
                  <w:tcW w:w="994"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二氧化硫（SO</w:t>
                  </w:r>
                  <w:r>
                    <w:rPr>
                      <w:rFonts w:hint="default" w:ascii="Times New Roman" w:hAnsi="Times New Roman" w:cs="Times New Roman"/>
                      <w:color w:val="auto"/>
                      <w:szCs w:val="21"/>
                      <w:highlight w:val="none"/>
                      <w:vertAlign w:val="subscript"/>
                    </w:rPr>
                    <w:t>2</w:t>
                  </w:r>
                  <w:r>
                    <w:rPr>
                      <w:rFonts w:hint="default" w:ascii="Times New Roman" w:hAnsi="Times New Roman" w:cs="Times New Roman"/>
                      <w:color w:val="auto"/>
                      <w:szCs w:val="21"/>
                      <w:highlight w:val="none"/>
                    </w:rPr>
                    <w:t>）</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60</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二氧化氮（NO</w:t>
                  </w:r>
                  <w:r>
                    <w:rPr>
                      <w:rFonts w:hint="default" w:ascii="Times New Roman" w:hAnsi="Times New Roman" w:cs="Times New Roman"/>
                      <w:color w:val="auto"/>
                      <w:szCs w:val="21"/>
                      <w:highlight w:val="none"/>
                      <w:vertAlign w:val="subscript"/>
                    </w:rPr>
                    <w:t>2</w:t>
                  </w:r>
                  <w:r>
                    <w:rPr>
                      <w:rFonts w:hint="default" w:ascii="Times New Roman" w:hAnsi="Times New Roman" w:cs="Times New Roman"/>
                      <w:color w:val="auto"/>
                      <w:szCs w:val="21"/>
                      <w:highlight w:val="none"/>
                    </w:rPr>
                    <w:t>）</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40</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80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200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一氧化碳（CO）</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mg/m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pStyle w:val="196"/>
                    <w:rPr>
                      <w:rFonts w:hint="default" w:ascii="Times New Roman" w:hAnsi="Times New Roman" w:cs="Times New Roman"/>
                      <w:color w:val="auto"/>
                      <w:sz w:val="21"/>
                      <w:highlight w:val="none"/>
                    </w:rPr>
                  </w:pPr>
                  <w:r>
                    <w:rPr>
                      <w:rFonts w:hint="default" w:ascii="Times New Roman" w:hAnsi="Times New Roman" w:cs="Times New Roman"/>
                      <w:color w:val="auto"/>
                      <w:kern w:val="2"/>
                      <w:sz w:val="21"/>
                      <w:highlight w:val="none"/>
                    </w:rPr>
                    <w:t>总悬浮颗粒物（TSP）</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200</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300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pStyle w:val="196"/>
                    <w:rPr>
                      <w:rFonts w:hint="default" w:ascii="Times New Roman" w:hAnsi="Times New Roman" w:cs="Times New Roman"/>
                      <w:color w:val="auto"/>
                      <w:sz w:val="21"/>
                      <w:highlight w:val="none"/>
                    </w:rPr>
                  </w:pPr>
                  <w:r>
                    <w:rPr>
                      <w:rFonts w:hint="default" w:ascii="Times New Roman" w:hAnsi="Times New Roman" w:cs="Times New Roman"/>
                      <w:color w:val="auto"/>
                      <w:kern w:val="2"/>
                      <w:sz w:val="21"/>
                      <w:highlight w:val="none"/>
                    </w:rPr>
                    <w:t>氮氧化物（NO</w:t>
                  </w:r>
                  <w:r>
                    <w:rPr>
                      <w:rFonts w:hint="default" w:ascii="Times New Roman" w:hAnsi="Times New Roman" w:cs="Times New Roman"/>
                      <w:color w:val="auto"/>
                      <w:kern w:val="2"/>
                      <w:sz w:val="21"/>
                      <w:highlight w:val="none"/>
                      <w:vertAlign w:val="subscript"/>
                    </w:rPr>
                    <w:t>x</w:t>
                  </w:r>
                  <w:r>
                    <w:rPr>
                      <w:rFonts w:hint="default" w:ascii="Times New Roman" w:hAnsi="Times New Roman" w:cs="Times New Roman"/>
                      <w:color w:val="auto"/>
                      <w:kern w:val="2"/>
                      <w:sz w:val="21"/>
                      <w:highlight w:val="none"/>
                    </w:rPr>
                    <w:t>）</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250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pStyle w:val="196"/>
                    <w:rPr>
                      <w:rFonts w:hint="default" w:ascii="Times New Roman" w:hAnsi="Times New Roman" w:cs="Times New Roman"/>
                      <w:color w:val="auto"/>
                      <w:sz w:val="21"/>
                      <w:highlight w:val="none"/>
                    </w:rPr>
                  </w:pPr>
                  <w:r>
                    <w:rPr>
                      <w:rFonts w:hint="default" w:ascii="Times New Roman" w:hAnsi="Times New Roman" w:cs="Times New Roman"/>
                      <w:color w:val="auto"/>
                      <w:kern w:val="2"/>
                      <w:sz w:val="21"/>
                      <w:highlight w:val="none"/>
                    </w:rPr>
                    <w:t>颗粒物（粒径小于等于10μm）</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70</w:t>
                  </w:r>
                </w:p>
              </w:tc>
              <w:tc>
                <w:tcPr>
                  <w:tcW w:w="994" w:type="dxa"/>
                  <w:vMerge w:val="restart"/>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150</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899" w:type="dxa"/>
                  <w:vMerge w:val="restart"/>
                  <w:tcBorders>
                    <w:tl2br w:val="nil"/>
                    <w:tr2bl w:val="nil"/>
                  </w:tcBorders>
                  <w:noWrap w:val="0"/>
                  <w:vAlign w:val="center"/>
                </w:tcPr>
                <w:p>
                  <w:pPr>
                    <w:pStyle w:val="196"/>
                    <w:rPr>
                      <w:rFonts w:hint="default" w:ascii="Times New Roman" w:hAnsi="Times New Roman" w:cs="Times New Roman"/>
                      <w:color w:val="auto"/>
                      <w:kern w:val="2"/>
                      <w:sz w:val="21"/>
                      <w:highlight w:val="none"/>
                    </w:rPr>
                  </w:pPr>
                  <w:r>
                    <w:rPr>
                      <w:rFonts w:hint="default" w:ascii="Times New Roman" w:hAnsi="Times New Roman" w:cs="Times New Roman"/>
                      <w:color w:val="auto"/>
                      <w:kern w:val="2"/>
                      <w:sz w:val="21"/>
                      <w:highlight w:val="none"/>
                    </w:rPr>
                    <w:t>颗粒物（粒径小于等于2.5μm）</w:t>
                  </w: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年平均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35</w:t>
                  </w:r>
                </w:p>
              </w:tc>
              <w:tc>
                <w:tcPr>
                  <w:tcW w:w="994" w:type="dxa"/>
                  <w:vMerge w:val="restart"/>
                  <w:tcBorders>
                    <w:tl2br w:val="nil"/>
                    <w:tr2bl w:val="nil"/>
                  </w:tcBorders>
                  <w:noWrap w:val="0"/>
                  <w:vAlign w:val="center"/>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ug/m</w:t>
                  </w:r>
                  <w:r>
                    <w:rPr>
                      <w:rFonts w:hint="default" w:ascii="Times New Roman" w:hAnsi="Times New Roman" w:cs="Times New Roman"/>
                      <w:b/>
                      <w:color w:val="auto"/>
                      <w:szCs w:val="21"/>
                      <w:highlight w:val="none"/>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2899" w:type="dxa"/>
                  <w:vMerge w:val="continue"/>
                  <w:tcBorders>
                    <w:tl2br w:val="nil"/>
                    <w:tr2bl w:val="nil"/>
                  </w:tcBorders>
                  <w:noWrap w:val="0"/>
                  <w:vAlign w:val="center"/>
                </w:tcPr>
                <w:p>
                  <w:pPr>
                    <w:jc w:val="center"/>
                    <w:rPr>
                      <w:rFonts w:hint="default" w:ascii="Times New Roman" w:hAnsi="Times New Roman" w:cs="Times New Roman"/>
                      <w:color w:val="auto"/>
                      <w:highlight w:val="none"/>
                    </w:rPr>
                  </w:pPr>
                </w:p>
              </w:tc>
              <w:tc>
                <w:tcPr>
                  <w:tcW w:w="169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24小时平均</w:t>
                  </w:r>
                </w:p>
              </w:tc>
              <w:tc>
                <w:tcPr>
                  <w:tcW w:w="209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75</w:t>
                  </w:r>
                </w:p>
              </w:tc>
              <w:tc>
                <w:tcPr>
                  <w:tcW w:w="994"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kern w:val="0"/>
                <w:sz w:val="24"/>
                <w:szCs w:val="24"/>
              </w:rPr>
            </w:pPr>
            <w:r>
              <w:rPr>
                <w:rFonts w:hint="default" w:ascii="Times New Roman" w:hAnsi="Times New Roman" w:cs="Times New Roman"/>
                <w:b/>
                <w:kern w:val="0"/>
                <w:sz w:val="24"/>
                <w:szCs w:val="24"/>
              </w:rPr>
              <w:t>（</w:t>
            </w:r>
            <w:r>
              <w:rPr>
                <w:rFonts w:hint="eastAsia" w:ascii="Times New Roman" w:hAnsi="Times New Roman" w:cs="Times New Roman"/>
                <w:b/>
                <w:kern w:val="0"/>
                <w:sz w:val="24"/>
                <w:szCs w:val="24"/>
                <w:lang w:val="en-US" w:eastAsia="zh-CN"/>
              </w:rPr>
              <w:t>2</w:t>
            </w:r>
            <w:r>
              <w:rPr>
                <w:rFonts w:hint="default" w:ascii="Times New Roman" w:hAnsi="Times New Roman" w:cs="Times New Roman"/>
                <w:b/>
                <w:kern w:val="0"/>
                <w:sz w:val="24"/>
                <w:szCs w:val="24"/>
              </w:rPr>
              <w:t>）声环境</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lang w:val="en-US" w:eastAsia="zh-CN"/>
              </w:rPr>
            </w:pPr>
            <w:r>
              <w:rPr>
                <w:rFonts w:hint="default" w:ascii="Times New Roman" w:hAnsi="Times New Roman" w:eastAsia="宋体" w:cs="Times New Roman"/>
                <w:color w:val="auto"/>
                <w:kern w:val="0"/>
                <w:sz w:val="24"/>
                <w:szCs w:val="24"/>
                <w:lang w:val="en-US" w:eastAsia="zh-CN"/>
              </w:rPr>
              <w:t>本项目所在区域属农村地区，声环境质量执行《声环境质量标准》（GB3096-2008）中1类标准，标准限值见下表：</w:t>
            </w:r>
          </w:p>
          <w:p>
            <w:pPr>
              <w:adjustRightInd w:val="0"/>
              <w:spacing w:before="40" w:after="40" w:line="360" w:lineRule="auto"/>
              <w:jc w:val="center"/>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表3-</w:t>
            </w:r>
            <w:r>
              <w:rPr>
                <w:rFonts w:hint="eastAsia" w:ascii="Times New Roman" w:hAnsi="Times New Roman" w:cs="Times New Roman"/>
                <w:b/>
                <w:bCs/>
                <w:kern w:val="0"/>
                <w:sz w:val="24"/>
                <w:szCs w:val="24"/>
                <w:lang w:val="en-US" w:eastAsia="zh-CN"/>
              </w:rPr>
              <w:t xml:space="preserve">2   </w:t>
            </w:r>
            <w:r>
              <w:rPr>
                <w:rFonts w:hint="default" w:ascii="Times New Roman" w:hAnsi="Times New Roman" w:cs="Times New Roman"/>
                <w:b/>
                <w:bCs/>
                <w:kern w:val="0"/>
                <w:sz w:val="24"/>
                <w:szCs w:val="24"/>
              </w:rPr>
              <w:t>声环境质量标准单位：</w:t>
            </w:r>
            <w:r>
              <w:rPr>
                <w:rFonts w:hint="default" w:ascii="Times New Roman" w:hAnsi="Times New Roman" w:cs="Times New Roman"/>
                <w:b/>
                <w:color w:val="auto"/>
                <w:sz w:val="24"/>
                <w:szCs w:val="24"/>
                <w:highlight w:val="none"/>
              </w:rPr>
              <w:t>dB（A）</w:t>
            </w:r>
          </w:p>
          <w:tbl>
            <w:tblPr>
              <w:tblStyle w:val="44"/>
              <w:tblpPr w:leftFromText="180" w:rightFromText="180" w:vertAnchor="text" w:tblpX="1" w:tblpY="1"/>
              <w:tblOverlap w:val="never"/>
              <w:tblW w:w="7678"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8"/>
              <w:gridCol w:w="1636"/>
              <w:gridCol w:w="1526"/>
              <w:gridCol w:w="2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trPr>
              <w:tc>
                <w:tcPr>
                  <w:tcW w:w="1968" w:type="dxa"/>
                  <w:vMerge w:val="restart"/>
                  <w:tcBorders>
                    <w:tl2br w:val="nil"/>
                    <w:tr2bl w:val="nil"/>
                  </w:tcBorders>
                  <w:noWrap w:val="0"/>
                  <w:vAlign w:val="center"/>
                </w:tcPr>
                <w:p>
                  <w:pPr>
                    <w:jc w:val="center"/>
                    <w:rPr>
                      <w:rFonts w:hint="default" w:ascii="Times New Roman" w:hAnsi="Times New Roman" w:cs="Times New Roman"/>
                      <w:b/>
                      <w:bCs/>
                      <w:color w:val="auto"/>
                      <w:szCs w:val="21"/>
                      <w:highlight w:val="none"/>
                    </w:rPr>
                  </w:pPr>
                  <w:bookmarkStart w:id="4" w:name="OLE_LINK72"/>
                  <w:r>
                    <w:rPr>
                      <w:rFonts w:hint="default" w:ascii="Times New Roman" w:hAnsi="Times New Roman" w:cs="Times New Roman"/>
                      <w:b/>
                      <w:bCs/>
                      <w:color w:val="auto"/>
                      <w:szCs w:val="21"/>
                      <w:highlight w:val="none"/>
                    </w:rPr>
                    <w:t>声环境功能区类别</w:t>
                  </w:r>
                </w:p>
              </w:tc>
              <w:tc>
                <w:tcPr>
                  <w:tcW w:w="3162" w:type="dxa"/>
                  <w:gridSpan w:val="2"/>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时段</w:t>
                  </w:r>
                </w:p>
              </w:tc>
              <w:tc>
                <w:tcPr>
                  <w:tcW w:w="2548"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rPr>
              <w:tc>
                <w:tcPr>
                  <w:tcW w:w="1968" w:type="dxa"/>
                  <w:vMerge w:val="continue"/>
                  <w:tcBorders>
                    <w:tl2br w:val="nil"/>
                    <w:tr2bl w:val="nil"/>
                  </w:tcBorders>
                  <w:noWrap w:val="0"/>
                  <w:vAlign w:val="center"/>
                </w:tcPr>
                <w:p>
                  <w:pPr>
                    <w:jc w:val="center"/>
                    <w:rPr>
                      <w:rFonts w:hint="default" w:ascii="Times New Roman" w:hAnsi="Times New Roman" w:cs="Times New Roman"/>
                      <w:b/>
                      <w:bCs/>
                      <w:color w:val="auto"/>
                      <w:szCs w:val="21"/>
                      <w:highlight w:val="none"/>
                    </w:rPr>
                  </w:pPr>
                </w:p>
              </w:tc>
              <w:tc>
                <w:tcPr>
                  <w:tcW w:w="1636"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昼间</w:t>
                  </w:r>
                </w:p>
              </w:tc>
              <w:tc>
                <w:tcPr>
                  <w:tcW w:w="1526" w:type="dxa"/>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夜间</w:t>
                  </w:r>
                </w:p>
              </w:tc>
              <w:tc>
                <w:tcPr>
                  <w:tcW w:w="2548" w:type="dxa"/>
                  <w:vMerge w:val="restart"/>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《声环境质量标准》（GB3096-2008）</w:t>
                  </w:r>
                  <w:r>
                    <w:rPr>
                      <w:rFonts w:hint="default" w:ascii="Times New Roman" w:hAnsi="Times New Roman" w:cs="Times New Roman"/>
                      <w:b/>
                      <w:bCs/>
                      <w:color w:val="auto"/>
                      <w:szCs w:val="21"/>
                      <w:highlight w:val="none"/>
                      <w:lang w:val="en-US" w:eastAsia="zh-CN"/>
                    </w:rPr>
                    <w:t>1</w:t>
                  </w:r>
                  <w:r>
                    <w:rPr>
                      <w:rFonts w:hint="default" w:ascii="Times New Roman" w:hAnsi="Times New Roman" w:cs="Times New Roman"/>
                      <w:b/>
                      <w:bCs/>
                      <w:color w:val="auto"/>
                      <w:szCs w:val="21"/>
                      <w:highlight w:val="none"/>
                    </w:rPr>
                    <w:t>类标准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 w:hRule="atLeast"/>
              </w:trPr>
              <w:tc>
                <w:tcPr>
                  <w:tcW w:w="1968"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1</w:t>
                  </w:r>
                  <w:r>
                    <w:rPr>
                      <w:rFonts w:hint="default" w:ascii="Times New Roman" w:hAnsi="Times New Roman" w:cs="Times New Roman"/>
                      <w:color w:val="auto"/>
                      <w:szCs w:val="21"/>
                      <w:highlight w:val="none"/>
                    </w:rPr>
                    <w:t>类</w:t>
                  </w:r>
                </w:p>
              </w:tc>
              <w:tc>
                <w:tcPr>
                  <w:tcW w:w="1636" w:type="dxa"/>
                  <w:tcBorders>
                    <w:tl2br w:val="nil"/>
                    <w:tr2bl w:val="nil"/>
                  </w:tcBorders>
                  <w:noWrap w:val="0"/>
                  <w:vAlign w:val="center"/>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55</w:t>
                  </w:r>
                </w:p>
              </w:tc>
              <w:tc>
                <w:tcPr>
                  <w:tcW w:w="1526" w:type="dxa"/>
                  <w:tcBorders>
                    <w:tl2br w:val="nil"/>
                    <w:tr2bl w:val="nil"/>
                  </w:tcBorders>
                  <w:noWrap w:val="0"/>
                  <w:vAlign w:val="center"/>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45</w:t>
                  </w:r>
                </w:p>
              </w:tc>
              <w:tc>
                <w:tcPr>
                  <w:tcW w:w="2548" w:type="dxa"/>
                  <w:vMerge w:val="continue"/>
                  <w:tcBorders>
                    <w:tl2br w:val="nil"/>
                    <w:tr2bl w:val="nil"/>
                  </w:tcBorders>
                  <w:noWrap w:val="0"/>
                  <w:vAlign w:val="center"/>
                </w:tcPr>
                <w:p>
                  <w:pPr>
                    <w:jc w:val="center"/>
                    <w:rPr>
                      <w:rFonts w:hint="default" w:ascii="Times New Roman" w:hAnsi="Times New Roman" w:cs="Times New Roman"/>
                      <w:color w:val="auto"/>
                      <w:szCs w:val="21"/>
                      <w:highlight w:val="none"/>
                    </w:rPr>
                  </w:pPr>
                </w:p>
              </w:tc>
            </w:tr>
            <w:bookmarkEnd w:id="4"/>
          </w:tbl>
          <w:p>
            <w:pPr>
              <w:spacing w:line="360" w:lineRule="auto"/>
              <w:ind w:firstLine="482" w:firstLineChars="200"/>
              <w:rPr>
                <w:rFonts w:hint="default" w:ascii="Times New Roman" w:hAnsi="Times New Roman" w:cs="Times New Roman"/>
                <w:b/>
                <w:bCs w:val="0"/>
                <w:snapToGrid w:val="0"/>
                <w:sz w:val="24"/>
                <w:szCs w:val="24"/>
                <w:lang w:eastAsia="zh-CN"/>
              </w:rPr>
            </w:pPr>
            <w:r>
              <w:rPr>
                <w:rFonts w:hint="eastAsia" w:ascii="Times New Roman" w:hAnsi="Times New Roman" w:cs="Times New Roman"/>
                <w:b/>
                <w:bCs w:val="0"/>
                <w:snapToGrid w:val="0"/>
                <w:sz w:val="24"/>
                <w:szCs w:val="24"/>
                <w:lang w:val="en-US" w:eastAsia="zh-CN"/>
              </w:rPr>
              <w:t>（3）</w:t>
            </w:r>
            <w:r>
              <w:rPr>
                <w:rFonts w:hint="default" w:ascii="Times New Roman" w:hAnsi="Times New Roman" w:cs="Times New Roman"/>
                <w:b/>
                <w:bCs w:val="0"/>
                <w:snapToGrid w:val="0"/>
                <w:sz w:val="24"/>
                <w:szCs w:val="24"/>
                <w:lang w:val="en-US" w:eastAsia="zh-CN"/>
              </w:rPr>
              <w:t>生态质量评价标准</w:t>
            </w:r>
          </w:p>
          <w:p>
            <w:pPr>
              <w:pStyle w:val="6"/>
              <w:ind w:left="0" w:leftChars="0" w:firstLine="480" w:firstLineChars="200"/>
              <w:rPr>
                <w:rFonts w:hint="default" w:ascii="Times New Roman" w:hAnsi="Times New Roman" w:cs="Times New Roman"/>
                <w:lang w:val="en-US" w:eastAsia="zh-CN"/>
              </w:rPr>
            </w:pPr>
            <w:r>
              <w:rPr>
                <w:rFonts w:hint="default" w:ascii="Times New Roman" w:hAnsi="Times New Roman" w:cs="Times New Roman"/>
                <w:bCs/>
                <w:snapToGrid w:val="0"/>
                <w:color w:val="000000"/>
                <w:sz w:val="24"/>
                <w:szCs w:val="24"/>
                <w:lang w:val="en-US" w:eastAsia="zh-CN"/>
              </w:rPr>
              <w:t xml:space="preserve">根据《环境影响评价技术导则 生态影响》（HJ19-2022）5.2.2中对生态影响判定依据的要求，生态环境质量评价标准为所在地区及相似区域生态背景值或本底值、生态阈值或引用具有时效性的相关权威文献数据等。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1" w:type="dxa"/>
            <w:noWrap w:val="0"/>
            <w:vAlign w:val="center"/>
          </w:tcPr>
          <w:p>
            <w:pPr>
              <w:spacing w:line="360" w:lineRule="exact"/>
              <w:jc w:val="center"/>
              <w:rPr>
                <w:rFonts w:hint="default" w:ascii="Times New Roman" w:hAnsi="Times New Roman" w:cs="Times New Roman"/>
                <w:sz w:val="24"/>
              </w:rPr>
            </w:pPr>
            <w:r>
              <w:rPr>
                <w:rFonts w:hint="default" w:ascii="Times New Roman" w:hAnsi="Times New Roman" w:cs="Times New Roman"/>
                <w:sz w:val="24"/>
              </w:rPr>
              <w:t>污染物排放标准</w:t>
            </w:r>
          </w:p>
        </w:tc>
        <w:tc>
          <w:tcPr>
            <w:tcW w:w="7939" w:type="dxa"/>
            <w:noWrap w:val="0"/>
            <w:vAlign w:val="top"/>
          </w:tcPr>
          <w:p>
            <w:pPr>
              <w:adjustRightInd w:val="0"/>
              <w:snapToGrid w:val="0"/>
              <w:spacing w:line="360" w:lineRule="auto"/>
              <w:ind w:firstLine="482" w:firstLineChars="200"/>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（1）大气污染物排放标准</w:t>
            </w:r>
          </w:p>
          <w:p>
            <w:pPr>
              <w:adjustRightInd w:val="0"/>
              <w:snapToGrid w:val="0"/>
              <w:spacing w:line="360" w:lineRule="auto"/>
              <w:ind w:firstLine="480" w:firstLineChars="200"/>
              <w:rPr>
                <w:rFonts w:hint="default" w:ascii="Times New Roman" w:hAnsi="Times New Roman" w:cs="Times New Roman"/>
                <w:b w:val="0"/>
                <w:bCs w:val="0"/>
                <w:kern w:val="0"/>
                <w:sz w:val="24"/>
                <w:szCs w:val="24"/>
                <w:lang w:val="en-US" w:eastAsia="zh-CN" w:bidi="ar-SA"/>
              </w:rPr>
            </w:pPr>
            <w:r>
              <w:rPr>
                <w:rFonts w:hint="default" w:ascii="Times New Roman" w:hAnsi="Times New Roman" w:cs="Times New Roman"/>
                <w:kern w:val="0"/>
                <w:sz w:val="24"/>
                <w:szCs w:val="24"/>
                <w:lang w:val="en-US" w:eastAsia="zh-CN"/>
              </w:rPr>
              <w:t>本项目区为环境空气质量功能区二类区，大气污染物排放主要是施工期颗粒物无组织排放，其排放标准执行《大气污染物综合排放标准》（GB16297-1996）。标准值详见下表</w:t>
            </w:r>
            <w:r>
              <w:rPr>
                <w:rFonts w:hint="default" w:ascii="Times New Roman" w:hAnsi="Times New Roman" w:cs="Times New Roman"/>
                <w:b w:val="0"/>
                <w:bCs w:val="0"/>
                <w:kern w:val="0"/>
                <w:sz w:val="24"/>
                <w:szCs w:val="24"/>
                <w:lang w:val="en-US" w:eastAsia="zh-CN" w:bidi="ar-SA"/>
              </w:rPr>
              <w:t>。</w:t>
            </w:r>
          </w:p>
          <w:p>
            <w:pPr>
              <w:adjustRightInd w:val="0"/>
              <w:snapToGrid w:val="0"/>
              <w:spacing w:line="360" w:lineRule="auto"/>
              <w:jc w:val="center"/>
              <w:rPr>
                <w:rFonts w:hint="default" w:ascii="Times New Roman" w:hAnsi="Times New Roman" w:cs="Times New Roman"/>
                <w:sz w:val="24"/>
                <w:szCs w:val="24"/>
                <w:lang w:val="en-US" w:eastAsia="zh-CN"/>
              </w:rPr>
            </w:pPr>
            <w:r>
              <w:rPr>
                <w:rFonts w:hint="default" w:ascii="Times New Roman" w:hAnsi="Times New Roman" w:cs="Times New Roman"/>
                <w:b/>
                <w:bCs/>
                <w:sz w:val="24"/>
                <w:szCs w:val="24"/>
                <w:lang w:val="en-US" w:eastAsia="zh-CN"/>
              </w:rPr>
              <w:t>表3-</w:t>
            </w:r>
            <w:r>
              <w:rPr>
                <w:rFonts w:hint="eastAsia" w:ascii="Times New Roman" w:hAnsi="Times New Roman" w:cs="Times New Roman"/>
                <w:b/>
                <w:bCs/>
                <w:sz w:val="24"/>
                <w:szCs w:val="24"/>
                <w:lang w:val="en-US" w:eastAsia="zh-CN"/>
              </w:rPr>
              <w:t xml:space="preserve">3   </w:t>
            </w:r>
            <w:r>
              <w:rPr>
                <w:rFonts w:hint="default" w:ascii="Times New Roman" w:hAnsi="Times New Roman" w:cs="Times New Roman"/>
                <w:b/>
                <w:bCs/>
                <w:color w:val="auto"/>
                <w:sz w:val="24"/>
                <w:szCs w:val="24"/>
                <w:highlight w:val="none"/>
              </w:rPr>
              <w:t>大气污染物综合排放标准限值一览表单位：mg/L</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1"/>
              <w:gridCol w:w="1529"/>
              <w:gridCol w:w="2314"/>
              <w:gridCol w:w="2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 w:hRule="atLeast"/>
                <w:jc w:val="center"/>
              </w:trPr>
              <w:tc>
                <w:tcPr>
                  <w:tcW w:w="1541" w:type="dxa"/>
                  <w:vMerge w:val="restart"/>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功能区类别</w:t>
                  </w:r>
                </w:p>
              </w:tc>
              <w:tc>
                <w:tcPr>
                  <w:tcW w:w="1529" w:type="dxa"/>
                  <w:vMerge w:val="restart"/>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污染物</w:t>
                  </w:r>
                </w:p>
              </w:tc>
              <w:tc>
                <w:tcPr>
                  <w:tcW w:w="4629" w:type="dxa"/>
                  <w:gridSpan w:val="2"/>
                  <w:tcBorders>
                    <w:tl2br w:val="nil"/>
                    <w:tr2bl w:val="nil"/>
                  </w:tcBorders>
                  <w:noWrap w:val="0"/>
                  <w:vAlign w:val="center"/>
                </w:tcPr>
                <w:p>
                  <w:pPr>
                    <w:jc w:val="center"/>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无组织排放监控浓度限值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541" w:type="dxa"/>
                  <w:vMerge w:val="continue"/>
                  <w:tcBorders>
                    <w:tl2br w:val="nil"/>
                    <w:tr2bl w:val="nil"/>
                  </w:tcBorders>
                  <w:noWrap w:val="0"/>
                  <w:vAlign w:val="center"/>
                </w:tcPr>
                <w:p>
                  <w:pPr>
                    <w:jc w:val="center"/>
                    <w:rPr>
                      <w:rFonts w:hint="default" w:ascii="Times New Roman" w:hAnsi="Times New Roman" w:cs="Times New Roman"/>
                      <w:b/>
                      <w:bCs/>
                      <w:color w:val="auto"/>
                      <w:highlight w:val="none"/>
                    </w:rPr>
                  </w:pPr>
                </w:p>
              </w:tc>
              <w:tc>
                <w:tcPr>
                  <w:tcW w:w="1529" w:type="dxa"/>
                  <w:vMerge w:val="continue"/>
                  <w:tcBorders>
                    <w:tl2br w:val="nil"/>
                    <w:tr2bl w:val="nil"/>
                  </w:tcBorders>
                  <w:noWrap w:val="0"/>
                  <w:vAlign w:val="center"/>
                </w:tcPr>
                <w:p>
                  <w:pPr>
                    <w:jc w:val="center"/>
                    <w:rPr>
                      <w:rFonts w:hint="default" w:ascii="Times New Roman" w:hAnsi="Times New Roman" w:cs="Times New Roman"/>
                      <w:b/>
                      <w:bCs/>
                      <w:color w:val="auto"/>
                      <w:highlight w:val="none"/>
                    </w:rPr>
                  </w:pPr>
                </w:p>
              </w:tc>
              <w:tc>
                <w:tcPr>
                  <w:tcW w:w="2314" w:type="dxa"/>
                  <w:tcBorders>
                    <w:tl2br w:val="nil"/>
                    <w:tr2bl w:val="nil"/>
                  </w:tcBorders>
                  <w:noWrap w:val="0"/>
                  <w:vAlign w:val="center"/>
                </w:tcPr>
                <w:p>
                  <w:pPr>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监控点</w:t>
                  </w:r>
                </w:p>
              </w:tc>
              <w:tc>
                <w:tcPr>
                  <w:tcW w:w="2315" w:type="dxa"/>
                  <w:tcBorders>
                    <w:tl2br w:val="nil"/>
                    <w:tr2bl w:val="nil"/>
                  </w:tcBorders>
                  <w:noWrap w:val="0"/>
                  <w:vAlign w:val="center"/>
                </w:tcPr>
                <w:p>
                  <w:pPr>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541"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二类区</w:t>
                  </w:r>
                </w:p>
              </w:tc>
              <w:tc>
                <w:tcPr>
                  <w:tcW w:w="1529"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颗粒物</w:t>
                  </w:r>
                </w:p>
              </w:tc>
              <w:tc>
                <w:tcPr>
                  <w:tcW w:w="2314"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周界外浓度最高点</w:t>
                  </w:r>
                </w:p>
              </w:tc>
              <w:tc>
                <w:tcPr>
                  <w:tcW w:w="2315"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w:t>
            </w:r>
            <w:r>
              <w:rPr>
                <w:rFonts w:hint="eastAsia" w:ascii="Times New Roman" w:hAnsi="Times New Roman" w:cs="Times New Roman"/>
                <w:b/>
                <w:bCs/>
                <w:kern w:val="0"/>
                <w:sz w:val="24"/>
                <w:szCs w:val="24"/>
                <w:lang w:val="en-US" w:eastAsia="zh-CN"/>
              </w:rPr>
              <w:t>2</w:t>
            </w:r>
            <w:r>
              <w:rPr>
                <w:rFonts w:hint="default" w:ascii="Times New Roman" w:hAnsi="Times New Roman" w:cs="Times New Roman"/>
                <w:b/>
                <w:bCs/>
                <w:kern w:val="0"/>
                <w:sz w:val="24"/>
                <w:szCs w:val="24"/>
              </w:rPr>
              <w:t>）噪声排放标准</w:t>
            </w:r>
          </w:p>
          <w:p>
            <w:pPr>
              <w:adjustRightInd w:val="0"/>
              <w:snapToGrid w:val="0"/>
              <w:spacing w:line="360" w:lineRule="auto"/>
              <w:ind w:firstLine="480" w:firstLineChars="200"/>
              <w:rPr>
                <w:rFonts w:hint="default" w:ascii="Times New Roman" w:hAnsi="Times New Roman" w:cs="Times New Roman"/>
                <w:kern w:val="0"/>
                <w:sz w:val="24"/>
                <w:szCs w:val="24"/>
              </w:rPr>
            </w:pPr>
            <w:r>
              <w:rPr>
                <w:rFonts w:hint="default" w:ascii="Times New Roman" w:hAnsi="Times New Roman" w:cs="Times New Roman"/>
                <w:color w:val="auto"/>
                <w:sz w:val="24"/>
                <w:szCs w:val="32"/>
                <w:highlight w:val="none"/>
              </w:rPr>
              <w:t>本项目施工期产生的噪声执行《建筑施工场界环境噪声排放标准》（GB12523-2011）；</w:t>
            </w:r>
            <w:r>
              <w:rPr>
                <w:rFonts w:hint="eastAsia" w:ascii="Times New Roman" w:hAnsi="Times New Roman" w:cs="Times New Roman"/>
                <w:color w:val="auto"/>
                <w:sz w:val="24"/>
                <w:szCs w:val="32"/>
                <w:highlight w:val="none"/>
                <w:lang w:val="en-US" w:eastAsia="zh-CN"/>
              </w:rPr>
              <w:t>具体详见下表</w:t>
            </w:r>
            <w:r>
              <w:rPr>
                <w:rFonts w:hint="default" w:ascii="Times New Roman" w:hAnsi="Times New Roman" w:cs="Times New Roman"/>
                <w:kern w:val="0"/>
                <w:sz w:val="24"/>
                <w:szCs w:val="24"/>
              </w:rPr>
              <w:t>：</w:t>
            </w:r>
          </w:p>
          <w:p>
            <w:pPr>
              <w:spacing w:line="360" w:lineRule="auto"/>
              <w:jc w:val="center"/>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表</w:t>
            </w:r>
            <w:r>
              <w:rPr>
                <w:rFonts w:hint="default" w:ascii="Times New Roman" w:hAnsi="Times New Roman" w:cs="Times New Roman"/>
                <w:b/>
                <w:color w:val="auto"/>
                <w:sz w:val="24"/>
                <w:szCs w:val="24"/>
                <w:highlight w:val="none"/>
                <w:lang w:val="en-US" w:eastAsia="zh-CN"/>
              </w:rPr>
              <w:t>3</w:t>
            </w:r>
            <w:r>
              <w:rPr>
                <w:rFonts w:hint="default" w:ascii="Times New Roman" w:hAnsi="Times New Roman" w:cs="Times New Roman"/>
                <w:b/>
                <w:color w:val="auto"/>
                <w:sz w:val="24"/>
                <w:szCs w:val="24"/>
                <w:highlight w:val="none"/>
              </w:rPr>
              <w:t>-</w:t>
            </w:r>
            <w:r>
              <w:rPr>
                <w:rFonts w:hint="eastAsia" w:ascii="Times New Roman" w:hAnsi="Times New Roman" w:cs="Times New Roman"/>
                <w:b/>
                <w:color w:val="auto"/>
                <w:sz w:val="24"/>
                <w:szCs w:val="24"/>
                <w:highlight w:val="none"/>
                <w:lang w:val="en-US" w:eastAsia="zh-CN"/>
              </w:rPr>
              <w:t xml:space="preserve">4   </w:t>
            </w:r>
            <w:r>
              <w:rPr>
                <w:rFonts w:hint="default" w:ascii="Times New Roman" w:hAnsi="Times New Roman" w:cs="Times New Roman"/>
                <w:b/>
                <w:color w:val="auto"/>
                <w:sz w:val="24"/>
                <w:szCs w:val="24"/>
                <w:highlight w:val="none"/>
              </w:rPr>
              <w:t>施工期噪声排放标准限值单位：dB（A）</w:t>
            </w:r>
          </w:p>
          <w:tbl>
            <w:tblPr>
              <w:tblStyle w:val="44"/>
              <w:tblW w:w="7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142"/>
              <w:gridCol w:w="2710"/>
              <w:gridCol w:w="2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2142" w:type="dxa"/>
                  <w:tcBorders>
                    <w:tl2br w:val="nil"/>
                    <w:tr2bl w:val="nil"/>
                  </w:tcBorders>
                  <w:noWrap w:val="0"/>
                  <w:vAlign w:val="center"/>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2710" w:type="dxa"/>
                  <w:tcBorders>
                    <w:tl2br w:val="nil"/>
                    <w:tr2bl w:val="nil"/>
                  </w:tcBorders>
                  <w:noWrap w:val="0"/>
                  <w:vAlign w:val="center"/>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昼间</w:t>
                  </w:r>
                </w:p>
              </w:tc>
              <w:tc>
                <w:tcPr>
                  <w:tcW w:w="2806" w:type="dxa"/>
                  <w:tcBorders>
                    <w:tl2br w:val="nil"/>
                    <w:tr2bl w:val="nil"/>
                  </w:tcBorders>
                  <w:noWrap w:val="0"/>
                  <w:vAlign w:val="center"/>
                </w:tcPr>
                <w:p>
                  <w:pPr>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3" w:hRule="atLeast"/>
                <w:jc w:val="center"/>
              </w:trPr>
              <w:tc>
                <w:tcPr>
                  <w:tcW w:w="2142"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1</w:t>
                  </w:r>
                </w:p>
              </w:tc>
              <w:tc>
                <w:tcPr>
                  <w:tcW w:w="2710"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70</w:t>
                  </w:r>
                </w:p>
              </w:tc>
              <w:tc>
                <w:tcPr>
                  <w:tcW w:w="2806" w:type="dxa"/>
                  <w:tcBorders>
                    <w:tl2br w:val="nil"/>
                    <w:tr2bl w:val="nil"/>
                  </w:tcBorders>
                  <w:noWrap w:val="0"/>
                  <w:vAlign w:val="center"/>
                </w:tcPr>
                <w:p>
                  <w:pPr>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55</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cs="Times New Roman"/>
                <w:b/>
                <w:bCs/>
                <w:kern w:val="0"/>
                <w:sz w:val="24"/>
                <w:szCs w:val="24"/>
              </w:rPr>
            </w:pPr>
            <w:r>
              <w:rPr>
                <w:rFonts w:hint="default" w:ascii="Times New Roman" w:hAnsi="Times New Roman" w:cs="Times New Roman"/>
                <w:b/>
                <w:bCs/>
                <w:kern w:val="0"/>
                <w:sz w:val="24"/>
                <w:szCs w:val="24"/>
              </w:rPr>
              <w:t>（</w:t>
            </w:r>
            <w:r>
              <w:rPr>
                <w:rFonts w:hint="eastAsia" w:ascii="Times New Roman" w:hAnsi="Times New Roman" w:cs="Times New Roman"/>
                <w:b/>
                <w:bCs/>
                <w:kern w:val="0"/>
                <w:sz w:val="24"/>
                <w:szCs w:val="24"/>
                <w:lang w:val="en-US" w:eastAsia="zh-CN"/>
              </w:rPr>
              <w:t>3</w:t>
            </w:r>
            <w:r>
              <w:rPr>
                <w:rFonts w:hint="default" w:ascii="Times New Roman" w:hAnsi="Times New Roman" w:cs="Times New Roman"/>
                <w:b/>
                <w:bCs/>
                <w:kern w:val="0"/>
                <w:sz w:val="24"/>
                <w:szCs w:val="24"/>
              </w:rPr>
              <w:t>）固体废物控制标准</w:t>
            </w:r>
          </w:p>
          <w:p>
            <w:pPr>
              <w:adjustRightInd w:val="0"/>
              <w:snapToGrid w:val="0"/>
              <w:spacing w:line="360" w:lineRule="auto"/>
              <w:ind w:firstLine="480" w:firstLineChars="200"/>
              <w:rPr>
                <w:rFonts w:hint="default" w:ascii="Times New Roman" w:hAnsi="Times New Roman" w:cs="Times New Roman"/>
                <w:lang w:val="en-US" w:eastAsia="zh-CN"/>
              </w:rPr>
            </w:pPr>
            <w:r>
              <w:rPr>
                <w:rFonts w:hint="default" w:ascii="Times New Roman" w:hAnsi="Times New Roman" w:eastAsia="宋体" w:cs="Times New Roman"/>
                <w:color w:val="auto"/>
                <w:sz w:val="24"/>
                <w:szCs w:val="32"/>
                <w:highlight w:val="none"/>
              </w:rPr>
              <w:t>一般固废处置执行《一般工业</w:t>
            </w:r>
            <w:r>
              <w:rPr>
                <w:rFonts w:hint="default" w:ascii="Times New Roman" w:hAnsi="Times New Roman" w:eastAsia="宋体" w:cs="Times New Roman"/>
                <w:color w:val="auto"/>
                <w:sz w:val="24"/>
                <w:szCs w:val="32"/>
                <w:highlight w:val="none"/>
              </w:rPr>
              <w:fldChar w:fldCharType="begin"/>
            </w:r>
            <w:r>
              <w:rPr>
                <w:rFonts w:hint="default" w:ascii="Times New Roman" w:hAnsi="Times New Roman" w:eastAsia="宋体" w:cs="Times New Roman"/>
                <w:color w:val="auto"/>
                <w:sz w:val="24"/>
                <w:szCs w:val="32"/>
                <w:highlight w:val="none"/>
              </w:rPr>
              <w:instrText xml:space="preserve">HYPERLINK"https://huanbao.bjx.com.cn/hot/hot_233297.shtml"\o"固体废物贮存新闻专题"\t"https://huanbao.bjx.com.cn/news/20201219/_blank"</w:instrText>
            </w:r>
            <w:r>
              <w:rPr>
                <w:rFonts w:hint="default" w:ascii="Times New Roman" w:hAnsi="Times New Roman" w:eastAsia="宋体" w:cs="Times New Roman"/>
                <w:color w:val="auto"/>
                <w:sz w:val="24"/>
                <w:szCs w:val="32"/>
                <w:highlight w:val="none"/>
              </w:rPr>
              <w:fldChar w:fldCharType="separate"/>
            </w:r>
            <w:r>
              <w:rPr>
                <w:rFonts w:hint="default" w:ascii="Times New Roman" w:hAnsi="Times New Roman" w:eastAsia="宋体" w:cs="Times New Roman"/>
                <w:color w:val="auto"/>
                <w:sz w:val="24"/>
                <w:szCs w:val="32"/>
                <w:highlight w:val="none"/>
              </w:rPr>
              <w:t>固体废物贮存</w:t>
            </w:r>
            <w:r>
              <w:rPr>
                <w:rFonts w:hint="default" w:ascii="Times New Roman" w:hAnsi="Times New Roman" w:eastAsia="宋体" w:cs="Times New Roman"/>
                <w:color w:val="auto"/>
                <w:sz w:val="24"/>
                <w:szCs w:val="32"/>
                <w:highlight w:val="none"/>
              </w:rPr>
              <w:fldChar w:fldCharType="end"/>
            </w:r>
            <w:r>
              <w:rPr>
                <w:rFonts w:hint="default" w:ascii="Times New Roman" w:hAnsi="Times New Roman" w:eastAsia="宋体" w:cs="Times New Roman"/>
                <w:color w:val="auto"/>
                <w:sz w:val="24"/>
                <w:szCs w:val="32"/>
                <w:highlight w:val="none"/>
              </w:rPr>
              <w:t>和填埋污染控制标准》（GB 18599-2020)中有关规定</w:t>
            </w:r>
            <w:r>
              <w:rPr>
                <w:rFonts w:hint="default" w:ascii="Times New Roman" w:hAnsi="Times New Roman" w:eastAsia="宋体" w:cs="Times New Roman"/>
                <w:color w:val="auto"/>
                <w:sz w:val="24"/>
                <w:szCs w:val="32"/>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1" w:type="dxa"/>
            <w:noWrap w:val="0"/>
            <w:vAlign w:val="center"/>
          </w:tcPr>
          <w:p>
            <w:pPr>
              <w:spacing w:line="360" w:lineRule="exact"/>
              <w:jc w:val="center"/>
              <w:rPr>
                <w:rFonts w:hint="default" w:ascii="Times New Roman" w:hAnsi="Times New Roman" w:cs="Times New Roman"/>
                <w:sz w:val="24"/>
              </w:rPr>
            </w:pPr>
            <w:r>
              <w:rPr>
                <w:rFonts w:hint="default" w:ascii="Times New Roman" w:hAnsi="Times New Roman" w:cs="Times New Roman"/>
                <w:sz w:val="24"/>
              </w:rPr>
              <w:t>总量控制指标</w:t>
            </w:r>
          </w:p>
        </w:tc>
        <w:tc>
          <w:tcPr>
            <w:tcW w:w="7939" w:type="dxa"/>
            <w:noWrap w:val="0"/>
            <w:vAlign w:val="top"/>
          </w:tcPr>
          <w:p>
            <w:pPr>
              <w:adjustRightInd w:val="0"/>
              <w:snapToGrid w:val="0"/>
              <w:spacing w:line="460" w:lineRule="exact"/>
              <w:ind w:right="-29" w:rightChars="-14"/>
              <w:outlineLvl w:val="0"/>
              <w:rPr>
                <w:rFonts w:hint="default" w:ascii="Times New Roman" w:hAnsi="Times New Roman" w:cs="Times New Roman"/>
                <w:color w:val="000000"/>
                <w:sz w:val="24"/>
                <w:szCs w:val="28"/>
              </w:rPr>
            </w:pPr>
          </w:p>
          <w:p>
            <w:pPr>
              <w:pStyle w:val="86"/>
              <w:ind w:right="-29" w:rightChars="-14"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eastAsia="zh-CN"/>
              </w:rPr>
              <w:t>根据国家对实施污染物总量控制的要求，本项目运营期无污染物排放，故无需进行总量申请和控制</w:t>
            </w:r>
            <w:r>
              <w:rPr>
                <w:rFonts w:hint="default" w:ascii="Times New Roman" w:hAnsi="Times New Roman" w:eastAsia="宋体" w:cs="Times New Roman"/>
                <w:sz w:val="24"/>
                <w:szCs w:val="24"/>
              </w:rPr>
              <w:t>。</w:t>
            </w:r>
          </w:p>
          <w:p>
            <w:pPr>
              <w:pStyle w:val="86"/>
              <w:ind w:right="-29" w:rightChars="-14" w:firstLine="480" w:firstLineChars="20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36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spacing w:line="240" w:lineRule="auto"/>
              <w:ind w:right="-29" w:rightChars="-14" w:firstLine="480" w:firstLineChars="20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spacing w:line="360" w:lineRule="auto"/>
              <w:ind w:left="0" w:leftChars="0" w:right="-29" w:rightChars="-14" w:firstLine="0" w:firstLineChars="0"/>
              <w:rPr>
                <w:rFonts w:hint="default" w:ascii="Times New Roman" w:hAnsi="Times New Roman" w:eastAsia="宋体" w:cs="Times New Roman"/>
                <w:sz w:val="24"/>
                <w:szCs w:val="24"/>
              </w:rPr>
            </w:pPr>
          </w:p>
          <w:p>
            <w:pPr>
              <w:pStyle w:val="86"/>
              <w:ind w:right="-29" w:rightChars="-14" w:firstLine="480" w:firstLineChars="200"/>
              <w:rPr>
                <w:rFonts w:hint="default" w:ascii="Times New Roman" w:hAnsi="Times New Roman" w:eastAsia="宋体" w:cs="Times New Roman"/>
                <w:sz w:val="24"/>
                <w:szCs w:val="24"/>
              </w:rPr>
            </w:pPr>
          </w:p>
          <w:p>
            <w:pPr>
              <w:pStyle w:val="86"/>
              <w:ind w:right="-29" w:rightChars="-14" w:firstLine="0" w:firstLineChars="0"/>
              <w:rPr>
                <w:rFonts w:hint="default" w:ascii="Times New Roman" w:hAnsi="Times New Roman" w:cs="Times New Roman"/>
                <w:sz w:val="24"/>
                <w:szCs w:val="24"/>
                <w:lang w:val="en-US" w:eastAsia="zh-CN"/>
              </w:rPr>
            </w:pPr>
          </w:p>
        </w:tc>
      </w:tr>
    </w:tbl>
    <w:p>
      <w:pPr>
        <w:pStyle w:val="2"/>
        <w:numPr>
          <w:ilvl w:val="0"/>
          <w:numId w:val="0"/>
        </w:numPr>
        <w:ind w:leftChars="0"/>
        <w:jc w:val="both"/>
        <w:rPr>
          <w:rFonts w:hint="default"/>
        </w:rPr>
      </w:pPr>
      <w:r>
        <w:rPr>
          <w:rFonts w:hint="default" w:ascii="Times New Roman" w:hAnsi="Times New Roman" w:cs="Times New Roman"/>
          <w:b/>
          <w:bCs w:val="0"/>
          <w:color w:val="auto"/>
          <w:sz w:val="28"/>
          <w:szCs w:val="28"/>
        </w:rPr>
        <w:br w:type="page"/>
      </w:r>
      <w:r>
        <w:rPr>
          <w:rFonts w:hint="default" w:ascii="Times New Roman" w:hAnsi="Times New Roman" w:cs="Times New Roman"/>
          <w:b/>
          <w:bCs w:val="0"/>
          <w:sz w:val="28"/>
          <w:szCs w:val="28"/>
          <w:lang w:val="en-US" w:eastAsia="zh-CN"/>
        </w:rPr>
        <w:t>4.工程概况</w:t>
      </w:r>
    </w:p>
    <w:tbl>
      <w:tblPr>
        <w:tblStyle w:val="44"/>
        <w:tblW w:w="882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82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23"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cs="Times New Roman"/>
                <w:b/>
                <w:bCs/>
                <w:kern w:val="2"/>
                <w:sz w:val="24"/>
                <w:szCs w:val="24"/>
                <w:lang w:val="en-US" w:eastAsia="zh-CN" w:bidi="ar-SA"/>
              </w:rPr>
            </w:pPr>
            <w:r>
              <w:rPr>
                <w:rFonts w:hint="default" w:ascii="Times New Roman" w:hAnsi="Times New Roman" w:cs="Times New Roman"/>
                <w:b/>
                <w:bCs/>
                <w:kern w:val="2"/>
                <w:sz w:val="24"/>
                <w:szCs w:val="24"/>
                <w:lang w:val="en-US" w:eastAsia="zh-CN" w:bidi="ar-SA"/>
              </w:rPr>
              <w:t>4.1项目地理位置</w:t>
            </w:r>
          </w:p>
          <w:p>
            <w:pPr>
              <w:keepNext w:val="0"/>
              <w:keepLines w:val="0"/>
              <w:pageBreakBefore w:val="0"/>
              <w:kinsoku/>
              <w:wordWrap/>
              <w:overflowPunct/>
              <w:topLinePunct w:val="0"/>
              <w:bidi w:val="0"/>
              <w:snapToGrid w:val="0"/>
              <w:spacing w:line="360" w:lineRule="auto"/>
              <w:ind w:firstLine="480" w:firstLineChars="2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本项目工作区位于青海省格尔木市乌图美仁乡政府驻地男约40km处</w:t>
            </w:r>
            <w:r>
              <w:rPr>
                <w:rFonts w:hint="default" w:ascii="Times New Roman" w:hAnsi="Times New Roman" w:eastAsia="宋体" w:cs="Times New Roman"/>
                <w:kern w:val="0"/>
                <w:sz w:val="24"/>
                <w:szCs w:val="24"/>
                <w:lang w:val="en-US" w:eastAsia="zh-CN"/>
              </w:rPr>
              <w:t>，开木棋河下游东侧，拉陵高里河以东。工作区地理坐标</w:t>
            </w:r>
            <w:r>
              <w:rPr>
                <w:rFonts w:hint="eastAsia" w:ascii="Times New Roman" w:hAnsi="Times New Roman" w:eastAsia="宋体" w:cs="Times New Roman"/>
                <w:kern w:val="0"/>
                <w:sz w:val="24"/>
                <w:szCs w:val="24"/>
                <w:lang w:val="en-US" w:eastAsia="zh-CN"/>
              </w:rPr>
              <w:t>：</w:t>
            </w:r>
            <w:r>
              <w:rPr>
                <w:rFonts w:hint="default" w:ascii="Times New Roman" w:hAnsi="Times New Roman" w:eastAsia="宋体" w:cs="Times New Roman"/>
                <w:kern w:val="0"/>
                <w:sz w:val="24"/>
                <w:szCs w:val="24"/>
                <w:lang w:val="en-US" w:eastAsia="zh-CN"/>
              </w:rPr>
              <w:t>东经:93°12'10"-93°19100"，北纬:36°35'15"-36°39'55"。从格尔木市沿格茫公路西行约163km至拉陵高里河后，下便道沿拉陵高里河河床向南行约40km 可达工区。工作区北部为戈壁沙丘，南部为东昆仑山脉，局部地段有便道，汽车能通行</w:t>
            </w:r>
            <w:r>
              <w:rPr>
                <w:rFonts w:hint="eastAsia" w:ascii="Times New Roman" w:hAnsi="Times New Roman" w:eastAsia="宋体" w:cs="Times New Roman"/>
                <w:kern w:val="0"/>
                <w:sz w:val="24"/>
                <w:szCs w:val="24"/>
                <w:lang w:val="en-US" w:eastAsia="zh-CN"/>
              </w:rPr>
              <w:t>。</w:t>
            </w:r>
            <w:r>
              <w:rPr>
                <w:rFonts w:hint="default" w:ascii="Times New Roman" w:hAnsi="Times New Roman" w:eastAsia="宋体" w:cs="Times New Roman"/>
                <w:kern w:val="0"/>
                <w:sz w:val="24"/>
                <w:szCs w:val="24"/>
                <w:lang w:val="en-US" w:eastAsia="zh-CN"/>
              </w:rPr>
              <w:t>具体位置详见报告附图1本项目地理位置图。</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bCs/>
                <w:kern w:val="2"/>
                <w:sz w:val="24"/>
                <w:szCs w:val="24"/>
                <w:lang w:val="en-US" w:eastAsia="zh-CN" w:bidi="ar-SA"/>
              </w:rPr>
            </w:pPr>
            <w:r>
              <w:rPr>
                <w:rFonts w:hint="default" w:ascii="Times New Roman" w:hAnsi="Times New Roman" w:eastAsia="宋体" w:cs="Times New Roman"/>
                <w:b/>
                <w:bCs/>
                <w:kern w:val="2"/>
                <w:sz w:val="24"/>
                <w:szCs w:val="24"/>
                <w:lang w:val="en-US" w:eastAsia="zh-CN" w:bidi="ar-SA"/>
              </w:rPr>
              <w:t>4.2工程内容及规模：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napToGrid w:val="0"/>
                <w:color w:val="000000"/>
                <w:sz w:val="24"/>
                <w:szCs w:val="24"/>
                <w:lang w:val="en-US" w:eastAsia="zh-CN"/>
              </w:rPr>
            </w:pPr>
            <w:r>
              <w:rPr>
                <w:rFonts w:hint="eastAsia" w:ascii="Times New Roman" w:hAnsi="Times New Roman" w:eastAsia="宋体" w:cs="Times New Roman"/>
                <w:snapToGrid w:val="0"/>
                <w:color w:val="000000"/>
                <w:sz w:val="24"/>
                <w:szCs w:val="24"/>
                <w:lang w:val="en-US" w:eastAsia="zh-CN"/>
              </w:rPr>
              <w:t>青海省投资集团有限公司研究了之前的矿区开展的预查工作后，大致了解了矿区的地层、2构造、岩浆岩、矿化蚀变等地质特征；圈出了物化探异常，确定了重点工作靶区。</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630" w:leftChars="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工程建设内容与环评对比情况详见表4.1-1。 </w:t>
            </w:r>
          </w:p>
          <w:p>
            <w:pPr>
              <w:pStyle w:val="86"/>
              <w:numPr>
                <w:ilvl w:val="0"/>
                <w:numId w:val="0"/>
              </w:numPr>
              <w:spacing w:line="360" w:lineRule="auto"/>
              <w:ind w:firstLine="2319" w:firstLineChars="1100"/>
              <w:jc w:val="both"/>
              <w:rPr>
                <w:rFonts w:hint="default" w:ascii="Times New Roman" w:hAnsi="Times New Roman" w:eastAsia="宋体" w:cs="Times New Roman"/>
                <w:b/>
                <w:bCs w:val="0"/>
                <w:color w:val="auto"/>
                <w:kern w:val="2"/>
                <w:sz w:val="21"/>
                <w:szCs w:val="21"/>
                <w:lang w:val="en-US" w:eastAsia="zh-CN" w:bidi="ar-SA"/>
              </w:rPr>
            </w:pPr>
            <w:r>
              <w:rPr>
                <w:rFonts w:hint="default" w:ascii="Times New Roman" w:hAnsi="Times New Roman" w:eastAsia="宋体" w:cs="Times New Roman"/>
                <w:b/>
                <w:bCs w:val="0"/>
                <w:color w:val="auto"/>
                <w:kern w:val="2"/>
                <w:sz w:val="21"/>
                <w:szCs w:val="21"/>
                <w:lang w:val="en-US" w:eastAsia="zh-CN" w:bidi="ar-SA"/>
              </w:rPr>
              <w:t>4.1-1</w:t>
            </w:r>
            <w:r>
              <w:rPr>
                <w:rFonts w:hint="default" w:ascii="Times New Roman" w:hAnsi="Times New Roman" w:eastAsia="宋体" w:cs="Times New Roman"/>
                <w:b/>
                <w:bCs w:val="0"/>
                <w:color w:val="auto"/>
                <w:kern w:val="2"/>
                <w:sz w:val="21"/>
                <w:szCs w:val="21"/>
                <w:lang w:val="en-US" w:eastAsia="zh-CN" w:bidi="ar-SA"/>
              </w:rPr>
              <w:tab/>
            </w:r>
            <w:r>
              <w:rPr>
                <w:rFonts w:hint="default" w:ascii="Times New Roman" w:hAnsi="Times New Roman" w:eastAsia="宋体" w:cs="Times New Roman"/>
                <w:b/>
                <w:bCs w:val="0"/>
                <w:color w:val="auto"/>
                <w:kern w:val="2"/>
                <w:sz w:val="21"/>
                <w:szCs w:val="21"/>
                <w:lang w:val="en-US" w:eastAsia="zh-CN" w:bidi="ar-SA"/>
              </w:rPr>
              <w:t>本项目主要工程建设情况调查一览表</w:t>
            </w:r>
          </w:p>
          <w:tbl>
            <w:tblPr>
              <w:tblStyle w:val="44"/>
              <w:tblW w:w="4997"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13"/>
              <w:gridCol w:w="915"/>
              <w:gridCol w:w="3397"/>
              <w:gridCol w:w="3138"/>
              <w:gridCol w:w="72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32" w:hRule="atLeast"/>
              </w:trPr>
              <w:tc>
                <w:tcPr>
                  <w:tcW w:w="772" w:type="pct"/>
                  <w:gridSpan w:val="2"/>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snapToGrid w:val="0"/>
                      <w:color w:val="000000"/>
                      <w:kern w:val="0"/>
                      <w:sz w:val="21"/>
                      <w:szCs w:val="21"/>
                      <w:lang w:val="en-US" w:eastAsia="zh-CN"/>
                    </w:rPr>
                  </w:pPr>
                  <w:r>
                    <w:rPr>
                      <w:rFonts w:hint="default" w:ascii="Times New Roman" w:hAnsi="Times New Roman" w:eastAsia="宋体" w:cs="Times New Roman"/>
                      <w:b/>
                      <w:snapToGrid w:val="0"/>
                      <w:color w:val="000000"/>
                      <w:kern w:val="0"/>
                      <w:sz w:val="21"/>
                      <w:szCs w:val="21"/>
                    </w:rPr>
                    <w:t>类别</w:t>
                  </w:r>
                </w:p>
              </w:tc>
              <w:tc>
                <w:tcPr>
                  <w:tcW w:w="197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snapToGrid w:val="0"/>
                      <w:color w:val="000000"/>
                      <w:kern w:val="0"/>
                      <w:sz w:val="21"/>
                      <w:szCs w:val="21"/>
                      <w:lang w:val="en-US" w:eastAsia="zh-CN"/>
                    </w:rPr>
                  </w:pPr>
                  <w:r>
                    <w:rPr>
                      <w:rFonts w:hint="default" w:ascii="Times New Roman" w:hAnsi="Times New Roman" w:cs="Times New Roman"/>
                      <w:b/>
                      <w:snapToGrid w:val="0"/>
                      <w:color w:val="000000"/>
                      <w:kern w:val="0"/>
                      <w:sz w:val="21"/>
                      <w:szCs w:val="21"/>
                      <w:lang w:val="en-US" w:eastAsia="zh-CN"/>
                    </w:rPr>
                    <w:t>主要建设内容</w:t>
                  </w:r>
                </w:p>
              </w:tc>
              <w:tc>
                <w:tcPr>
                  <w:tcW w:w="1826"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napToGrid w:val="0"/>
                      <w:color w:val="000000"/>
                      <w:kern w:val="0"/>
                      <w:sz w:val="21"/>
                      <w:szCs w:val="21"/>
                      <w:lang w:val="en-US" w:eastAsia="zh-CN"/>
                    </w:rPr>
                  </w:pPr>
                  <w:r>
                    <w:rPr>
                      <w:rFonts w:hint="eastAsia" w:ascii="Times New Roman" w:hAnsi="Times New Roman" w:cs="Times New Roman"/>
                      <w:b/>
                      <w:snapToGrid w:val="0"/>
                      <w:color w:val="000000"/>
                      <w:kern w:val="0"/>
                      <w:sz w:val="21"/>
                      <w:szCs w:val="21"/>
                      <w:lang w:val="en-US" w:eastAsia="zh-CN"/>
                    </w:rPr>
                    <w:t>验收实际建设内容</w:t>
                  </w:r>
                </w:p>
              </w:tc>
              <w:tc>
                <w:tcPr>
                  <w:tcW w:w="424" w:type="pct"/>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snapToGrid w:val="0"/>
                      <w:color w:val="000000"/>
                      <w:kern w:val="0"/>
                      <w:sz w:val="21"/>
                      <w:szCs w:val="21"/>
                      <w:lang w:val="en-US" w:eastAsia="zh-CN"/>
                    </w:rPr>
                  </w:pPr>
                  <w:r>
                    <w:rPr>
                      <w:rFonts w:hint="eastAsia" w:ascii="Times New Roman" w:hAnsi="Times New Roman" w:cs="Times New Roman"/>
                      <w:b/>
                      <w:snapToGrid w:val="0"/>
                      <w:color w:val="000000"/>
                      <w:kern w:val="0"/>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40" w:type="pct"/>
                  <w:vMerge w:val="restart"/>
                  <w:tcBorders>
                    <w:top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eastAsia="宋体" w:cs="Times New Roman"/>
                      <w:snapToGrid w:val="0"/>
                      <w:color w:val="000000"/>
                      <w:spacing w:val="-4"/>
                      <w:kern w:val="0"/>
                      <w:sz w:val="21"/>
                      <w:szCs w:val="21"/>
                    </w:rPr>
                    <w:t>主体工程</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1:1万地址草测</w:t>
                  </w:r>
                </w:p>
              </w:tc>
              <w:tc>
                <w:tcPr>
                  <w:tcW w:w="197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eastAsia="宋体" w:cs="Times New Roman"/>
                      <w:snapToGrid w:val="0"/>
                      <w:color w:val="000000"/>
                      <w:spacing w:val="-4"/>
                      <w:kern w:val="0"/>
                      <w:sz w:val="21"/>
                      <w:szCs w:val="21"/>
                      <w:lang w:val="en-US" w:eastAsia="zh-CN"/>
                    </w:rPr>
                    <w:t>本次草测工作过程中，严格按照相关规范及设计要求做了剖面起、终点，重要观察点，标志点等的野外标记，在3.6Km</w:t>
                  </w:r>
                  <w:r>
                    <w:rPr>
                      <w:rFonts w:hint="eastAsia" w:ascii="Times New Roman" w:hAnsi="Times New Roman" w:eastAsia="宋体" w:cs="Times New Roman"/>
                      <w:snapToGrid w:val="0"/>
                      <w:color w:val="000000"/>
                      <w:spacing w:val="-4"/>
                      <w:kern w:val="0"/>
                      <w:sz w:val="21"/>
                      <w:szCs w:val="21"/>
                      <w:vertAlign w:val="superscript"/>
                      <w:lang w:val="en-US" w:eastAsia="zh-CN"/>
                    </w:rPr>
                    <w:t>2</w:t>
                  </w:r>
                  <w:r>
                    <w:rPr>
                      <w:rFonts w:hint="default" w:ascii="Times New Roman" w:hAnsi="Times New Roman" w:eastAsia="宋体" w:cs="Times New Roman"/>
                      <w:snapToGrid w:val="0"/>
                      <w:color w:val="000000"/>
                      <w:spacing w:val="-4"/>
                      <w:kern w:val="0"/>
                      <w:sz w:val="21"/>
                      <w:szCs w:val="21"/>
                      <w:lang w:val="en-US" w:eastAsia="zh-CN"/>
                    </w:rPr>
                    <w:t>的草测范围内，完成地质点725个，其中分界点 314个，包括32个构造分界点，每平方公里点率为201个点，达到了设计要求，</w:t>
                  </w:r>
                </w:p>
              </w:tc>
              <w:tc>
                <w:tcPr>
                  <w:tcW w:w="182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bidi="ar-SA"/>
                    </w:rPr>
                  </w:pPr>
                  <w:r>
                    <w:rPr>
                      <w:rFonts w:hint="default" w:ascii="Times New Roman" w:hAnsi="Times New Roman" w:eastAsia="宋体" w:cs="Times New Roman"/>
                      <w:snapToGrid w:val="0"/>
                      <w:color w:val="000000"/>
                      <w:spacing w:val="-4"/>
                      <w:kern w:val="0"/>
                      <w:sz w:val="21"/>
                      <w:szCs w:val="21"/>
                      <w:lang w:val="en-US" w:eastAsia="zh-CN"/>
                    </w:rPr>
                    <w:t>本次草测工作过程中，严格按照相关规范及设计要求做了剖面起、终点，重要观察点，标志点等的野外标记，在3.6Km</w:t>
                  </w:r>
                  <w:r>
                    <w:rPr>
                      <w:rFonts w:hint="eastAsia" w:ascii="Times New Roman" w:hAnsi="Times New Roman" w:eastAsia="宋体" w:cs="Times New Roman"/>
                      <w:snapToGrid w:val="0"/>
                      <w:color w:val="000000"/>
                      <w:spacing w:val="-4"/>
                      <w:kern w:val="0"/>
                      <w:sz w:val="21"/>
                      <w:szCs w:val="21"/>
                      <w:vertAlign w:val="superscript"/>
                      <w:lang w:val="en-US" w:eastAsia="zh-CN"/>
                    </w:rPr>
                    <w:t>2</w:t>
                  </w:r>
                  <w:r>
                    <w:rPr>
                      <w:rFonts w:hint="default" w:ascii="Times New Roman" w:hAnsi="Times New Roman" w:eastAsia="宋体" w:cs="Times New Roman"/>
                      <w:snapToGrid w:val="0"/>
                      <w:color w:val="000000"/>
                      <w:spacing w:val="-4"/>
                      <w:kern w:val="0"/>
                      <w:sz w:val="21"/>
                      <w:szCs w:val="21"/>
                      <w:lang w:val="en-US" w:eastAsia="zh-CN"/>
                    </w:rPr>
                    <w:t>的草测范围内，完成地质点725个，其中分界点 314个，包括32个构造分界点，每平方公里点率为201个点，达到了设计要求，</w:t>
                  </w:r>
                </w:p>
              </w:tc>
              <w:tc>
                <w:tcPr>
                  <w:tcW w:w="424"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59" w:hRule="atLeast"/>
              </w:trPr>
              <w:tc>
                <w:tcPr>
                  <w:tcW w:w="240" w:type="pct"/>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rPr>
                  </w:pP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钻探工程</w:t>
                  </w:r>
                </w:p>
              </w:tc>
              <w:tc>
                <w:tcPr>
                  <w:tcW w:w="197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eastAsia="宋体" w:cs="Times New Roman"/>
                      <w:snapToGrid w:val="0"/>
                      <w:color w:val="000000"/>
                      <w:spacing w:val="-4"/>
                      <w:kern w:val="0"/>
                      <w:sz w:val="21"/>
                      <w:szCs w:val="21"/>
                      <w:lang w:val="en-US" w:eastAsia="zh-CN"/>
                    </w:rPr>
                    <w:t>区内共施工钻孔3个，全部为地质孔，采用小口径金刚石绳索取芯工艺，开孔孔径为91mm，终孔孔径为75mm。三个孔全孔岩芯采取率在88.00-99.41%;矿芯采取率在87.5-99.5%,均已达到了设计及规范要求。钻井平台一般10平方米左右。地质勘查钻机:钻机选择XU-1000型或XY-44型。配备相匹配型号的发电机、泥浆、钻塔及附属设备。合计 2000m。</w:t>
                  </w:r>
                </w:p>
              </w:tc>
              <w:tc>
                <w:tcPr>
                  <w:tcW w:w="182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bidi="ar-SA"/>
                    </w:rPr>
                  </w:pPr>
                  <w:r>
                    <w:rPr>
                      <w:rFonts w:hint="default" w:ascii="Times New Roman" w:hAnsi="Times New Roman" w:eastAsia="宋体" w:cs="Times New Roman"/>
                      <w:snapToGrid w:val="0"/>
                      <w:color w:val="000000"/>
                      <w:spacing w:val="-4"/>
                      <w:kern w:val="0"/>
                      <w:sz w:val="21"/>
                      <w:szCs w:val="21"/>
                      <w:lang w:val="en-US" w:eastAsia="zh-CN"/>
                    </w:rPr>
                    <w:t>区内共施工钻孔3个，全部为地质孔，采用小口径金刚石绳索取芯工艺，开孔孔径为91mm，终孔孔径为75mm。三个孔全孔岩芯采取率在88.00-99.41%;矿芯采取率在87.5-99.5%,均已达到了设计及规范要求。钻井平台一般10平方米左右。地质勘查钻机:钻机选择XU-1000型或XY-44型。配备相匹配型号的发电机、泥浆、钻塔及附属设备。合计 2000m。</w:t>
                  </w:r>
                </w:p>
              </w:tc>
              <w:tc>
                <w:tcPr>
                  <w:tcW w:w="424"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40" w:type="pct"/>
                  <w:vMerge w:val="continue"/>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rPr>
                  </w:pP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color w:val="000000"/>
                      <w:spacing w:val="-4"/>
                      <w:kern w:val="0"/>
                      <w:sz w:val="21"/>
                      <w:szCs w:val="21"/>
                      <w:lang w:eastAsia="zh-CN"/>
                    </w:rPr>
                  </w:pPr>
                  <w:r>
                    <w:rPr>
                      <w:rFonts w:hint="eastAsia" w:ascii="Times New Roman" w:hAnsi="Times New Roman" w:eastAsia="宋体" w:cs="Times New Roman"/>
                      <w:snapToGrid w:val="0"/>
                      <w:color w:val="000000"/>
                      <w:spacing w:val="-4"/>
                      <w:kern w:val="0"/>
                      <w:sz w:val="21"/>
                      <w:szCs w:val="21"/>
                      <w:lang w:val="en-US" w:eastAsia="zh-CN"/>
                    </w:rPr>
                    <w:t>物探工程</w:t>
                  </w:r>
                </w:p>
              </w:tc>
              <w:tc>
                <w:tcPr>
                  <w:tcW w:w="197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eastAsia="宋体" w:cs="Times New Roman"/>
                      <w:snapToGrid w:val="0"/>
                      <w:color w:val="000000"/>
                      <w:spacing w:val="-4"/>
                      <w:kern w:val="0"/>
                      <w:sz w:val="21"/>
                      <w:szCs w:val="21"/>
                      <w:lang w:val="en-US" w:eastAsia="zh-CN"/>
                    </w:rPr>
                    <w:t>测量工作用经纬仪、RTK、手持GPS完成，开工前对使用的经纬仪等测量仪器都进行了性能检查，仪器性能符合规范要求。工区内使用的GPS做了一致性测定及与 RTK 的误差矫正。</w:t>
                  </w:r>
                </w:p>
              </w:tc>
              <w:tc>
                <w:tcPr>
                  <w:tcW w:w="182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bidi="ar-SA"/>
                    </w:rPr>
                  </w:pPr>
                  <w:r>
                    <w:rPr>
                      <w:rFonts w:hint="default" w:ascii="Times New Roman" w:hAnsi="Times New Roman" w:eastAsia="宋体" w:cs="Times New Roman"/>
                      <w:snapToGrid w:val="0"/>
                      <w:color w:val="000000"/>
                      <w:spacing w:val="-4"/>
                      <w:kern w:val="0"/>
                      <w:sz w:val="21"/>
                      <w:szCs w:val="21"/>
                      <w:lang w:val="en-US" w:eastAsia="zh-CN"/>
                    </w:rPr>
                    <w:t>测量工作用经纬仪、RTK、手持GPS完成，开工前对使用的经纬仪等测量仪器都进行了性能检查，仪器性能符合规范要求。工区内使用的GPS做了一致性测定及与 RTK 的误差矫正。</w:t>
                  </w:r>
                </w:p>
              </w:tc>
              <w:tc>
                <w:tcPr>
                  <w:tcW w:w="424"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118" w:hRule="atLeast"/>
              </w:trPr>
              <w:tc>
                <w:tcPr>
                  <w:tcW w:w="240" w:type="pct"/>
                  <w:vMerge w:val="continue"/>
                  <w:tcBorders>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rPr>
                  </w:pP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eastAsia" w:ascii="Times New Roman" w:hAnsi="Times New Roman" w:eastAsia="宋体" w:cs="Times New Roman"/>
                      <w:snapToGrid w:val="0"/>
                      <w:color w:val="000000"/>
                      <w:spacing w:val="-4"/>
                      <w:kern w:val="0"/>
                      <w:sz w:val="21"/>
                      <w:szCs w:val="21"/>
                      <w:lang w:val="en-US" w:eastAsia="zh-CN"/>
                    </w:rPr>
                    <w:t>采样、化验</w:t>
                  </w:r>
                </w:p>
              </w:tc>
              <w:tc>
                <w:tcPr>
                  <w:tcW w:w="197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lang w:val="en-US" w:eastAsia="zh-CN"/>
                    </w:rPr>
                  </w:pPr>
                  <w:r>
                    <w:rPr>
                      <w:rFonts w:hint="default"/>
                      <w:lang w:val="en-US" w:eastAsia="zh-CN"/>
                    </w:rPr>
                    <w:t>测地工作使用GPS测量仪器辅助测绳及罗盘仪进行定位。施工前在地形图有标志性的点上，进行了校验、调试，最大误差小于0.5米。该区卫星接收信号般达5个以上，显示定位状态为三维(3D)最佳模式，测区地形起伏不大，无强干扰信号，导航仪接收信号强，定位精度高，满足设计规范精度要求</w:t>
                  </w:r>
                </w:p>
              </w:tc>
              <w:tc>
                <w:tcPr>
                  <w:tcW w:w="1826"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kern w:val="2"/>
                      <w:sz w:val="21"/>
                      <w:szCs w:val="21"/>
                      <w:lang w:val="en-US" w:eastAsia="zh-CN" w:bidi="ar-SA"/>
                    </w:rPr>
                  </w:pPr>
                  <w:r>
                    <w:rPr>
                      <w:rFonts w:hint="default"/>
                      <w:lang w:val="en-US" w:eastAsia="zh-CN"/>
                    </w:rPr>
                    <w:t>测地工作使用GPS测量仪器辅助测绳及罗盘仪进行定位。施工前在地形图有标志性的点上，进行了校验、调试，最大误差小于0.5米。该区卫星接收信号般达5个以上，显示定位状态为三维(3D)最佳模式，测区地形起伏不大，无强干扰信号，导航仪接收信号强，定位精度高，满足设计规范精度要求</w:t>
                  </w:r>
                </w:p>
              </w:tc>
              <w:tc>
                <w:tcPr>
                  <w:tcW w:w="424" w:type="pct"/>
                  <w:tcBorders>
                    <w:top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28" w:hRule="atLeast"/>
              </w:trPr>
              <w:tc>
                <w:tcPr>
                  <w:tcW w:w="240" w:type="pct"/>
                  <w:vMerge w:val="restart"/>
                  <w:tcBorders>
                    <w:top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rPr>
                  </w:pPr>
                  <w:r>
                    <w:rPr>
                      <w:rFonts w:hint="default" w:ascii="Times New Roman" w:hAnsi="Times New Roman" w:eastAsia="宋体" w:cs="Times New Roman"/>
                      <w:snapToGrid w:val="0"/>
                      <w:color w:val="000000"/>
                      <w:spacing w:val="-4"/>
                      <w:kern w:val="0"/>
                      <w:sz w:val="21"/>
                      <w:szCs w:val="21"/>
                      <w:lang w:val="en-US" w:eastAsia="zh-CN"/>
                    </w:rPr>
                    <w:t>公用</w:t>
                  </w:r>
                  <w:r>
                    <w:rPr>
                      <w:rFonts w:hint="default" w:ascii="Times New Roman" w:hAnsi="Times New Roman" w:eastAsia="宋体" w:cs="Times New Roman"/>
                      <w:snapToGrid w:val="0"/>
                      <w:color w:val="000000"/>
                      <w:spacing w:val="-4"/>
                      <w:kern w:val="0"/>
                      <w:sz w:val="21"/>
                      <w:szCs w:val="21"/>
                    </w:rPr>
                    <w:t>工程</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eastAsia="宋体" w:cs="Times New Roman"/>
                      <w:snapToGrid w:val="0"/>
                      <w:color w:val="000000"/>
                      <w:spacing w:val="-4"/>
                      <w:kern w:val="0"/>
                      <w:sz w:val="21"/>
                      <w:szCs w:val="21"/>
                      <w:lang w:val="en-US" w:eastAsia="zh-CN"/>
                    </w:rPr>
                    <w:t>供</w:t>
                  </w:r>
                  <w:r>
                    <w:rPr>
                      <w:rFonts w:hint="eastAsia" w:ascii="Times New Roman" w:hAnsi="Times New Roman" w:eastAsia="宋体" w:cs="Times New Roman"/>
                      <w:snapToGrid w:val="0"/>
                      <w:color w:val="000000"/>
                      <w:spacing w:val="-4"/>
                      <w:kern w:val="0"/>
                      <w:sz w:val="21"/>
                      <w:szCs w:val="21"/>
                      <w:lang w:val="en-US" w:eastAsia="zh-CN"/>
                    </w:rPr>
                    <w:t>水</w:t>
                  </w:r>
                </w:p>
              </w:tc>
              <w:tc>
                <w:tcPr>
                  <w:tcW w:w="1976" w:type="pct"/>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themeColor="text1"/>
                      <w:spacing w:val="-4"/>
                      <w:kern w:val="0"/>
                      <w:sz w:val="21"/>
                      <w:szCs w:val="21"/>
                      <w:lang w:val="zh-CN" w:eastAsia="zh-CN"/>
                      <w14:textFill>
                        <w14:solidFill>
                          <w14:schemeClr w14:val="tx1"/>
                        </w14:solidFill>
                      </w14:textFill>
                    </w:rPr>
                  </w:pPr>
                  <w:r>
                    <w:rPr>
                      <w:rFonts w:hint="default" w:ascii="Times New Roman" w:hAnsi="Times New Roman" w:eastAsia="宋体" w:cs="Times New Roman"/>
                      <w:snapToGrid w:val="0"/>
                      <w:color w:val="000000" w:themeColor="text1"/>
                      <w:spacing w:val="-4"/>
                      <w:kern w:val="0"/>
                      <w:sz w:val="21"/>
                      <w:szCs w:val="21"/>
                      <w:lang w:val="zh-CN" w:eastAsia="zh-CN"/>
                      <w14:textFill>
                        <w14:solidFill>
                          <w14:schemeClr w14:val="tx1"/>
                        </w14:solidFill>
                      </w14:textFill>
                    </w:rPr>
                    <w:t>来自附近河流</w:t>
                  </w:r>
                </w:p>
              </w:tc>
              <w:tc>
                <w:tcPr>
                  <w:tcW w:w="1826" w:type="pct"/>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themeColor="text1"/>
                      <w:spacing w:val="-4"/>
                      <w:kern w:val="0"/>
                      <w:sz w:val="21"/>
                      <w:szCs w:val="21"/>
                      <w:lang w:val="zh-CN" w:eastAsia="zh-CN" w:bidi="ar-SA"/>
                      <w14:textFill>
                        <w14:solidFill>
                          <w14:schemeClr w14:val="tx1"/>
                        </w14:solidFill>
                      </w14:textFill>
                    </w:rPr>
                  </w:pPr>
                  <w:r>
                    <w:rPr>
                      <w:rFonts w:hint="default" w:ascii="Times New Roman" w:hAnsi="Times New Roman" w:eastAsia="宋体" w:cs="Times New Roman"/>
                      <w:snapToGrid w:val="0"/>
                      <w:color w:val="000000" w:themeColor="text1"/>
                      <w:spacing w:val="-4"/>
                      <w:kern w:val="0"/>
                      <w:sz w:val="21"/>
                      <w:szCs w:val="21"/>
                      <w:lang w:val="zh-CN" w:eastAsia="zh-CN"/>
                      <w14:textFill>
                        <w14:solidFill>
                          <w14:schemeClr w14:val="tx1"/>
                        </w14:solidFill>
                      </w14:textFill>
                    </w:rPr>
                    <w:t>来自附近河流</w:t>
                  </w:r>
                </w:p>
              </w:tc>
              <w:tc>
                <w:tcPr>
                  <w:tcW w:w="424" w:type="pct"/>
                  <w:tcBorders>
                    <w:top w:val="single" w:color="auto" w:sz="4" w:space="0"/>
                    <w:left w:val="single" w:color="auto" w:sz="4" w:space="0"/>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8" w:hRule="atLeast"/>
              </w:trPr>
              <w:tc>
                <w:tcPr>
                  <w:tcW w:w="240"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rPr>
                  </w:pPr>
                </w:p>
              </w:tc>
              <w:tc>
                <w:tcPr>
                  <w:tcW w:w="532"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spacing w:val="-4"/>
                      <w:kern w:val="0"/>
                      <w:sz w:val="21"/>
                      <w:szCs w:val="21"/>
                      <w:lang w:val="en-US" w:eastAsia="zh-CN"/>
                    </w:rPr>
                  </w:pPr>
                  <w:r>
                    <w:rPr>
                      <w:rFonts w:hint="default" w:ascii="Times New Roman" w:hAnsi="Times New Roman" w:cs="Times New Roman"/>
                      <w:snapToGrid w:val="0"/>
                      <w:color w:val="000000"/>
                      <w:spacing w:val="-4"/>
                      <w:kern w:val="0"/>
                      <w:sz w:val="21"/>
                      <w:szCs w:val="21"/>
                      <w:lang w:val="en-US" w:eastAsia="zh-CN"/>
                    </w:rPr>
                    <w:t>供</w:t>
                  </w:r>
                  <w:r>
                    <w:rPr>
                      <w:rFonts w:hint="eastAsia" w:ascii="Times New Roman" w:hAnsi="Times New Roman" w:cs="Times New Roman"/>
                      <w:snapToGrid w:val="0"/>
                      <w:color w:val="000000"/>
                      <w:spacing w:val="-4"/>
                      <w:kern w:val="0"/>
                      <w:sz w:val="21"/>
                      <w:szCs w:val="21"/>
                      <w:lang w:val="en-US" w:eastAsia="zh-CN"/>
                    </w:rPr>
                    <w:t>电</w:t>
                  </w:r>
                </w:p>
              </w:tc>
              <w:tc>
                <w:tcPr>
                  <w:tcW w:w="1976"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themeColor="text1"/>
                      <w:spacing w:val="-4"/>
                      <w:kern w:val="0"/>
                      <w:sz w:val="21"/>
                      <w:szCs w:val="21"/>
                      <w:lang w:val="zh-CN" w:eastAsia="zh-CN"/>
                      <w14:textFill>
                        <w14:solidFill>
                          <w14:schemeClr w14:val="tx1"/>
                        </w14:solidFill>
                      </w14:textFill>
                    </w:rPr>
                  </w:pPr>
                  <w:r>
                    <w:rPr>
                      <w:rFonts w:hint="default" w:ascii="Times New Roman" w:hAnsi="Times New Roman" w:eastAsia="宋体" w:cs="Times New Roman"/>
                      <w:snapToGrid w:val="0"/>
                      <w:color w:val="000000" w:themeColor="text1"/>
                      <w:spacing w:val="-4"/>
                      <w:kern w:val="0"/>
                      <w:sz w:val="21"/>
                      <w:szCs w:val="21"/>
                      <w:lang w:val="zh-CN" w:eastAsia="zh-CN"/>
                      <w14:textFill>
                        <w14:solidFill>
                          <w14:schemeClr w14:val="tx1"/>
                        </w14:solidFill>
                      </w14:textFill>
                    </w:rPr>
                    <w:t>发电机发电</w:t>
                  </w:r>
                </w:p>
              </w:tc>
              <w:tc>
                <w:tcPr>
                  <w:tcW w:w="1826"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color w:val="000000" w:themeColor="text1"/>
                      <w:spacing w:val="-4"/>
                      <w:kern w:val="0"/>
                      <w:sz w:val="21"/>
                      <w:szCs w:val="21"/>
                      <w:lang w:val="en-US" w:eastAsia="zh-CN" w:bidi="ar-SA"/>
                      <w14:textFill>
                        <w14:solidFill>
                          <w14:schemeClr w14:val="tx1"/>
                        </w14:solidFill>
                      </w14:textFill>
                    </w:rPr>
                  </w:pPr>
                  <w:r>
                    <w:rPr>
                      <w:rFonts w:hint="eastAsia" w:ascii="Times New Roman" w:hAnsi="Times New Roman" w:eastAsia="宋体" w:cs="Times New Roman"/>
                      <w:snapToGrid w:val="0"/>
                      <w:color w:val="000000" w:themeColor="text1"/>
                      <w:spacing w:val="-4"/>
                      <w:kern w:val="0"/>
                      <w:sz w:val="21"/>
                      <w:szCs w:val="21"/>
                      <w:lang w:val="en-US" w:eastAsia="zh-CN" w:bidi="ar-SA"/>
                      <w14:textFill>
                        <w14:solidFill>
                          <w14:schemeClr w14:val="tx1"/>
                        </w14:solidFill>
                      </w14:textFill>
                    </w:rPr>
                    <w:t>采用了发动机发电</w:t>
                  </w:r>
                </w:p>
              </w:tc>
              <w:tc>
                <w:tcPr>
                  <w:tcW w:w="424" w:type="pct"/>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12" w:hRule="atLeast"/>
              </w:trPr>
              <w:tc>
                <w:tcPr>
                  <w:tcW w:w="240"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default" w:ascii="Times New Roman" w:hAnsi="Times New Roman" w:cs="Times New Roman"/>
                      <w:lang w:val="en-US" w:eastAsia="zh-CN"/>
                    </w:rPr>
                    <w:t>环保工</w:t>
                  </w:r>
                  <w:r>
                    <w:rPr>
                      <w:rFonts w:hint="default" w:ascii="Times New Roman" w:hAnsi="Times New Roman" w:cs="Times New Roman"/>
                      <w:lang w:val="zh-CN" w:eastAsia="zh-CN"/>
                    </w:rPr>
                    <w:t>程</w:t>
                  </w:r>
                </w:p>
              </w:tc>
              <w:tc>
                <w:tcPr>
                  <w:tcW w:w="532"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eastAsia" w:ascii="Times New Roman" w:hAnsi="Times New Roman" w:cs="Times New Roman"/>
                      <w:lang w:val="en-US" w:eastAsia="zh-CN"/>
                    </w:rPr>
                    <w:t>废气</w:t>
                  </w:r>
                </w:p>
              </w:tc>
              <w:tc>
                <w:tcPr>
                  <w:tcW w:w="197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无组织排放，洒水降尘</w:t>
                  </w:r>
                </w:p>
              </w:tc>
              <w:tc>
                <w:tcPr>
                  <w:tcW w:w="182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废气均为无组织排放，每日进行洒水</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lang w:val="en-US" w:eastAsia="en-US"/>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07" w:hRule="atLeast"/>
              </w:trPr>
              <w:tc>
                <w:tcPr>
                  <w:tcW w:w="240"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p>
              </w:tc>
              <w:tc>
                <w:tcPr>
                  <w:tcW w:w="532" w:type="pct"/>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eastAsia" w:ascii="Times New Roman" w:hAnsi="Times New Roman" w:cs="Times New Roman"/>
                      <w:lang w:val="en-US" w:eastAsia="zh-CN"/>
                    </w:rPr>
                    <w:t>废水</w:t>
                  </w:r>
                </w:p>
              </w:tc>
              <w:tc>
                <w:tcPr>
                  <w:tcW w:w="197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生活废水:旱厕处理</w:t>
                  </w:r>
                </w:p>
              </w:tc>
              <w:tc>
                <w:tcPr>
                  <w:tcW w:w="182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建临时防渗旱厕</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240"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p>
              </w:tc>
              <w:tc>
                <w:tcPr>
                  <w:tcW w:w="532" w:type="pc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r>
                    <w:rPr>
                      <w:rFonts w:hint="default" w:ascii="Times New Roman" w:hAnsi="Times New Roman" w:cs="Times New Roman"/>
                      <w:lang w:val="zh-CN" w:eastAsia="zh-CN"/>
                    </w:rPr>
                    <w:t>固废</w:t>
                  </w:r>
                </w:p>
              </w:tc>
              <w:tc>
                <w:tcPr>
                  <w:tcW w:w="197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lang w:val="en-US" w:eastAsia="zh-CN"/>
                    </w:rPr>
                  </w:pPr>
                  <w:r>
                    <w:rPr>
                      <w:rFonts w:hint="default"/>
                      <w:lang w:val="en-US" w:eastAsia="zh-CN"/>
                    </w:rPr>
                    <w:t>土石方用于回填</w:t>
                  </w:r>
                  <w:r>
                    <w:rPr>
                      <w:rFonts w:hint="eastAsia"/>
                      <w:lang w:val="en-US" w:eastAsia="zh-CN"/>
                    </w:rPr>
                    <w:t>；</w:t>
                  </w:r>
                  <w:r>
                    <w:rPr>
                      <w:rFonts w:hint="default"/>
                      <w:lang w:val="en-US" w:eastAsia="zh-CN"/>
                    </w:rPr>
                    <w:t>生活垃圾集中收集，定期清运</w:t>
                  </w:r>
                </w:p>
              </w:tc>
              <w:tc>
                <w:tcPr>
                  <w:tcW w:w="182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kern w:val="2"/>
                      <w:sz w:val="21"/>
                      <w:szCs w:val="21"/>
                      <w:lang w:val="en-US" w:eastAsia="zh-CN" w:bidi="ar-SA"/>
                    </w:rPr>
                  </w:pPr>
                  <w:r>
                    <w:rPr>
                      <w:rFonts w:hint="default"/>
                      <w:lang w:val="en-US" w:eastAsia="zh-CN"/>
                    </w:rPr>
                    <w:t>土石方用于回填</w:t>
                  </w:r>
                  <w:r>
                    <w:rPr>
                      <w:rFonts w:hint="eastAsia"/>
                      <w:lang w:val="en-US" w:eastAsia="zh-CN"/>
                    </w:rPr>
                    <w:t>；</w:t>
                  </w:r>
                  <w:r>
                    <w:rPr>
                      <w:rFonts w:hint="default"/>
                      <w:lang w:val="en-US" w:eastAsia="zh-CN"/>
                    </w:rPr>
                    <w:t>生活垃圾</w:t>
                  </w:r>
                  <w:r>
                    <w:rPr>
                      <w:rFonts w:hint="eastAsia"/>
                      <w:lang w:val="en-US" w:eastAsia="zh-CN"/>
                    </w:rPr>
                    <w:t>购买垃圾箱</w:t>
                  </w:r>
                  <w:r>
                    <w:rPr>
                      <w:rFonts w:hint="default"/>
                      <w:lang w:val="en-US" w:eastAsia="zh-CN"/>
                    </w:rPr>
                    <w:t>集中收集</w:t>
                  </w:r>
                  <w:r>
                    <w:rPr>
                      <w:rFonts w:hint="eastAsia"/>
                      <w:lang w:val="en-US" w:eastAsia="zh-CN"/>
                    </w:rPr>
                    <w:t>后</w:t>
                  </w:r>
                  <w:r>
                    <w:rPr>
                      <w:rFonts w:hint="default"/>
                      <w:lang w:val="en-US" w:eastAsia="zh-CN"/>
                    </w:rPr>
                    <w:t>清运</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64" w:hRule="atLeast"/>
              </w:trPr>
              <w:tc>
                <w:tcPr>
                  <w:tcW w:w="240" w:type="pct"/>
                  <w:vMerge w:val="continue"/>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zh-CN" w:eastAsia="zh-CN"/>
                    </w:rPr>
                  </w:pPr>
                </w:p>
              </w:tc>
              <w:tc>
                <w:tcPr>
                  <w:tcW w:w="532" w:type="pct"/>
                  <w:tcBorders>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eastAsia" w:ascii="Times New Roman" w:hAnsi="Times New Roman" w:cs="Times New Roman"/>
                      <w:lang w:val="en-US" w:eastAsia="zh-CN"/>
                    </w:rPr>
                    <w:t>生态环境</w:t>
                  </w:r>
                </w:p>
              </w:tc>
              <w:tc>
                <w:tcPr>
                  <w:tcW w:w="197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工作结束后，进行迹地恢复</w:t>
                  </w:r>
                </w:p>
              </w:tc>
              <w:tc>
                <w:tcPr>
                  <w:tcW w:w="1826"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探矿工作结束后进行了</w:t>
                  </w:r>
                  <w:r>
                    <w:rPr>
                      <w:rFonts w:hint="default" w:ascii="Times New Roman" w:hAnsi="Times New Roman" w:cs="Times New Roman"/>
                      <w:lang w:val="en-US" w:eastAsia="zh-CN"/>
                    </w:rPr>
                    <w:t>迹地恢复</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lang w:val="en-US" w:eastAsia="zh-CN"/>
                    </w:rPr>
                  </w:pPr>
                  <w:r>
                    <w:rPr>
                      <w:rFonts w:hint="eastAsia" w:ascii="Times New Roman" w:hAnsi="Times New Roman" w:eastAsia="宋体" w:cs="Times New Roman"/>
                      <w:snapToGrid w:val="0"/>
                      <w:color w:val="000000"/>
                      <w:spacing w:val="-4"/>
                      <w:kern w:val="0"/>
                      <w:sz w:val="21"/>
                      <w:szCs w:val="21"/>
                      <w:lang w:val="en-US" w:eastAsia="zh-CN"/>
                    </w:rPr>
                    <w:t>与环评一致</w:t>
                  </w:r>
                </w:p>
              </w:tc>
            </w:tr>
          </w:tbl>
          <w:p>
            <w:pPr>
              <w:numPr>
                <w:ilvl w:val="0"/>
                <w:numId w:val="0"/>
              </w:numPr>
              <w:spacing w:before="31" w:line="360" w:lineRule="auto"/>
              <w:ind w:right="2316" w:rightChars="0"/>
              <w:jc w:val="left"/>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4.3实际工程量及工程建设变化情况</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本项目为固体矿产地质勘查，经查阅《关于印发环评管理中部分行业建设项目重大变动清单的通知》（环办[2015]52 号），未具体说明探矿行业的重大变更标准。 </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但是根据环境保护部办公厅文件《关于印发环评管理中部分行业建设项目重大变动清单的通知》（环办[2015]52 号）原文：“建设项目的性质、规模、地点、生产工艺和环境保护措施五个因素中的一项或一项以上发生重大变动，且可能导致环境影响显著变化（特别是不利环境影响加重）的，界定为重大变动，属于重大变动的应当重新报批环境和影响评价文件，不属于重大变动的纳入竣工环境保护验收管理”。</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bCs w:val="0"/>
                <w:color w:val="auto"/>
                <w:kern w:val="2"/>
                <w:sz w:val="24"/>
                <w:szCs w:val="21"/>
                <w:lang w:val="en-US" w:eastAsia="zh-CN" w:bidi="ar-SA"/>
              </w:rPr>
            </w:pPr>
            <w:r>
              <w:rPr>
                <w:rFonts w:hint="default" w:ascii="Times New Roman" w:hAnsi="Times New Roman" w:eastAsia="宋体" w:cs="Times New Roman"/>
                <w:color w:val="000000"/>
                <w:kern w:val="0"/>
                <w:sz w:val="24"/>
                <w:szCs w:val="24"/>
                <w:lang w:val="en-US" w:eastAsia="zh-CN" w:bidi="ar"/>
              </w:rPr>
              <w:t>本工程在建设过程中，项目的性质、规模、地点、生产工艺、环境保护措施均未发生变化</w:t>
            </w:r>
            <w:r>
              <w:rPr>
                <w:rFonts w:hint="eastAsia" w:ascii="Times New Roman" w:hAnsi="Times New Roman" w:eastAsia="宋体" w:cs="Times New Roman"/>
                <w:color w:val="000000"/>
                <w:kern w:val="0"/>
                <w:sz w:val="24"/>
                <w:szCs w:val="24"/>
                <w:lang w:val="en-US" w:eastAsia="zh-CN" w:bidi="ar"/>
              </w:rPr>
              <w:t>，只是工程量稍微发生点变动，不属于重大变更</w:t>
            </w:r>
            <w:r>
              <w:rPr>
                <w:rFonts w:hint="default" w:ascii="Times New Roman" w:hAnsi="Times New Roman" w:eastAsia="宋体" w:cs="Times New Roman"/>
                <w:color w:val="000000"/>
                <w:kern w:val="0"/>
                <w:sz w:val="24"/>
                <w:szCs w:val="24"/>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297" w:hRule="atLeast"/>
          <w:jc w:val="center"/>
        </w:trPr>
        <w:tc>
          <w:tcPr>
            <w:tcW w:w="8823" w:type="dxa"/>
            <w:tcBorders>
              <w:top w:val="single" w:color="auto" w:sz="4" w:space="0"/>
              <w:bottom w:val="single" w:color="auto" w:sz="4" w:space="0"/>
            </w:tcBorders>
            <w:noWrap w:val="0"/>
            <w:vAlign w:val="center"/>
          </w:tcPr>
          <w:p>
            <w:pPr>
              <w:numPr>
                <w:ilvl w:val="0"/>
                <w:numId w:val="0"/>
              </w:numPr>
              <w:spacing w:before="31" w:line="360" w:lineRule="auto"/>
              <w:ind w:right="2316" w:rightChars="0"/>
              <w:jc w:val="left"/>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4.4生产工艺流程</w:t>
            </w:r>
          </w:p>
          <w:p>
            <w:pPr>
              <w:keepNext w:val="0"/>
              <w:keepLines w:val="0"/>
              <w:pageBreakBefore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宋体" w:cs="Times New Roman"/>
                <w:color w:val="000000"/>
                <w:kern w:val="2"/>
                <w:sz w:val="24"/>
                <w:szCs w:val="24"/>
                <w:lang w:val="en-US" w:eastAsia="zh-CN" w:bidi="ar-SA"/>
              </w:rPr>
            </w:pPr>
            <w:r>
              <w:rPr>
                <w:rFonts w:hint="eastAsia" w:ascii="Times New Roman" w:hAnsi="Times New Roman" w:eastAsia="宋体" w:cs="Times New Roman"/>
                <w:color w:val="000000"/>
                <w:kern w:val="0"/>
                <w:sz w:val="24"/>
                <w:szCs w:val="24"/>
                <w:lang w:val="en-US" w:eastAsia="zh-CN" w:bidi="ar"/>
              </w:rPr>
              <w:t>本次探矿内容主要包括钻探、地质工程测量工程2类，项目</w:t>
            </w:r>
            <w:r>
              <w:rPr>
                <w:rFonts w:hint="default" w:ascii="Times New Roman" w:hAnsi="Times New Roman" w:eastAsia="宋体" w:cs="Times New Roman"/>
                <w:color w:val="000000"/>
                <w:kern w:val="0"/>
                <w:sz w:val="24"/>
                <w:szCs w:val="24"/>
                <w:lang w:val="en-US" w:eastAsia="zh-CN" w:bidi="ar"/>
              </w:rPr>
              <w:t>建成运营期间，没有污染物产生。</w:t>
            </w:r>
            <w:r>
              <w:rPr>
                <w:rFonts w:hint="default" w:ascii="Times New Roman" w:hAnsi="Times New Roman" w:eastAsia="宋体" w:cs="Times New Roman"/>
                <w:color w:val="000000"/>
                <w:kern w:val="2"/>
                <w:sz w:val="24"/>
                <w:szCs w:val="24"/>
                <w:lang w:val="en-US" w:eastAsia="zh-CN" w:bidi="ar-SA"/>
              </w:rPr>
              <w:t>本项目施工期工艺流程及产污环节详见下图。</w:t>
            </w:r>
          </w:p>
          <w:p>
            <w:pPr>
              <w:pStyle w:val="20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drawing>
                <wp:inline distT="0" distB="0" distL="114300" distR="114300">
                  <wp:extent cx="2896870" cy="3543935"/>
                  <wp:effectExtent l="0" t="0" r="17780" b="18415"/>
                  <wp:docPr id="1" name="图片 216" descr="未命名文件(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16" descr="未命名文件(17)"/>
                          <pic:cNvPicPr>
                            <a:picLocks noChangeAspect="1"/>
                          </pic:cNvPicPr>
                        </pic:nvPicPr>
                        <pic:blipFill>
                          <a:blip r:embed="rId20"/>
                          <a:srcRect t="3426"/>
                          <a:stretch>
                            <a:fillRect/>
                          </a:stretch>
                        </pic:blipFill>
                        <pic:spPr>
                          <a:xfrm>
                            <a:off x="0" y="0"/>
                            <a:ext cx="2896870" cy="3543935"/>
                          </a:xfrm>
                          <a:prstGeom prst="rect">
                            <a:avLst/>
                          </a:prstGeom>
                          <a:noFill/>
                          <a:ln>
                            <a:noFill/>
                          </a:ln>
                        </pic:spPr>
                      </pic:pic>
                    </a:graphicData>
                  </a:graphic>
                </wp:inline>
              </w:drawing>
            </w:r>
          </w:p>
          <w:p>
            <w:pPr>
              <w:pStyle w:val="207"/>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center"/>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图1   工程工艺流程及污染源节点图</w:t>
            </w:r>
          </w:p>
          <w:p>
            <w:pPr>
              <w:adjustRightInd w:val="0"/>
              <w:snapToGrid w:val="0"/>
              <w:spacing w:line="360" w:lineRule="auto"/>
              <w:ind w:firstLine="482" w:firstLineChars="200"/>
              <w:rPr>
                <w:rFonts w:hint="default" w:ascii="Times New Roman" w:hAnsi="Times New Roman" w:cs="Times New Roman"/>
                <w:b/>
                <w:bCs/>
                <w:color w:val="000000"/>
                <w:sz w:val="24"/>
                <w:szCs w:val="22"/>
              </w:rPr>
            </w:pPr>
            <w:r>
              <w:rPr>
                <w:rFonts w:hint="default" w:ascii="Times New Roman" w:hAnsi="Times New Roman" w:cs="Times New Roman"/>
                <w:b/>
                <w:bCs/>
                <w:color w:val="000000"/>
                <w:sz w:val="24"/>
                <w:szCs w:val="22"/>
                <w:lang w:val="en-US" w:eastAsia="zh-CN"/>
              </w:rPr>
              <w:t>工艺流程简述</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eastAsia" w:ascii="Times New Roman" w:hAnsi="Times New Roman" w:eastAsia="宋体" w:cs="Times New Roman"/>
                <w:color w:val="000000"/>
                <w:sz w:val="24"/>
                <w:szCs w:val="32"/>
                <w:lang w:val="en-US" w:eastAsia="zh-CN"/>
              </w:rPr>
              <w:t>（1）</w:t>
            </w:r>
            <w:r>
              <w:rPr>
                <w:rFonts w:hint="default" w:ascii="Times New Roman" w:hAnsi="Times New Roman" w:eastAsia="宋体" w:cs="Times New Roman"/>
                <w:color w:val="000000"/>
                <w:sz w:val="24"/>
                <w:szCs w:val="32"/>
                <w:lang w:val="en-US" w:eastAsia="zh-CN"/>
              </w:rPr>
              <w:t>钻探工程</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区内共施工钻孔3个，全部为地质孔，采用小口径金刚石绳索取芯工艺，开孔孔径为91mm，终孔孔径为75mm。三个孔全孔岩芯采取率在88.00-99.41%</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矿芯采取率在87.5-99.5%,均已达到了设计及规范要求。</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a、岩矿芯采取率</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要求岩芯分层采取率不低于75%，矿体及其顶、底3~5米的围岩采取率不低于80%，其中回次采取率次低于80%的连续长度不能超过5米，否则，需及时采取补救措施。</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b、钻孔弯曲度测量</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凡施工的钻孔，均需系统测量弯曲度。每钻进100m要求测一次，终孔时加测一次。测量结果应及时通知编录人员，要求每100米不得超过1°。随孔深增加，误差累计计算。</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c、孔深校正</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要求每100米校正一次，进出主矿体各校正一次，终孔时也要校正孔深，允许误差为1%。孔深误差率&lt;1%不修正报表，&gt;1%时要修正报表d、简易水文观测:要求施工的钻孔都要作水位观测和冲洗液消耗量观测，若用泥浆为冲洗液时可不进行冲洗液消耗量观测。每次提钻后，下钻前各测一次水位，间隔时间大于5分钟，每班至少观测一次。停钻时间若超过4小时，每小时观测一次水位，直至稳定为止;钻进过程中遇到涌水、漏水、坍塌、掉块、溶洞、变径、逸气及钻具陷落等现象应准确记录其位置。</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e、原始报表</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原始报表包括班报表、岩芯牌、岩芯整理及装箱编号等，要求真实反映生产情况，做到及时、准确、详细、整洁。钻孔竣工后，在未搬迁前地质分队和施工单位应及时做出质量鉴定和验收。</w:t>
            </w:r>
          </w:p>
          <w:p>
            <w:pPr>
              <w:adjustRightInd w:val="0"/>
              <w:snapToGrid w:val="0"/>
              <w:spacing w:line="360" w:lineRule="auto"/>
              <w:ind w:firstLine="480" w:firstLineChars="200"/>
              <w:rPr>
                <w:rFonts w:hint="default" w:ascii="Times New Roman" w:hAnsi="Times New Roman" w:eastAsia="宋体" w:cs="Times New Roman"/>
                <w:color w:val="000000"/>
                <w:sz w:val="24"/>
                <w:szCs w:val="32"/>
                <w:lang w:val="en-US" w:eastAsia="zh-CN"/>
              </w:rPr>
            </w:pPr>
            <w:r>
              <w:rPr>
                <w:rFonts w:hint="default" w:ascii="Times New Roman" w:hAnsi="Times New Roman" w:eastAsia="宋体" w:cs="Times New Roman"/>
                <w:color w:val="000000"/>
                <w:sz w:val="24"/>
                <w:szCs w:val="32"/>
                <w:lang w:val="en-US" w:eastAsia="zh-CN"/>
              </w:rPr>
              <w:t>f、封孔</w:t>
            </w:r>
            <w:r>
              <w:rPr>
                <w:rFonts w:hint="eastAsia" w:ascii="Times New Roman" w:hAnsi="Times New Roman" w:eastAsia="宋体" w:cs="Times New Roman"/>
                <w:color w:val="000000"/>
                <w:sz w:val="24"/>
                <w:szCs w:val="32"/>
                <w:lang w:val="en-US" w:eastAsia="zh-CN"/>
              </w:rPr>
              <w:t>：</w:t>
            </w:r>
            <w:r>
              <w:rPr>
                <w:rFonts w:hint="default" w:ascii="Times New Roman" w:hAnsi="Times New Roman" w:eastAsia="宋体" w:cs="Times New Roman"/>
                <w:color w:val="000000"/>
                <w:sz w:val="24"/>
                <w:szCs w:val="32"/>
                <w:lang w:val="en-US" w:eastAsia="zh-CN"/>
              </w:rPr>
              <w:t>要求用浓水泥浆灌封，若见多金属矿层时，上下各5米用水泥封孔孔口竖立水泥桩作固定标志，注明勘探线及孔号，以砂砾、水泥加以固定。</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32"/>
                <w:lang w:val="en-US" w:eastAsia="zh-CN"/>
              </w:rPr>
              <w:t>最终提交的钻孔资料有:钻孔柱状图、钻孔地质编录描述、钻孔结构和孔深校正表、弯曲度测量登记表、质量验收表、封孔设计和封孔记录表、简易水文观测表、钻探施工通知书、设计柱状图、安装和定位通知书、施工变更通知书，补采岩、矿芯通知书，工程终止</w:t>
            </w:r>
            <w:r>
              <w:rPr>
                <w:rFonts w:hint="default" w:ascii="Times New Roman" w:hAnsi="Times New Roman" w:eastAsia="宋体" w:cs="Times New Roman"/>
                <w:color w:val="000000"/>
                <w:sz w:val="24"/>
                <w:szCs w:val="24"/>
                <w:lang w:val="en-US" w:eastAsia="zh-CN"/>
              </w:rPr>
              <w:t>通知书、钻孔地质小结等。</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（2）</w:t>
            </w:r>
            <w:r>
              <w:rPr>
                <w:rFonts w:hint="default" w:ascii="Times New Roman" w:hAnsi="Times New Roman" w:eastAsia="宋体" w:cs="Times New Roman"/>
                <w:color w:val="000000"/>
                <w:sz w:val="24"/>
                <w:szCs w:val="24"/>
                <w:lang w:val="en-US" w:eastAsia="zh-CN"/>
              </w:rPr>
              <w:t>地质工程测量</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本次地质工程测量工作以穿越法为主，辅以追索法，无需动土。</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w:t>
            </w:r>
            <w:r>
              <w:rPr>
                <w:rFonts w:hint="default" w:ascii="Times New Roman" w:hAnsi="Times New Roman" w:eastAsia="宋体" w:cs="Times New Roman"/>
                <w:color w:val="000000"/>
                <w:sz w:val="24"/>
                <w:szCs w:val="24"/>
                <w:lang w:val="en-US" w:eastAsia="zh-CN"/>
              </w:rPr>
              <w:t>取样</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a、基本分析样</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样品均从岩矿芯中采取。样品长度一般为1.00m，最大1.50m，最小0.4m相邻回次采取率差别大时，样品不跨回次。</w:t>
            </w:r>
          </w:p>
          <w:p>
            <w:pPr>
              <w:adjustRightInd w:val="0"/>
              <w:snapToGrid w:val="0"/>
              <w:spacing w:line="360" w:lineRule="auto"/>
              <w:ind w:firstLine="480" w:firstLineChars="200"/>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采样时用岩芯劈开机沿矿心长轴方向劈开，一半送样化验，另一半按原顺序放入岩心箱内，并放置取样牌。</w:t>
            </w:r>
          </w:p>
          <w:p>
            <w:pPr>
              <w:adjustRightInd w:val="0"/>
              <w:snapToGrid w:val="0"/>
              <w:spacing w:line="360" w:lineRule="auto"/>
              <w:ind w:firstLine="480" w:firstLineChars="200"/>
              <w:rPr>
                <w:rFonts w:hint="default"/>
                <w:sz w:val="24"/>
                <w:szCs w:val="24"/>
                <w:lang w:val="en-US" w:eastAsia="zh-CN"/>
              </w:rPr>
            </w:pPr>
            <w:r>
              <w:rPr>
                <w:rFonts w:hint="default"/>
                <w:sz w:val="24"/>
                <w:szCs w:val="24"/>
                <w:lang w:val="en-US" w:eastAsia="zh-CN"/>
              </w:rPr>
              <w:t>采样前后各工序均做质量检查。内容包括样品长度及位置的确定是否正确劈分位置是否正确等，取样质量符合规范要求。</w:t>
            </w:r>
          </w:p>
          <w:p>
            <w:pPr>
              <w:adjustRightInd w:val="0"/>
              <w:snapToGrid w:val="0"/>
              <w:spacing w:line="360" w:lineRule="auto"/>
              <w:ind w:firstLine="480" w:firstLineChars="200"/>
              <w:rPr>
                <w:rFonts w:hint="default"/>
                <w:sz w:val="24"/>
                <w:szCs w:val="24"/>
                <w:lang w:val="en-US" w:eastAsia="zh-CN"/>
              </w:rPr>
            </w:pPr>
            <w:r>
              <w:rPr>
                <w:rFonts w:hint="default"/>
                <w:sz w:val="24"/>
                <w:szCs w:val="24"/>
                <w:lang w:val="en-US" w:eastAsia="zh-CN"/>
              </w:rPr>
              <w:t>b、岩矿鉴定样</w:t>
            </w:r>
          </w:p>
          <w:p>
            <w:pPr>
              <w:adjustRightInd w:val="0"/>
              <w:snapToGrid w:val="0"/>
              <w:spacing w:line="360" w:lineRule="auto"/>
              <w:ind w:firstLine="480" w:firstLineChars="200"/>
              <w:rPr>
                <w:rFonts w:hint="default"/>
                <w:sz w:val="24"/>
                <w:szCs w:val="24"/>
                <w:lang w:val="en-US" w:eastAsia="zh-CN"/>
              </w:rPr>
            </w:pPr>
            <w:r>
              <w:rPr>
                <w:rFonts w:hint="default"/>
                <w:sz w:val="24"/>
                <w:szCs w:val="24"/>
                <w:lang w:val="en-US" w:eastAsia="zh-CN"/>
              </w:rPr>
              <w:t>在钻孔岩芯中采取，规格一般 2x5x8cm,样品代表性好</w:t>
            </w:r>
            <w:r>
              <w:rPr>
                <w:rFonts w:hint="eastAsia"/>
                <w:sz w:val="24"/>
                <w:szCs w:val="24"/>
                <w:lang w:val="en-US" w:eastAsia="zh-CN"/>
              </w:rPr>
              <w:t>，</w:t>
            </w:r>
            <w:r>
              <w:rPr>
                <w:rFonts w:hint="default"/>
                <w:sz w:val="24"/>
                <w:szCs w:val="24"/>
                <w:lang w:val="en-US" w:eastAsia="zh-CN"/>
              </w:rPr>
              <w:t>能够满足分析要求</w:t>
            </w:r>
            <w:r>
              <w:rPr>
                <w:rFonts w:hint="eastAsia"/>
                <w:sz w:val="24"/>
                <w:szCs w:val="24"/>
                <w:lang w:val="en-US" w:eastAsia="zh-CN"/>
              </w:rPr>
              <w:t>。</w:t>
            </w:r>
          </w:p>
          <w:p>
            <w:pPr>
              <w:adjustRightInd w:val="0"/>
              <w:snapToGrid w:val="0"/>
              <w:spacing w:line="360" w:lineRule="auto"/>
              <w:ind w:firstLine="480" w:firstLineChars="200"/>
              <w:rPr>
                <w:rFonts w:hint="default"/>
                <w:lang w:val="en-US" w:eastAsia="zh-CN"/>
              </w:rPr>
            </w:pPr>
            <w:r>
              <w:rPr>
                <w:rFonts w:hint="eastAsia"/>
                <w:sz w:val="24"/>
                <w:szCs w:val="24"/>
                <w:lang w:val="en-US" w:eastAsia="zh-CN"/>
              </w:rPr>
              <w:t>根据调查，实际工艺流程与环评阶段一致。</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23" w:type="dxa"/>
            <w:tcBorders>
              <w:top w:val="single" w:color="auto" w:sz="4" w:space="0"/>
              <w:bottom w:val="single" w:color="auto" w:sz="4" w:space="0"/>
            </w:tcBorders>
            <w:noWrap w:val="0"/>
            <w:vAlign w:val="center"/>
          </w:tcPr>
          <w:p>
            <w:pPr>
              <w:pStyle w:val="43"/>
              <w:ind w:left="0" w:leftChars="0" w:firstLine="0" w:firstLineChars="0"/>
              <w:rPr>
                <w:rFonts w:hint="eastAsia" w:ascii="Times New Roman" w:hAnsi="Times New Roman" w:eastAsia="宋体" w:cs="Times New Roman"/>
                <w:b/>
                <w:bCs/>
                <w:color w:val="000000"/>
                <w:kern w:val="2"/>
                <w:sz w:val="24"/>
                <w:szCs w:val="24"/>
                <w:lang w:val="en-US" w:eastAsia="zh-CN" w:bidi="ar-SA"/>
              </w:rPr>
            </w:pPr>
            <w:r>
              <w:rPr>
                <w:rFonts w:hint="default" w:ascii="Times New Roman" w:hAnsi="Times New Roman" w:eastAsia="宋体" w:cs="Times New Roman"/>
                <w:b/>
                <w:bCs/>
                <w:color w:val="000000"/>
                <w:kern w:val="2"/>
                <w:sz w:val="24"/>
                <w:szCs w:val="24"/>
                <w:lang w:val="en-US" w:eastAsia="zh-CN" w:bidi="ar-SA"/>
              </w:rPr>
              <w:t>4</w:t>
            </w:r>
            <w:r>
              <w:rPr>
                <w:rFonts w:hint="eastAsia" w:ascii="Times New Roman" w:hAnsi="Times New Roman" w:eastAsia="宋体" w:cs="Times New Roman"/>
                <w:b/>
                <w:bCs/>
                <w:color w:val="000000"/>
                <w:kern w:val="2"/>
                <w:sz w:val="24"/>
                <w:szCs w:val="24"/>
                <w:lang w:val="en-US" w:eastAsia="zh-CN" w:bidi="ar-SA"/>
              </w:rPr>
              <w:t>.5   工程占地</w:t>
            </w:r>
          </w:p>
          <w:p>
            <w:pPr>
              <w:spacing w:line="360" w:lineRule="auto"/>
              <w:ind w:firstLine="480" w:firstLineChars="200"/>
              <w:rPr>
                <w:rFonts w:hint="default"/>
                <w:lang w:val="en-US" w:eastAsia="zh-CN"/>
              </w:rPr>
            </w:pPr>
            <w:r>
              <w:rPr>
                <w:rFonts w:hint="default"/>
                <w:sz w:val="24"/>
                <w:szCs w:val="24"/>
                <w:lang w:val="en-US" w:eastAsia="zh-CN"/>
              </w:rPr>
              <w:t>本次探矿占地为临时占地</w:t>
            </w:r>
            <w:r>
              <w:rPr>
                <w:rFonts w:hint="eastAsia"/>
                <w:sz w:val="24"/>
                <w:szCs w:val="24"/>
                <w:lang w:val="en-US" w:eastAsia="zh-CN"/>
              </w:rPr>
              <w:t>，</w:t>
            </w:r>
            <w:r>
              <w:rPr>
                <w:rFonts w:hint="default"/>
                <w:sz w:val="24"/>
                <w:szCs w:val="24"/>
                <w:lang w:val="en-US" w:eastAsia="zh-CN"/>
              </w:rPr>
              <w:t>占地面积为13.57km</w:t>
            </w:r>
            <w:r>
              <w:rPr>
                <w:rFonts w:hint="eastAsia"/>
                <w:sz w:val="24"/>
                <w:szCs w:val="24"/>
                <w:vertAlign w:val="superscript"/>
                <w:lang w:val="en-US" w:eastAsia="zh-CN"/>
              </w:rPr>
              <w:t>2</w:t>
            </w:r>
            <w:r>
              <w:rPr>
                <w:rFonts w:hint="eastAsia"/>
                <w:sz w:val="24"/>
                <w:szCs w:val="24"/>
                <w:lang w:val="en-US" w:eastAsia="zh-CN"/>
              </w:rPr>
              <w:t>，</w:t>
            </w:r>
            <w:r>
              <w:rPr>
                <w:rFonts w:hint="default"/>
                <w:sz w:val="24"/>
                <w:szCs w:val="24"/>
                <w:lang w:val="en-US" w:eastAsia="zh-CN"/>
              </w:rPr>
              <w:t>其中设置一处生活营地</w:t>
            </w:r>
            <w:r>
              <w:rPr>
                <w:rFonts w:hint="eastAsia"/>
                <w:sz w:val="24"/>
                <w:szCs w:val="24"/>
                <w:lang w:val="en-US" w:eastAsia="zh-CN"/>
              </w:rPr>
              <w:t>（</w:t>
            </w:r>
            <w:r>
              <w:rPr>
                <w:rFonts w:hint="default"/>
                <w:sz w:val="24"/>
                <w:szCs w:val="24"/>
                <w:lang w:val="en-US" w:eastAsia="zh-CN"/>
              </w:rPr>
              <w:t>位于钻孔山脚处无植被覆盖的荒地</w:t>
            </w:r>
            <w:r>
              <w:rPr>
                <w:rFonts w:hint="eastAsia"/>
                <w:sz w:val="24"/>
                <w:szCs w:val="24"/>
                <w:lang w:val="en-US" w:eastAsia="zh-CN"/>
              </w:rPr>
              <w:t>）</w:t>
            </w:r>
            <w:r>
              <w:rPr>
                <w:rFonts w:hint="default"/>
                <w:sz w:val="24"/>
                <w:szCs w:val="24"/>
                <w:lang w:val="en-US" w:eastAsia="zh-CN"/>
              </w:rPr>
              <w:t>，新搭建帐篷。离工作区较近，占地面积约为40m</w:t>
            </w:r>
            <w:r>
              <w:rPr>
                <w:rFonts w:hint="eastAsia"/>
                <w:sz w:val="24"/>
                <w:szCs w:val="24"/>
                <w:vertAlign w:val="superscript"/>
                <w:lang w:val="en-US" w:eastAsia="zh-CN"/>
              </w:rPr>
              <w:t>2</w:t>
            </w:r>
            <w:r>
              <w:rPr>
                <w:rFonts w:hint="default"/>
                <w:sz w:val="24"/>
                <w:szCs w:val="24"/>
                <w:lang w:val="en-US" w:eastAsia="zh-CN"/>
              </w:rPr>
              <w:t>。在钻孔附近设置两处临时堆土场，用于对方开挖出的土石方，占地面积约为1020m。本次普查依托预查时的部分探矿道路，矿区主干道路利用矿区已有道路、冲沟、小道等，新建的探矿便道</w:t>
            </w:r>
            <w:r>
              <w:rPr>
                <w:rFonts w:hint="eastAsia"/>
                <w:sz w:val="24"/>
                <w:szCs w:val="24"/>
                <w:lang w:val="en-US" w:eastAsia="zh-CN"/>
              </w:rPr>
              <w:t>（</w:t>
            </w:r>
            <w:r>
              <w:rPr>
                <w:rFonts w:hint="default"/>
                <w:sz w:val="24"/>
                <w:szCs w:val="24"/>
                <w:lang w:val="en-US" w:eastAsia="zh-CN"/>
              </w:rPr>
              <w:t>主要为钻探</w:t>
            </w:r>
            <w:r>
              <w:rPr>
                <w:rFonts w:hint="eastAsia"/>
                <w:sz w:val="24"/>
                <w:szCs w:val="24"/>
                <w:lang w:val="en-US" w:eastAsia="zh-CN"/>
              </w:rPr>
              <w:t>）</w:t>
            </w:r>
            <w:r>
              <w:rPr>
                <w:rFonts w:hint="default"/>
                <w:sz w:val="24"/>
                <w:szCs w:val="24"/>
                <w:lang w:val="en-US" w:eastAsia="zh-CN"/>
              </w:rPr>
              <w:t>选择</w:t>
            </w:r>
            <w:r>
              <w:rPr>
                <w:rFonts w:hint="eastAsia"/>
                <w:sz w:val="24"/>
                <w:szCs w:val="24"/>
                <w:lang w:val="en-US" w:eastAsia="zh-CN"/>
              </w:rPr>
              <w:t>了</w:t>
            </w:r>
            <w:r>
              <w:rPr>
                <w:rFonts w:hint="default"/>
                <w:sz w:val="24"/>
                <w:szCs w:val="24"/>
                <w:lang w:val="en-US" w:eastAsia="zh-CN"/>
              </w:rPr>
              <w:t>地势较平坦的道路稍微平整压实后作为探矿道路。探矿道路在普查结束停止使用后，进行</w:t>
            </w:r>
            <w:r>
              <w:rPr>
                <w:rFonts w:hint="eastAsia"/>
                <w:sz w:val="24"/>
                <w:szCs w:val="24"/>
                <w:lang w:val="en-US" w:eastAsia="zh-CN"/>
              </w:rPr>
              <w:t>了</w:t>
            </w:r>
            <w:r>
              <w:rPr>
                <w:rFonts w:hint="default"/>
                <w:sz w:val="24"/>
                <w:szCs w:val="24"/>
                <w:lang w:val="en-US" w:eastAsia="zh-CN"/>
              </w:rPr>
              <w:t>生态恢复工作。</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8823" w:type="dxa"/>
            <w:tcBorders>
              <w:top w:val="single" w:color="auto" w:sz="4" w:space="0"/>
              <w:bottom w:val="single" w:color="auto" w:sz="4" w:space="0"/>
            </w:tcBorders>
            <w:noWrap w:val="0"/>
            <w:vAlign w:val="center"/>
          </w:tcPr>
          <w:p>
            <w:pPr>
              <w:spacing w:line="360" w:lineRule="auto"/>
              <w:jc w:val="left"/>
              <w:rPr>
                <w:rFonts w:hint="default" w:ascii="Times New Roman" w:hAnsi="Times New Roman" w:eastAsia="宋体" w:cs="Times New Roman"/>
                <w:b/>
                <w:color w:val="auto"/>
                <w:sz w:val="24"/>
                <w:lang w:eastAsia="zh-CN"/>
              </w:rPr>
            </w:pPr>
            <w:r>
              <w:rPr>
                <w:rFonts w:hint="default" w:ascii="Times New Roman" w:hAnsi="Times New Roman" w:eastAsia="宋体" w:cs="Times New Roman"/>
                <w:b/>
                <w:color w:val="auto"/>
                <w:sz w:val="24"/>
                <w:lang w:val="en-US" w:eastAsia="zh-CN"/>
              </w:rPr>
              <w:t>4.6</w:t>
            </w:r>
            <w:r>
              <w:rPr>
                <w:rFonts w:hint="default" w:ascii="Times New Roman" w:hAnsi="Times New Roman" w:eastAsia="宋体" w:cs="Times New Roman"/>
                <w:b/>
                <w:color w:val="auto"/>
                <w:sz w:val="24"/>
              </w:rPr>
              <w:t>工程</w:t>
            </w:r>
            <w:r>
              <w:rPr>
                <w:rFonts w:hint="default" w:ascii="Times New Roman" w:hAnsi="Times New Roman" w:eastAsia="宋体" w:cs="Times New Roman"/>
                <w:b/>
                <w:color w:val="auto"/>
                <w:sz w:val="24"/>
                <w:lang w:eastAsia="zh-CN"/>
              </w:rPr>
              <w:t>环境保护</w:t>
            </w:r>
            <w:r>
              <w:rPr>
                <w:rFonts w:hint="default" w:ascii="Times New Roman" w:hAnsi="Times New Roman" w:eastAsia="宋体" w:cs="Times New Roman"/>
                <w:b/>
                <w:color w:val="auto"/>
                <w:sz w:val="24"/>
              </w:rPr>
              <w:t>投资</w:t>
            </w:r>
          </w:p>
          <w:p>
            <w:pPr>
              <w:pStyle w:val="6"/>
              <w:ind w:firstLine="480"/>
              <w:rPr>
                <w:rFonts w:hint="default" w:ascii="Times New Roman" w:hAnsi="Times New Roman" w:eastAsia="宋体" w:cs="Times New Roman"/>
                <w:color w:val="0000FF"/>
                <w:sz w:val="24"/>
                <w:szCs w:val="24"/>
                <w:lang w:val="en-US" w:eastAsia="zh-CN"/>
              </w:rPr>
            </w:pPr>
            <w:r>
              <w:rPr>
                <w:rFonts w:hint="default" w:ascii="Times New Roman" w:hAnsi="Times New Roman" w:eastAsia="宋体" w:cs="Times New Roman"/>
                <w:color w:val="auto"/>
                <w:sz w:val="24"/>
                <w:szCs w:val="24"/>
                <w:lang w:val="en-US" w:eastAsia="zh-CN"/>
              </w:rPr>
              <w:t>本项目</w:t>
            </w:r>
            <w:r>
              <w:rPr>
                <w:rFonts w:hint="eastAsia" w:ascii="Times New Roman" w:hAnsi="Times New Roman" w:eastAsia="宋体" w:cs="Times New Roman"/>
                <w:color w:val="auto"/>
                <w:sz w:val="24"/>
                <w:szCs w:val="24"/>
                <w:lang w:val="en-US" w:eastAsia="zh-CN"/>
              </w:rPr>
              <w:t>环评项目总</w:t>
            </w:r>
            <w:r>
              <w:rPr>
                <w:rFonts w:hint="eastAsia" w:ascii="Times New Roman" w:hAnsi="Times New Roman" w:eastAsia="宋体" w:cs="Times New Roman"/>
                <w:color w:val="000000"/>
                <w:sz w:val="24"/>
                <w:szCs w:val="24"/>
                <w:lang w:val="en-US" w:eastAsia="zh-CN"/>
              </w:rPr>
              <w:t>投资1830万元，</w:t>
            </w:r>
            <w:r>
              <w:rPr>
                <w:rFonts w:hint="eastAsia" w:ascii="Times New Roman" w:hAnsi="Times New Roman" w:eastAsia="宋体" w:cs="Times New Roman"/>
                <w:color w:val="auto"/>
                <w:sz w:val="24"/>
                <w:szCs w:val="24"/>
                <w:lang w:val="en-US" w:eastAsia="zh-CN"/>
              </w:rPr>
              <w:t>其中环保投资约135.97万元，占总投资7.43%</w:t>
            </w:r>
            <w:r>
              <w:rPr>
                <w:rFonts w:hint="default" w:ascii="Times New Roman" w:hAnsi="Times New Roman" w:eastAsia="宋体" w:cs="Times New Roman"/>
                <w:color w:val="auto"/>
                <w:sz w:val="24"/>
                <w:szCs w:val="24"/>
                <w:lang w:val="en-US" w:eastAsia="zh-CN"/>
              </w:rPr>
              <w:t>，经过调查，实际总投资</w:t>
            </w:r>
            <w:r>
              <w:rPr>
                <w:rFonts w:hint="eastAsia" w:ascii="Times New Roman" w:hAnsi="Times New Roman" w:eastAsia="宋体" w:cs="Times New Roman"/>
                <w:color w:val="auto"/>
                <w:sz w:val="24"/>
                <w:szCs w:val="24"/>
                <w:lang w:val="en-US" w:eastAsia="zh-CN"/>
              </w:rPr>
              <w:t>与环评阶段一致</w:t>
            </w:r>
            <w:r>
              <w:rPr>
                <w:rFonts w:hint="default" w:ascii="Times New Roman" w:hAnsi="Times New Roman" w:eastAsia="宋体" w:cs="Times New Roman"/>
                <w:color w:val="auto"/>
                <w:sz w:val="24"/>
                <w:szCs w:val="24"/>
                <w:lang w:val="en-US" w:eastAsia="zh-CN"/>
              </w:rPr>
              <w:t>。工</w:t>
            </w:r>
            <w:r>
              <w:rPr>
                <w:rFonts w:hint="default" w:ascii="Times New Roman" w:hAnsi="Times New Roman" w:eastAsia="宋体" w:cs="Times New Roman"/>
                <w:color w:val="auto"/>
                <w:sz w:val="24"/>
                <w:szCs w:val="24"/>
              </w:rPr>
              <w:t>程实际环保投资见</w:t>
            </w:r>
            <w:r>
              <w:rPr>
                <w:rFonts w:hint="default" w:ascii="Times New Roman" w:hAnsi="Times New Roman" w:eastAsia="宋体" w:cs="Times New Roman"/>
                <w:color w:val="auto"/>
                <w:sz w:val="24"/>
                <w:szCs w:val="24"/>
                <w:lang w:eastAsia="zh-CN"/>
              </w:rPr>
              <w:t>下表</w:t>
            </w:r>
            <w:r>
              <w:rPr>
                <w:rFonts w:hint="default" w:ascii="Times New Roman" w:hAnsi="Times New Roman" w:eastAsia="宋体" w:cs="Times New Roman"/>
                <w:color w:val="auto"/>
                <w:sz w:val="24"/>
                <w:szCs w:val="24"/>
                <w:lang w:val="en-US" w:eastAsia="zh-CN"/>
              </w:rPr>
              <w:t>。</w:t>
            </w:r>
          </w:p>
          <w:p>
            <w:pPr>
              <w:keepNext w:val="0"/>
              <w:keepLines w:val="0"/>
              <w:pageBreakBefore w:val="0"/>
              <w:widowControl w:val="0"/>
              <w:tabs>
                <w:tab w:val="left" w:pos="840"/>
                <w:tab w:val="left" w:pos="900"/>
                <w:tab w:val="left" w:pos="1140"/>
              </w:tabs>
              <w:kinsoku/>
              <w:wordWrap/>
              <w:overflowPunct/>
              <w:topLinePunct w:val="0"/>
              <w:autoSpaceDE/>
              <w:autoSpaceDN/>
              <w:bidi w:val="0"/>
              <w:adjustRightInd/>
              <w:snapToGrid w:val="0"/>
              <w:spacing w:line="360" w:lineRule="auto"/>
              <w:jc w:val="center"/>
              <w:textAlignment w:val="auto"/>
              <w:rPr>
                <w:rFonts w:hint="default" w:ascii="Times New Roman" w:hAnsi="Times New Roman" w:eastAsia="宋体" w:cs="Times New Roman"/>
                <w:b/>
                <w:bCs w:val="0"/>
                <w:w w:val="95"/>
                <w:sz w:val="24"/>
                <w:szCs w:val="24"/>
                <w:lang w:val="zh-CN" w:eastAsia="zh-CN" w:bidi="zh-CN"/>
              </w:rPr>
            </w:pPr>
            <w:r>
              <w:rPr>
                <w:rFonts w:hint="default" w:ascii="Times New Roman" w:hAnsi="Times New Roman" w:eastAsia="宋体" w:cs="Times New Roman"/>
                <w:b/>
                <w:bCs/>
                <w:color w:val="auto"/>
                <w:kern w:val="2"/>
                <w:sz w:val="24"/>
                <w:szCs w:val="24"/>
                <w:lang w:val="en-US" w:eastAsia="zh-CN" w:bidi="ar-SA"/>
              </w:rPr>
              <w:t>表2-3  工程实际环保投资统计表</w:t>
            </w:r>
          </w:p>
          <w:tbl>
            <w:tblPr>
              <w:tblStyle w:val="45"/>
              <w:tblW w:w="60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080"/>
              <w:gridCol w:w="4154"/>
              <w:gridCol w:w="1"/>
              <w:gridCol w:w="1107"/>
              <w:gridCol w:w="1"/>
              <w:gridCol w:w="1107"/>
              <w:gridCol w:w="1"/>
              <w:gridCol w:w="1108"/>
              <w:gridCol w:w="1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449" w:hRule="atLeast"/>
              </w:trPr>
              <w:tc>
                <w:tcPr>
                  <w:tcW w:w="362" w:type="pct"/>
                  <w:noWrap w:val="0"/>
                  <w:vAlign w:val="center"/>
                </w:tcPr>
                <w:p>
                  <w:pPr>
                    <w:jc w:val="center"/>
                    <w:rPr>
                      <w:rFonts w:hint="eastAsia"/>
                      <w:lang w:val="en-US" w:eastAsia="zh-CN"/>
                    </w:rPr>
                  </w:pPr>
                  <w:r>
                    <w:rPr>
                      <w:rFonts w:hint="eastAsia"/>
                      <w:lang w:val="en-US" w:eastAsia="zh-CN"/>
                    </w:rPr>
                    <w:t>阶段</w:t>
                  </w:r>
                </w:p>
              </w:tc>
              <w:tc>
                <w:tcPr>
                  <w:tcW w:w="518" w:type="pct"/>
                  <w:noWrap w:val="0"/>
                  <w:vAlign w:val="center"/>
                </w:tcPr>
                <w:p>
                  <w:pPr>
                    <w:jc w:val="center"/>
                    <w:rPr>
                      <w:rFonts w:hint="eastAsia"/>
                      <w:lang w:val="en-US" w:eastAsia="zh-CN"/>
                    </w:rPr>
                  </w:pPr>
                  <w:r>
                    <w:rPr>
                      <w:rFonts w:hint="eastAsia"/>
                      <w:lang w:val="en-US" w:eastAsia="zh-CN"/>
                    </w:rPr>
                    <w:t>环保措施项目</w:t>
                  </w:r>
                </w:p>
              </w:tc>
              <w:tc>
                <w:tcPr>
                  <w:tcW w:w="1993" w:type="pct"/>
                  <w:noWrap w:val="0"/>
                  <w:vAlign w:val="center"/>
                </w:tcPr>
                <w:p>
                  <w:pPr>
                    <w:jc w:val="center"/>
                    <w:rPr>
                      <w:rFonts w:hint="eastAsia"/>
                      <w:lang w:val="en-US" w:eastAsia="zh-CN"/>
                    </w:rPr>
                  </w:pPr>
                  <w:r>
                    <w:rPr>
                      <w:rFonts w:hint="eastAsia"/>
                      <w:lang w:val="en-US" w:eastAsia="zh-CN"/>
                    </w:rPr>
                    <w:t>环保措施</w:t>
                  </w:r>
                </w:p>
              </w:tc>
              <w:tc>
                <w:tcPr>
                  <w:tcW w:w="531" w:type="pct"/>
                  <w:gridSpan w:val="2"/>
                  <w:noWrap w:val="0"/>
                  <w:vAlign w:val="center"/>
                </w:tcPr>
                <w:p>
                  <w:pPr>
                    <w:jc w:val="center"/>
                    <w:rPr>
                      <w:rFonts w:hint="eastAsia"/>
                      <w:lang w:val="en-US" w:eastAsia="zh-CN"/>
                    </w:rPr>
                  </w:pPr>
                  <w:r>
                    <w:rPr>
                      <w:rFonts w:hint="eastAsia"/>
                      <w:lang w:val="en-US" w:eastAsia="zh-CN"/>
                    </w:rPr>
                    <w:t>环评投资（万元）</w:t>
                  </w:r>
                </w:p>
              </w:tc>
              <w:tc>
                <w:tcPr>
                  <w:tcW w:w="531" w:type="pct"/>
                  <w:gridSpan w:val="2"/>
                  <w:noWrap w:val="0"/>
                  <w:vAlign w:val="center"/>
                </w:tcPr>
                <w:p>
                  <w:pPr>
                    <w:jc w:val="center"/>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实际投资</w:t>
                  </w:r>
                </w:p>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449" w:hRule="atLeast"/>
              </w:trPr>
              <w:tc>
                <w:tcPr>
                  <w:tcW w:w="362" w:type="pct"/>
                  <w:vMerge w:val="restart"/>
                  <w:noWrap w:val="0"/>
                  <w:vAlign w:val="center"/>
                </w:tcPr>
                <w:p>
                  <w:pPr>
                    <w:jc w:val="center"/>
                    <w:rPr>
                      <w:rFonts w:hint="default"/>
                      <w:lang w:val="en-US" w:eastAsia="zh-CN"/>
                    </w:rPr>
                  </w:pPr>
                  <w:r>
                    <w:rPr>
                      <w:rFonts w:hint="eastAsia"/>
                      <w:lang w:val="en-US" w:eastAsia="zh-CN"/>
                    </w:rPr>
                    <w:t>施工期</w:t>
                  </w:r>
                </w:p>
              </w:tc>
              <w:tc>
                <w:tcPr>
                  <w:tcW w:w="518" w:type="pct"/>
                  <w:vMerge w:val="restart"/>
                  <w:noWrap w:val="0"/>
                  <w:vAlign w:val="center"/>
                </w:tcPr>
                <w:p>
                  <w:pPr>
                    <w:jc w:val="center"/>
                    <w:rPr>
                      <w:rFonts w:hint="default"/>
                      <w:lang w:val="en-US" w:eastAsia="zh-CN"/>
                    </w:rPr>
                  </w:pPr>
                  <w:r>
                    <w:rPr>
                      <w:rFonts w:hint="eastAsia"/>
                      <w:lang w:val="en-US" w:eastAsia="zh-CN"/>
                    </w:rPr>
                    <w:t>生态环境</w:t>
                  </w:r>
                </w:p>
              </w:tc>
              <w:tc>
                <w:tcPr>
                  <w:tcW w:w="1993" w:type="pct"/>
                  <w:noWrap w:val="0"/>
                  <w:vAlign w:val="center"/>
                </w:tcPr>
                <w:p>
                  <w:pPr>
                    <w:jc w:val="center"/>
                    <w:rPr>
                      <w:rFonts w:hint="default"/>
                      <w:lang w:val="en-US" w:eastAsia="zh-CN"/>
                    </w:rPr>
                  </w:pPr>
                  <w:r>
                    <w:rPr>
                      <w:rFonts w:hint="eastAsia"/>
                      <w:lang w:val="en-US" w:eastAsia="zh-CN"/>
                    </w:rPr>
                    <w:t>人工播撒区域草本</w:t>
                  </w:r>
                </w:p>
              </w:tc>
              <w:tc>
                <w:tcPr>
                  <w:tcW w:w="531" w:type="pct"/>
                  <w:gridSpan w:val="2"/>
                  <w:noWrap w:val="0"/>
                  <w:vAlign w:val="center"/>
                </w:tcPr>
                <w:p>
                  <w:pPr>
                    <w:jc w:val="center"/>
                    <w:rPr>
                      <w:rFonts w:hint="default"/>
                      <w:lang w:val="en-US" w:eastAsia="zh-CN"/>
                    </w:rPr>
                  </w:pPr>
                  <w:r>
                    <w:rPr>
                      <w:rFonts w:hint="eastAsia"/>
                      <w:lang w:val="en-US" w:eastAsia="zh-CN"/>
                    </w:rPr>
                    <w:t>40</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449" w:hRule="atLeast"/>
              </w:trPr>
              <w:tc>
                <w:tcPr>
                  <w:tcW w:w="362" w:type="pct"/>
                  <w:vMerge w:val="continue"/>
                  <w:noWrap w:val="0"/>
                  <w:vAlign w:val="center"/>
                </w:tcPr>
                <w:p>
                  <w:pPr>
                    <w:jc w:val="center"/>
                    <w:rPr>
                      <w:rFonts w:hint="eastAsia"/>
                      <w:lang w:val="en-US" w:eastAsia="zh-CN"/>
                    </w:rPr>
                  </w:pPr>
                </w:p>
              </w:tc>
              <w:tc>
                <w:tcPr>
                  <w:tcW w:w="518" w:type="pct"/>
                  <w:vMerge w:val="continue"/>
                  <w:noWrap w:val="0"/>
                  <w:vAlign w:val="center"/>
                </w:tcPr>
                <w:p>
                  <w:pPr>
                    <w:jc w:val="center"/>
                    <w:rPr>
                      <w:rFonts w:hint="eastAsia"/>
                      <w:lang w:val="en-US" w:eastAsia="zh-CN"/>
                    </w:rPr>
                  </w:pPr>
                </w:p>
              </w:tc>
              <w:tc>
                <w:tcPr>
                  <w:tcW w:w="1993" w:type="pct"/>
                  <w:noWrap w:val="0"/>
                  <w:vAlign w:val="center"/>
                </w:tcPr>
                <w:p>
                  <w:pPr>
                    <w:jc w:val="center"/>
                    <w:rPr>
                      <w:rFonts w:hint="default"/>
                      <w:lang w:val="en-US" w:eastAsia="zh-CN"/>
                    </w:rPr>
                  </w:pPr>
                  <w:r>
                    <w:rPr>
                      <w:rFonts w:hint="eastAsia"/>
                      <w:lang w:val="en-US" w:eastAsia="zh-CN"/>
                    </w:rPr>
                    <w:t>土石方回填</w:t>
                  </w:r>
                </w:p>
              </w:tc>
              <w:tc>
                <w:tcPr>
                  <w:tcW w:w="531" w:type="pct"/>
                  <w:gridSpan w:val="2"/>
                  <w:noWrap w:val="0"/>
                  <w:vAlign w:val="center"/>
                </w:tcPr>
                <w:p>
                  <w:pPr>
                    <w:jc w:val="center"/>
                    <w:rPr>
                      <w:rFonts w:hint="default"/>
                      <w:lang w:val="en-US" w:eastAsia="zh-CN"/>
                    </w:rPr>
                  </w:pPr>
                  <w:r>
                    <w:rPr>
                      <w:rFonts w:hint="eastAsia"/>
                      <w:lang w:val="en-US" w:eastAsia="zh-CN"/>
                    </w:rPr>
                    <w:t>36.47</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36.47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449" w:hRule="atLeast"/>
              </w:trPr>
              <w:tc>
                <w:tcPr>
                  <w:tcW w:w="362" w:type="pct"/>
                  <w:vMerge w:val="continue"/>
                  <w:noWrap w:val="0"/>
                  <w:vAlign w:val="center"/>
                </w:tcPr>
                <w:p>
                  <w:pPr>
                    <w:jc w:val="center"/>
                    <w:rPr>
                      <w:rFonts w:hint="eastAsia"/>
                      <w:lang w:val="en-US" w:eastAsia="zh-CN"/>
                    </w:rPr>
                  </w:pPr>
                </w:p>
              </w:tc>
              <w:tc>
                <w:tcPr>
                  <w:tcW w:w="518" w:type="pct"/>
                  <w:vMerge w:val="continue"/>
                  <w:noWrap w:val="0"/>
                  <w:vAlign w:val="center"/>
                </w:tcPr>
                <w:p>
                  <w:pPr>
                    <w:jc w:val="center"/>
                    <w:rPr>
                      <w:rFonts w:hint="eastAsia"/>
                      <w:lang w:val="en-US" w:eastAsia="zh-CN"/>
                    </w:rPr>
                  </w:pPr>
                </w:p>
              </w:tc>
              <w:tc>
                <w:tcPr>
                  <w:tcW w:w="1993" w:type="pct"/>
                  <w:noWrap w:val="0"/>
                  <w:vAlign w:val="center"/>
                </w:tcPr>
                <w:p>
                  <w:pPr>
                    <w:jc w:val="center"/>
                    <w:rPr>
                      <w:rFonts w:hint="default"/>
                      <w:lang w:val="en-US" w:eastAsia="zh-CN"/>
                    </w:rPr>
                  </w:pPr>
                  <w:r>
                    <w:rPr>
                      <w:rFonts w:hint="eastAsia"/>
                      <w:lang w:val="en-US" w:eastAsia="zh-CN"/>
                    </w:rPr>
                    <w:t>恢复现有地貌植被</w:t>
                  </w:r>
                </w:p>
              </w:tc>
              <w:tc>
                <w:tcPr>
                  <w:tcW w:w="531" w:type="pct"/>
                  <w:gridSpan w:val="2"/>
                  <w:noWrap w:val="0"/>
                  <w:vAlign w:val="center"/>
                </w:tcPr>
                <w:p>
                  <w:pPr>
                    <w:jc w:val="center"/>
                    <w:rPr>
                      <w:rFonts w:hint="default"/>
                      <w:lang w:val="en-US" w:eastAsia="zh-CN"/>
                    </w:rPr>
                  </w:pPr>
                  <w:r>
                    <w:rPr>
                      <w:rFonts w:hint="eastAsia"/>
                      <w:lang w:val="en-US" w:eastAsia="zh-CN"/>
                    </w:rPr>
                    <w:t>5</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118" w:hRule="atLeast"/>
              </w:trPr>
              <w:tc>
                <w:tcPr>
                  <w:tcW w:w="362" w:type="pct"/>
                  <w:vMerge w:val="continue"/>
                  <w:noWrap w:val="0"/>
                  <w:vAlign w:val="center"/>
                </w:tcPr>
                <w:p>
                  <w:pPr>
                    <w:jc w:val="center"/>
                    <w:rPr>
                      <w:rFonts w:hint="eastAsia"/>
                      <w:lang w:val="en-US" w:eastAsia="zh-CN"/>
                    </w:rPr>
                  </w:pPr>
                </w:p>
              </w:tc>
              <w:tc>
                <w:tcPr>
                  <w:tcW w:w="518" w:type="pct"/>
                  <w:vMerge w:val="restart"/>
                  <w:noWrap w:val="0"/>
                  <w:vAlign w:val="center"/>
                </w:tcPr>
                <w:p>
                  <w:pPr>
                    <w:jc w:val="center"/>
                    <w:rPr>
                      <w:rFonts w:hint="default"/>
                      <w:lang w:val="en-US" w:eastAsia="zh-CN"/>
                    </w:rPr>
                  </w:pPr>
                  <w:r>
                    <w:rPr>
                      <w:rFonts w:hint="eastAsia"/>
                      <w:lang w:val="en-US" w:eastAsia="zh-CN"/>
                    </w:rPr>
                    <w:t>环境风险</w:t>
                  </w:r>
                </w:p>
              </w:tc>
              <w:tc>
                <w:tcPr>
                  <w:tcW w:w="1993" w:type="pct"/>
                  <w:noWrap w:val="0"/>
                  <w:vAlign w:val="center"/>
                </w:tcPr>
                <w:p>
                  <w:pPr>
                    <w:jc w:val="center"/>
                    <w:rPr>
                      <w:rFonts w:hint="default"/>
                      <w:lang w:val="en-US" w:eastAsia="zh-CN"/>
                    </w:rPr>
                  </w:pPr>
                  <w:r>
                    <w:rPr>
                      <w:rFonts w:hint="eastAsia"/>
                      <w:lang w:val="en-US" w:eastAsia="zh-CN"/>
                    </w:rPr>
                    <w:t>设置专用容器收集机油</w:t>
                  </w:r>
                </w:p>
              </w:tc>
              <w:tc>
                <w:tcPr>
                  <w:tcW w:w="531" w:type="pct"/>
                  <w:gridSpan w:val="2"/>
                  <w:noWrap w:val="0"/>
                  <w:vAlign w:val="center"/>
                </w:tcPr>
                <w:p>
                  <w:pPr>
                    <w:jc w:val="center"/>
                    <w:rPr>
                      <w:rFonts w:hint="default"/>
                      <w:lang w:val="en-US" w:eastAsia="zh-CN"/>
                    </w:rPr>
                  </w:pPr>
                  <w:r>
                    <w:rPr>
                      <w:rFonts w:hint="eastAsia"/>
                      <w:lang w:val="en-US" w:eastAsia="zh-CN"/>
                    </w:rPr>
                    <w:t>2.5</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133" w:hRule="atLeast"/>
              </w:trPr>
              <w:tc>
                <w:tcPr>
                  <w:tcW w:w="362" w:type="pct"/>
                  <w:vMerge w:val="continue"/>
                  <w:noWrap w:val="0"/>
                  <w:vAlign w:val="center"/>
                </w:tcPr>
                <w:p>
                  <w:pPr>
                    <w:jc w:val="center"/>
                    <w:rPr>
                      <w:rFonts w:hint="eastAsia"/>
                      <w:lang w:val="en-US" w:eastAsia="zh-CN"/>
                    </w:rPr>
                  </w:pPr>
                </w:p>
              </w:tc>
              <w:tc>
                <w:tcPr>
                  <w:tcW w:w="518" w:type="pct"/>
                  <w:vMerge w:val="continue"/>
                  <w:noWrap w:val="0"/>
                  <w:vAlign w:val="center"/>
                </w:tcPr>
                <w:p>
                  <w:pPr>
                    <w:jc w:val="center"/>
                    <w:rPr>
                      <w:rFonts w:hint="eastAsia"/>
                      <w:lang w:val="en-US" w:eastAsia="zh-CN"/>
                    </w:rPr>
                  </w:pPr>
                </w:p>
              </w:tc>
              <w:tc>
                <w:tcPr>
                  <w:tcW w:w="1993" w:type="pct"/>
                  <w:noWrap w:val="0"/>
                  <w:vAlign w:val="center"/>
                </w:tcPr>
                <w:p>
                  <w:pPr>
                    <w:jc w:val="center"/>
                    <w:rPr>
                      <w:rFonts w:hint="default"/>
                      <w:lang w:val="en-US" w:eastAsia="zh-CN"/>
                    </w:rPr>
                  </w:pPr>
                  <w:r>
                    <w:rPr>
                      <w:rFonts w:hint="eastAsia"/>
                      <w:lang w:val="en-US" w:eastAsia="zh-CN"/>
                    </w:rPr>
                    <w:t>采用HDPE防渗土工布进行防渗处理</w:t>
                  </w:r>
                </w:p>
              </w:tc>
              <w:tc>
                <w:tcPr>
                  <w:tcW w:w="531" w:type="pct"/>
                  <w:gridSpan w:val="2"/>
                  <w:noWrap w:val="0"/>
                  <w:vAlign w:val="center"/>
                </w:tcPr>
                <w:p>
                  <w:pPr>
                    <w:jc w:val="center"/>
                    <w:rPr>
                      <w:rFonts w:hint="default"/>
                      <w:lang w:val="en-US" w:eastAsia="zh-CN"/>
                    </w:rPr>
                  </w:pPr>
                  <w:r>
                    <w:rPr>
                      <w:rFonts w:hint="eastAsia"/>
                      <w:lang w:val="en-US" w:eastAsia="zh-CN"/>
                    </w:rPr>
                    <w:t>4</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136" w:hRule="atLeast"/>
              </w:trPr>
              <w:tc>
                <w:tcPr>
                  <w:tcW w:w="362" w:type="pct"/>
                  <w:vMerge w:val="continue"/>
                  <w:noWrap w:val="0"/>
                  <w:vAlign w:val="center"/>
                </w:tcPr>
                <w:p>
                  <w:pPr>
                    <w:jc w:val="center"/>
                    <w:rPr>
                      <w:rFonts w:hint="eastAsia"/>
                      <w:lang w:val="en-US" w:eastAsia="zh-CN"/>
                    </w:rPr>
                  </w:pPr>
                </w:p>
              </w:tc>
              <w:tc>
                <w:tcPr>
                  <w:tcW w:w="518" w:type="pct"/>
                  <w:vMerge w:val="continue"/>
                  <w:noWrap w:val="0"/>
                  <w:vAlign w:val="center"/>
                </w:tcPr>
                <w:p>
                  <w:pPr>
                    <w:jc w:val="center"/>
                    <w:rPr>
                      <w:rFonts w:hint="eastAsia"/>
                      <w:lang w:val="en-US" w:eastAsia="zh-CN"/>
                    </w:rPr>
                  </w:pPr>
                </w:p>
              </w:tc>
              <w:tc>
                <w:tcPr>
                  <w:tcW w:w="1993" w:type="pct"/>
                  <w:noWrap w:val="0"/>
                  <w:vAlign w:val="center"/>
                </w:tcPr>
                <w:p>
                  <w:pPr>
                    <w:jc w:val="center"/>
                    <w:rPr>
                      <w:rFonts w:hint="default"/>
                      <w:lang w:val="en-US" w:eastAsia="zh-CN"/>
                    </w:rPr>
                  </w:pPr>
                  <w:r>
                    <w:rPr>
                      <w:rFonts w:hint="eastAsia"/>
                      <w:lang w:val="en-US" w:eastAsia="zh-CN"/>
                    </w:rPr>
                    <w:t>截水沟（堆场及探矿区域）</w:t>
                  </w:r>
                </w:p>
              </w:tc>
              <w:tc>
                <w:tcPr>
                  <w:tcW w:w="531" w:type="pct"/>
                  <w:gridSpan w:val="2"/>
                  <w:noWrap w:val="0"/>
                  <w:vAlign w:val="center"/>
                </w:tcPr>
                <w:p>
                  <w:pPr>
                    <w:jc w:val="center"/>
                    <w:rPr>
                      <w:rFonts w:hint="default"/>
                      <w:lang w:val="en-US" w:eastAsia="zh-CN"/>
                    </w:rPr>
                  </w:pPr>
                  <w:r>
                    <w:rPr>
                      <w:rFonts w:hint="eastAsia"/>
                      <w:lang w:val="en-US" w:eastAsia="zh-CN"/>
                    </w:rPr>
                    <w:t>25</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1063" w:type="pct"/>
                <w:trHeight w:val="140" w:hRule="atLeast"/>
              </w:trPr>
              <w:tc>
                <w:tcPr>
                  <w:tcW w:w="362" w:type="pct"/>
                  <w:vMerge w:val="continue"/>
                  <w:noWrap w:val="0"/>
                  <w:vAlign w:val="center"/>
                </w:tcPr>
                <w:p>
                  <w:pPr>
                    <w:jc w:val="center"/>
                    <w:rPr>
                      <w:rFonts w:hint="eastAsia"/>
                      <w:lang w:val="en-US" w:eastAsia="zh-CN"/>
                    </w:rPr>
                  </w:pPr>
                </w:p>
              </w:tc>
              <w:tc>
                <w:tcPr>
                  <w:tcW w:w="518" w:type="pct"/>
                  <w:vMerge w:val="continue"/>
                  <w:noWrap w:val="0"/>
                  <w:vAlign w:val="center"/>
                </w:tcPr>
                <w:p>
                  <w:pPr>
                    <w:jc w:val="center"/>
                    <w:rPr>
                      <w:rFonts w:hint="eastAsia"/>
                      <w:lang w:val="en-US" w:eastAsia="zh-CN"/>
                    </w:rPr>
                  </w:pPr>
                </w:p>
              </w:tc>
              <w:tc>
                <w:tcPr>
                  <w:tcW w:w="1993" w:type="pct"/>
                  <w:noWrap w:val="0"/>
                  <w:vAlign w:val="center"/>
                </w:tcPr>
                <w:p>
                  <w:pPr>
                    <w:jc w:val="center"/>
                    <w:rPr>
                      <w:rFonts w:hint="default"/>
                      <w:lang w:val="en-US" w:eastAsia="zh-CN"/>
                    </w:rPr>
                  </w:pPr>
                  <w:r>
                    <w:rPr>
                      <w:rFonts w:hint="eastAsia"/>
                      <w:lang w:val="en-US" w:eastAsia="zh-CN"/>
                    </w:rPr>
                    <w:t>临时堆场挡墙措施</w:t>
                  </w:r>
                </w:p>
              </w:tc>
              <w:tc>
                <w:tcPr>
                  <w:tcW w:w="531" w:type="pct"/>
                  <w:gridSpan w:val="2"/>
                  <w:noWrap w:val="0"/>
                  <w:vAlign w:val="center"/>
                </w:tcPr>
                <w:p>
                  <w:pPr>
                    <w:jc w:val="center"/>
                    <w:rPr>
                      <w:rFonts w:hint="default"/>
                      <w:lang w:val="en-US" w:eastAsia="zh-CN"/>
                    </w:rPr>
                  </w:pPr>
                  <w:r>
                    <w:rPr>
                      <w:rFonts w:hint="eastAsia"/>
                      <w:lang w:val="en-US" w:eastAsia="zh-CN"/>
                    </w:rPr>
                    <w:t>5</w:t>
                  </w:r>
                </w:p>
              </w:tc>
              <w:tc>
                <w:tcPr>
                  <w:tcW w:w="531" w:type="pct"/>
                  <w:gridSpan w:val="2"/>
                  <w:noWrap w:val="0"/>
                  <w:vAlign w:val="center"/>
                </w:tcPr>
                <w:p>
                  <w:pPr>
                    <w:jc w:val="center"/>
                    <w:rPr>
                      <w:rFonts w:hint="default"/>
                      <w:kern w:val="2"/>
                      <w:sz w:val="21"/>
                      <w:szCs w:val="21"/>
                      <w:lang w:val="en-US" w:eastAsia="zh-CN" w:bidi="ar-SA"/>
                    </w:rPr>
                  </w:pPr>
                  <w:r>
                    <w:rPr>
                      <w:rFonts w:hint="eastAsia"/>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2874" w:type="pct"/>
                  <w:gridSpan w:val="4"/>
                  <w:noWrap w:val="0"/>
                  <w:vAlign w:val="center"/>
                </w:tcPr>
                <w:p>
                  <w:pPr>
                    <w:jc w:val="center"/>
                    <w:rPr>
                      <w:rFonts w:hint="eastAsia"/>
                      <w:lang w:val="en-US" w:eastAsia="zh-CN"/>
                    </w:rPr>
                  </w:pPr>
                  <w:r>
                    <w:rPr>
                      <w:rFonts w:hint="eastAsia"/>
                      <w:lang w:val="en-US" w:eastAsia="zh-CN"/>
                    </w:rPr>
                    <w:t>合计</w:t>
                  </w:r>
                </w:p>
              </w:tc>
              <w:tc>
                <w:tcPr>
                  <w:tcW w:w="531" w:type="pct"/>
                  <w:gridSpan w:val="2"/>
                  <w:noWrap w:val="0"/>
                  <w:vAlign w:val="center"/>
                </w:tcPr>
                <w:p>
                  <w:pPr>
                    <w:jc w:val="center"/>
                    <w:rPr>
                      <w:rFonts w:hint="default"/>
                      <w:lang w:val="en-US" w:eastAsia="zh-CN"/>
                    </w:rPr>
                  </w:pPr>
                  <w:r>
                    <w:rPr>
                      <w:rFonts w:hint="eastAsia"/>
                      <w:lang w:val="en-US" w:eastAsia="zh-CN"/>
                    </w:rPr>
                    <w:t>135.97</w:t>
                  </w:r>
                </w:p>
              </w:tc>
              <w:tc>
                <w:tcPr>
                  <w:tcW w:w="531" w:type="pct"/>
                  <w:gridSpan w:val="2"/>
                  <w:noWrap w:val="0"/>
                  <w:vAlign w:val="center"/>
                </w:tcPr>
                <w:p>
                  <w:pPr>
                    <w:jc w:val="center"/>
                    <w:rPr>
                      <w:rFonts w:hint="default" w:ascii="Times New Roman" w:hAnsi="Times New Roman" w:eastAsia="宋体" w:cs="Times New Roman"/>
                      <w:lang w:val="en-US" w:eastAsia="zh-CN"/>
                    </w:rPr>
                  </w:pPr>
                  <w:r>
                    <w:rPr>
                      <w:rFonts w:hint="eastAsia"/>
                      <w:lang w:val="en-US" w:eastAsia="zh-CN"/>
                    </w:rPr>
                    <w:t>135.97</w:t>
                  </w:r>
                </w:p>
              </w:tc>
              <w:tc>
                <w:tcPr>
                  <w:tcW w:w="531" w:type="pct"/>
                  <w:noWrap w:val="0"/>
                  <w:vAlign w:val="center"/>
                </w:tcPr>
                <w:p>
                  <w:pPr>
                    <w:jc w:val="center"/>
                    <w:rPr>
                      <w:rFonts w:hint="eastAsia"/>
                      <w:lang w:val="en-US" w:eastAsia="zh-CN"/>
                    </w:rPr>
                  </w:pPr>
                </w:p>
              </w:tc>
              <w:tc>
                <w:tcPr>
                  <w:tcW w:w="531" w:type="pct"/>
                  <w:noWrap w:val="0"/>
                  <w:vAlign w:val="center"/>
                </w:tcPr>
                <w:p>
                  <w:pPr>
                    <w:jc w:val="center"/>
                    <w:rPr>
                      <w:rFonts w:hint="eastAsia"/>
                      <w:kern w:val="2"/>
                      <w:sz w:val="21"/>
                      <w:szCs w:val="21"/>
                      <w:lang w:val="en-US" w:eastAsia="zh-CN" w:bidi="ar-SA"/>
                    </w:rPr>
                  </w:pPr>
                  <w:r>
                    <w:rPr>
                      <w:rFonts w:hint="eastAsia"/>
                      <w:lang w:val="en-US" w:eastAsia="zh-CN"/>
                    </w:rPr>
                    <w:t>135.97</w:t>
                  </w:r>
                </w:p>
              </w:tc>
            </w:tr>
          </w:tbl>
          <w:p>
            <w:pPr>
              <w:pStyle w:val="6"/>
              <w:ind w:firstLine="480"/>
              <w:rPr>
                <w:rFonts w:hint="default" w:ascii="Times New Roman" w:hAnsi="Times New Roman" w:eastAsia="宋体" w:cs="Times New Roman"/>
                <w:color w:val="auto"/>
                <w:sz w:val="24"/>
                <w:szCs w:val="24"/>
                <w:lang w:val="zh-CN" w:eastAsia="zh-CN"/>
              </w:rPr>
            </w:pPr>
            <w:r>
              <w:rPr>
                <w:rFonts w:hint="default" w:ascii="Times New Roman" w:hAnsi="Times New Roman" w:eastAsia="宋体" w:cs="Times New Roman"/>
                <w:color w:val="auto"/>
                <w:sz w:val="24"/>
                <w:szCs w:val="24"/>
                <w:lang w:val="zh-CN" w:eastAsia="zh-CN"/>
              </w:rPr>
              <w:t>本项目实际建设过程中严格按照环评要求措施，因此实际环保投资额与环评中投资等额。</w:t>
            </w:r>
          </w:p>
          <w:p>
            <w:pPr>
              <w:pStyle w:val="8"/>
              <w:rPr>
                <w:rFonts w:hint="default" w:ascii="Times New Roman" w:hAnsi="Times New Roman" w:eastAsia="宋体" w:cs="Times New Roman"/>
                <w:color w:val="auto"/>
                <w:sz w:val="24"/>
                <w:szCs w:val="24"/>
                <w:lang w:val="zh-CN" w:eastAsia="zh-CN"/>
              </w:rPr>
            </w:pPr>
          </w:p>
          <w:p>
            <w:pPr>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zh-CN" w:eastAsia="zh-CN"/>
              </w:rPr>
            </w:pPr>
          </w:p>
          <w:p>
            <w:pPr>
              <w:pStyle w:val="82"/>
              <w:spacing w:line="240" w:lineRule="auto"/>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zh-CN" w:eastAsia="zh-CN"/>
              </w:rPr>
            </w:pPr>
          </w:p>
          <w:p>
            <w:pPr>
              <w:pStyle w:val="82"/>
              <w:spacing w:line="240" w:lineRule="auto"/>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zh-CN" w:eastAsia="zh-CN"/>
              </w:rPr>
            </w:pPr>
          </w:p>
          <w:p>
            <w:pPr>
              <w:pStyle w:val="82"/>
              <w:rPr>
                <w:rFonts w:hint="default" w:ascii="Times New Roman" w:hAnsi="Times New Roman" w:eastAsia="宋体" w:cs="Times New Roman"/>
                <w:color w:val="auto"/>
                <w:sz w:val="24"/>
                <w:szCs w:val="24"/>
                <w:lang w:val="en-US" w:eastAsia="zh-CN"/>
              </w:rPr>
            </w:pPr>
          </w:p>
        </w:tc>
      </w:tr>
    </w:tbl>
    <w:p>
      <w:pPr>
        <w:spacing w:line="360" w:lineRule="auto"/>
        <w:jc w:val="left"/>
        <w:rPr>
          <w:rFonts w:hint="default" w:ascii="Times New Roman" w:hAnsi="Times New Roman" w:eastAsia="宋体" w:cs="Times New Roman"/>
          <w:b/>
          <w:color w:val="auto"/>
          <w:sz w:val="24"/>
          <w:lang w:val="en-US" w:eastAsia="zh-CN"/>
        </w:rPr>
        <w:sectPr>
          <w:footerReference r:id="rId9" w:type="default"/>
          <w:pgSz w:w="11906" w:h="16838"/>
          <w:pgMar w:top="1440" w:right="1800" w:bottom="1440" w:left="1800" w:header="794" w:footer="1247" w:gutter="0"/>
          <w:pgBorders>
            <w:top w:val="none" w:sz="0" w:space="0"/>
            <w:left w:val="none" w:sz="0" w:space="0"/>
            <w:bottom w:val="none" w:sz="0" w:space="0"/>
            <w:right w:val="none" w:sz="0" w:space="0"/>
          </w:pgBorders>
          <w:pgNumType w:fmt="decimal" w:start="1"/>
          <w:cols w:space="720" w:num="1"/>
          <w:docGrid w:linePitch="312" w:charSpace="0"/>
        </w:sectPr>
      </w:pPr>
    </w:p>
    <w:p>
      <w:pPr>
        <w:pStyle w:val="2"/>
        <w:numPr>
          <w:ilvl w:val="0"/>
          <w:numId w:val="0"/>
        </w:numPr>
        <w:jc w:val="both"/>
        <w:rPr>
          <w:rFonts w:hint="default" w:ascii="Times New Roman" w:hAnsi="Times New Roman" w:eastAsia="黑体" w:cs="Times New Roman"/>
          <w:b/>
          <w:bCs w:val="0"/>
          <w:color w:val="auto"/>
          <w:sz w:val="28"/>
          <w:szCs w:val="28"/>
          <w:lang w:val="en-US" w:eastAsia="zh-CN"/>
        </w:rPr>
      </w:pPr>
      <w:r>
        <w:rPr>
          <w:rFonts w:hint="default" w:ascii="Times New Roman" w:hAnsi="Times New Roman" w:cs="Times New Roman"/>
          <w:b/>
          <w:bCs w:val="0"/>
          <w:color w:val="auto"/>
          <w:sz w:val="28"/>
          <w:szCs w:val="28"/>
          <w:lang w:val="en-US" w:eastAsia="zh-CN"/>
        </w:rPr>
        <w:t>5.环境影响评价回顾</w:t>
      </w:r>
    </w:p>
    <w:tbl>
      <w:tblPr>
        <w:tblStyle w:val="44"/>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auto"/>
          <w:wAfter w:w="0" w:type="auto"/>
          <w:trHeight w:val="90" w:hRule="atLeast"/>
          <w:jc w:val="center"/>
        </w:trPr>
        <w:tc>
          <w:tcPr>
            <w:tcW w:w="8811" w:type="dxa"/>
            <w:noWrap w:val="0"/>
            <w:vAlign w:val="top"/>
          </w:tcPr>
          <w:p>
            <w:pPr>
              <w:snapToGrid w:val="0"/>
              <w:spacing w:line="360" w:lineRule="auto"/>
              <w:rPr>
                <w:rFonts w:hint="default" w:ascii="Times New Roman" w:hAnsi="Times New Roman" w:eastAsia="宋体" w:cs="Times New Roman"/>
                <w:color w:val="0000FF"/>
                <w:lang w:val="en-US" w:eastAsia="zh-CN"/>
              </w:rPr>
            </w:pPr>
            <w:r>
              <w:rPr>
                <w:rFonts w:hint="default" w:ascii="Times New Roman" w:hAnsi="Times New Roman" w:eastAsia="宋体" w:cs="Times New Roman"/>
                <w:b/>
                <w:bCs/>
                <w:color w:val="auto"/>
                <w:sz w:val="24"/>
                <w:szCs w:val="24"/>
                <w:lang w:val="en-US" w:eastAsia="zh-CN"/>
              </w:rPr>
              <w:t>建设项目环境影响报告表主要结论及审批部门审批决定：</w:t>
            </w:r>
            <w:r>
              <w:rPr>
                <w:rFonts w:hint="default" w:ascii="Times New Roman" w:hAnsi="Times New Roman" w:eastAsia="宋体" w:cs="Times New Roman"/>
                <w:color w:val="0000FF"/>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right="0"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本项目符合国家产业政策，项目选址符合规划要求，项目采取的各类污染物治理措施技术可行，措施有效。项目位于位于互助县五十镇及松多乡。本项目的实施为改善当地的生产、生活环境创造良好的条件：同时项目的建设具有较好的社会效益和环境效益，对当地的经济和社会发展有良好的促进作用，在认真落实本报告提出的环保对策措施后，不会对所在区城内的环境产生明显不利影响，能够使本项目的建设做到经济效益、环境效益与社会效益的统一。</w:t>
            </w:r>
          </w:p>
          <w:p>
            <w:pPr>
              <w:keepNext w:val="0"/>
              <w:keepLines w:val="0"/>
              <w:pageBreakBefore w:val="0"/>
              <w:widowControl w:val="0"/>
              <w:kinsoku/>
              <w:wordWrap/>
              <w:overflowPunct/>
              <w:topLinePunct w:val="0"/>
              <w:bidi w:val="0"/>
              <w:adjustRightInd/>
              <w:snapToGrid/>
              <w:spacing w:line="360" w:lineRule="auto"/>
              <w:ind w:left="0" w:right="0" w:firstLine="480" w:firstLineChars="200"/>
              <w:textAlignment w:val="auto"/>
              <w:rPr>
                <w:rFonts w:hint="default" w:ascii="Times New Roman" w:hAnsi="Times New Roman" w:eastAsia="宋体" w:cs="Times New Roman"/>
                <w:color w:val="0000FF"/>
                <w:lang w:val="en-US" w:eastAsia="zh-CN"/>
              </w:rPr>
            </w:pPr>
            <w:r>
              <w:rPr>
                <w:rFonts w:hint="default" w:ascii="Times New Roman" w:hAnsi="Times New Roman" w:cs="Times New Roman"/>
                <w:sz w:val="24"/>
                <w:szCs w:val="24"/>
                <w:lang w:val="en-US" w:eastAsia="zh-CN"/>
              </w:rPr>
              <w:t>综上所述，从环境保护角度出发，本项目的建设是合理可行的。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auto"/>
          <w:wAfter w:w="0" w:type="auto"/>
          <w:trHeight w:val="90" w:hRule="atLeast"/>
          <w:jc w:val="center"/>
        </w:trPr>
        <w:tc>
          <w:tcPr>
            <w:tcW w:w="8811" w:type="dxa"/>
            <w:noWrap w:val="0"/>
            <w:vAlign w:val="top"/>
          </w:tcPr>
          <w:p>
            <w:pPr>
              <w:spacing w:line="360" w:lineRule="auto"/>
              <w:rPr>
                <w:rFonts w:hint="default" w:ascii="Times New Roman" w:hAnsi="Times New Roman" w:cs="Times New Roman"/>
                <w:b/>
                <w:bCs/>
                <w:color w:val="000000"/>
                <w:sz w:val="24"/>
                <w:szCs w:val="24"/>
              </w:rPr>
            </w:pPr>
            <w:r>
              <w:rPr>
                <w:rFonts w:hint="default" w:ascii="Times New Roman" w:hAnsi="Times New Roman" w:cs="Times New Roman"/>
                <w:b/>
                <w:bCs/>
                <w:color w:val="000000"/>
                <w:sz w:val="24"/>
                <w:szCs w:val="24"/>
              </w:rPr>
              <w:t>各级环境保护行政主管部门的批复意见（国家、省、行业）</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格尔木市环境保护局</w:t>
            </w:r>
          </w:p>
          <w:p>
            <w:pPr>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关于青海省格尔木市拉宁灶火多金属普查项目环境影响报告表的批复</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青海省投资集团有限公司：</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你公司报来由内蒙古亿保环境科技有限公司编制的《青海省 格尔木市拉宁灶火多金属普查项目环境影响报告表》及申请审批的相关材料收悉，经组织专家评审，批复如下：</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一、青海省格尔木市拉宁灶火多金属普查项目位于青海省格尔木市乌图美仁乡政府驻地南约40km处，开木棋河下游东侧，拉陵高里河以东，隶属格尔木市乌图美仁乡管辖。按照青海省国土资源厅颁发的探矿权证</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证号：T63120081202018904</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许可。矿权地理坐标：东经93°12′10”—93°19′00”,北纬36°35</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rPr>
              <w:t>15”-36°39′55”。勘查面积13.57km²</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勘探对象为黑色金属、有色金属、贵金属、非金属等矿产资源。该探矿项目总投资1830 万元，环保投资135.97万元，环保投资占总投资比例为7.43%。具体建设内容、生产工艺及生产设备等以报告表核定为准。</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根据报告表结论、专家评审意见，在你单位严格落实报告表及批复提出的各项环保对策措施，切实有效做好施工期、运营期风险防范及污染防治工作的前提条件下，从环保角度原则同意该</w:t>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项目建设。</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二、项目建设期间还应做好以下工作</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一</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加强探矿过程环境保护工作，优化勘探工艺设计及设 备选型，落实环保投资及各项污染防治设施建设，明确单位内部 环境管理机构、人员；加强环境管理，认真履行环境保护“三同</w:t>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时”制度，确保各项污染物稳定达标排放。</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落实勘探期污染防治措施和生态保护措施，合理布置 施工场地，槽探活动应控制在探矿范围内，严格控制施工临时占</w:t>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地，做好探矿弃渣、废石的处置和综合利用。</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三</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严格按照相关要求，落实探矿区生态恢复措施。按报 告表要求根据不同时段分别开展生态恢复措施，各类弃渣、废石 严格按规定处置，禁止随意堆放。矿山探矿期满后应对槽探等全 面进行生态恢复，强化生态恢复过程中的管理和维护措施，恢复</w:t>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其土地原有功能。</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四</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落实并优化固体废物综合利用和处置措施。工程探矿产生的废石应全部回填处理。加强对各种固体废弃物的收集、暂存、转运、处置及综合利用过程的管理，采取有效、可靠的防范措施，防止产生二次污染。</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五</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禁止边探边采或以探代采、超出许可范围的探矿行为。</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六</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其他请严格对照“报告表”中的要求执行。</w:t>
            </w:r>
          </w:p>
          <w:p>
            <w:pPr>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三、你公司应根据报告表提出的环保对策措施和批复要求，做好各项风险防范和污染防治工作，严格执行配套建设的环保设施与主体工程同时设计、同时施工、同时投产使用的环保“三同时”制度。</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一</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项目竣工后，你单位应按照国务院环境保护行政主管部门规定的标准和程序，对配套建设的环境保护设施进行验收。</w:t>
            </w:r>
          </w:p>
          <w:p>
            <w:pPr>
              <w:spacing w:line="360" w:lineRule="auto"/>
              <w:ind w:firstLine="480" w:firstLineChars="20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项目的环境影响评价报告表经批准后，项目的性质、规模、地点、采用的生产工艺或者防治污染、防止生态破坏的措施发生重大变动的，应当重新报批建设项目的环境影响评价文件。</w:t>
            </w:r>
          </w:p>
          <w:p>
            <w:pPr>
              <w:spacing w:line="360" w:lineRule="auto"/>
              <w:rPr>
                <w:rFonts w:hint="default" w:ascii="Times New Roman" w:hAnsi="Times New Roman" w:eastAsia="宋体" w:cs="Times New Roman"/>
                <w:sz w:val="24"/>
                <w:szCs w:val="24"/>
              </w:rPr>
            </w:pPr>
          </w:p>
          <w:p>
            <w:pPr>
              <w:spacing w:line="360" w:lineRule="auto"/>
              <w:rPr>
                <w:rFonts w:hint="default" w:ascii="Times New Roman" w:hAnsi="Times New Roman" w:eastAsia="宋体" w:cs="Times New Roman"/>
                <w:sz w:val="24"/>
                <w:szCs w:val="24"/>
              </w:rPr>
            </w:pPr>
          </w:p>
          <w:p>
            <w:pPr>
              <w:spacing w:line="360" w:lineRule="auto"/>
              <w:ind w:firstLine="5520" w:firstLineChars="23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2019年1月3日</w:t>
            </w:r>
          </w:p>
          <w:p>
            <w:pPr>
              <w:widowControl/>
              <w:numPr>
                <w:ilvl w:val="0"/>
                <w:numId w:val="0"/>
              </w:numPr>
              <w:adjustRightInd w:val="0"/>
              <w:snapToGrid w:val="0"/>
              <w:spacing w:line="360" w:lineRule="auto"/>
              <w:jc w:val="both"/>
              <w:rPr>
                <w:rFonts w:hint="default" w:ascii="Times New Roman" w:hAnsi="Times New Roman" w:eastAsia="宋体" w:cs="Times New Roman"/>
                <w:color w:val="FF0000"/>
                <w:kern w:val="0"/>
                <w:sz w:val="24"/>
                <w:szCs w:val="20"/>
                <w:lang w:val="en-US" w:eastAsia="zh-CN" w:bidi="ar-SA"/>
              </w:rPr>
            </w:pPr>
          </w:p>
          <w:p>
            <w:pPr>
              <w:widowControl/>
              <w:numPr>
                <w:ilvl w:val="0"/>
                <w:numId w:val="0"/>
              </w:numPr>
              <w:adjustRightInd w:val="0"/>
              <w:snapToGrid w:val="0"/>
              <w:spacing w:line="360" w:lineRule="auto"/>
              <w:ind w:firstLine="480" w:firstLineChars="200"/>
              <w:jc w:val="right"/>
              <w:rPr>
                <w:rFonts w:hint="default" w:ascii="Times New Roman" w:hAnsi="Times New Roman" w:eastAsia="宋体" w:cs="Times New Roman"/>
                <w:color w:val="auto"/>
                <w:kern w:val="0"/>
                <w:sz w:val="24"/>
                <w:szCs w:val="20"/>
                <w:lang w:val="en-US" w:eastAsia="zh-CN" w:bidi="ar-SA"/>
              </w:rPr>
            </w:pPr>
          </w:p>
          <w:p>
            <w:pPr>
              <w:widowControl/>
              <w:numPr>
                <w:ilvl w:val="0"/>
                <w:numId w:val="0"/>
              </w:numPr>
              <w:adjustRightInd w:val="0"/>
              <w:snapToGrid w:val="0"/>
              <w:spacing w:line="360" w:lineRule="auto"/>
              <w:jc w:val="left"/>
              <w:rPr>
                <w:rFonts w:hint="default" w:ascii="Times New Roman" w:hAnsi="Times New Roman" w:eastAsia="宋体" w:cs="Times New Roman"/>
                <w:color w:val="0000FF"/>
                <w:lang w:val="en-US" w:eastAsia="zh-CN"/>
              </w:rPr>
            </w:pPr>
          </w:p>
        </w:tc>
      </w:tr>
    </w:tbl>
    <w:p>
      <w:pPr>
        <w:spacing w:before="97" w:line="220" w:lineRule="auto"/>
        <w:ind w:left="5386"/>
        <w:rPr>
          <w:rFonts w:hint="default" w:ascii="Times New Roman" w:hAnsi="Times New Roman" w:cs="Times New Roman"/>
          <w:b/>
          <w:bCs w:val="0"/>
          <w:color w:val="auto"/>
          <w:sz w:val="28"/>
          <w:szCs w:val="28"/>
          <w:lang w:val="en-US" w:eastAsia="zh-CN"/>
        </w:rPr>
        <w:sectPr>
          <w:footerReference r:id="rId10" w:type="default"/>
          <w:pgSz w:w="11905" w:h="16838"/>
          <w:pgMar w:top="1440" w:right="1800" w:bottom="1440" w:left="1800" w:header="850" w:footer="1077" w:gutter="0"/>
          <w:paperSrc/>
          <w:pgNumType w:fmt="decimal"/>
          <w:cols w:space="720" w:num="1"/>
          <w:rtlGutter w:val="0"/>
          <w:docGrid w:linePitch="0" w:charSpace="0"/>
        </w:sectPr>
      </w:pPr>
      <w:bookmarkStart w:id="5" w:name="_Toc11828"/>
    </w:p>
    <w:p>
      <w:pPr>
        <w:spacing w:before="97" w:line="220" w:lineRule="auto"/>
        <w:ind w:left="5386"/>
        <w:rPr>
          <w:rFonts w:hint="default" w:ascii="Times New Roman" w:hAnsi="Times New Roman" w:eastAsia="黑体" w:cs="Times New Roman"/>
          <w:b/>
          <w:bCs w:val="0"/>
          <w:color w:val="auto"/>
          <w:kern w:val="44"/>
          <w:sz w:val="28"/>
          <w:szCs w:val="28"/>
          <w:lang w:val="en-US" w:eastAsia="zh-CN" w:bidi="ar-SA"/>
        </w:rPr>
      </w:pPr>
      <w:r>
        <w:rPr>
          <w:rFonts w:hint="default" w:ascii="Times New Roman" w:hAnsi="Times New Roman" w:cs="Times New Roman"/>
          <w:b/>
          <w:bCs w:val="0"/>
          <w:color w:val="auto"/>
          <w:sz w:val="28"/>
          <w:szCs w:val="28"/>
          <w:lang w:val="en-US" w:eastAsia="zh-CN"/>
        </w:rPr>
        <w:t xml:space="preserve">     </w:t>
      </w:r>
      <w:r>
        <w:rPr>
          <w:rFonts w:hint="default" w:ascii="Times New Roman" w:hAnsi="Times New Roman" w:eastAsia="黑体" w:cs="Times New Roman"/>
          <w:b/>
          <w:bCs w:val="0"/>
          <w:color w:val="auto"/>
          <w:kern w:val="44"/>
          <w:sz w:val="28"/>
          <w:szCs w:val="28"/>
          <w:lang w:val="en-US" w:eastAsia="zh-CN" w:bidi="ar-SA"/>
        </w:rPr>
        <w:t>6.环境保护措施执行情况</w:t>
      </w:r>
    </w:p>
    <w:p>
      <w:pPr>
        <w:spacing w:line="119" w:lineRule="exact"/>
        <w:rPr>
          <w:rFonts w:hint="default" w:ascii="Times New Roman" w:hAnsi="Times New Roman" w:cs="Times New Roman"/>
        </w:rPr>
      </w:pPr>
    </w:p>
    <w:tbl>
      <w:tblPr>
        <w:tblStyle w:val="204"/>
        <w:tblW w:w="1446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1"/>
        <w:gridCol w:w="944"/>
        <w:gridCol w:w="5883"/>
        <w:gridCol w:w="5684"/>
        <w:gridCol w:w="151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38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项目</w:t>
            </w:r>
            <w:r>
              <w:rPr>
                <w:rFonts w:hint="default" w:ascii="Times New Roman" w:hAnsi="Times New Roman" w:eastAsia="宋体" w:cs="Times New Roman"/>
                <w:spacing w:val="-1"/>
                <w:sz w:val="21"/>
                <w:szCs w:val="21"/>
              </w:rPr>
              <w:t>阶段</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color w:val="FF0000"/>
                <w:sz w:val="21"/>
                <w:szCs w:val="21"/>
                <w:lang w:val="en-US" w:eastAsia="zh-CN"/>
              </w:rPr>
            </w:pPr>
            <w:r>
              <w:rPr>
                <w:rFonts w:hint="eastAsia" w:ascii="Times New Roman" w:hAnsi="Times New Roman" w:eastAsia="宋体" w:cs="Times New Roman"/>
                <w:color w:val="FF0000"/>
                <w:sz w:val="21"/>
                <w:lang w:eastAsia="zh-CN"/>
              </w:rPr>
              <w:t xml:space="preserve"> </w:t>
            </w:r>
            <w:r>
              <w:rPr>
                <w:rFonts w:hint="eastAsia" w:ascii="Times New Roman" w:hAnsi="Times New Roman" w:eastAsia="宋体" w:cs="Times New Roman"/>
                <w:color w:val="FF0000"/>
                <w:sz w:val="21"/>
                <w:lang w:val="en-US" w:eastAsia="zh-CN"/>
              </w:rPr>
              <w:t xml:space="preserve"> </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1"/>
                <w:sz w:val="21"/>
                <w:szCs w:val="21"/>
              </w:rPr>
              <w:t>环境</w:t>
            </w:r>
            <w:r>
              <w:rPr>
                <w:rFonts w:hint="default" w:ascii="Times New Roman" w:hAnsi="Times New Roman" w:eastAsia="宋体" w:cs="Times New Roman"/>
                <w:sz w:val="21"/>
                <w:szCs w:val="21"/>
              </w:rPr>
              <w:t>保护措施的落实情况</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rPr>
              <w:t>措施的执行效果及未采取措施的原因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44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设计</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阶段</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生态影响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1" w:hRule="atLeast"/>
          <w:jc w:val="center"/>
        </w:trPr>
        <w:tc>
          <w:tcPr>
            <w:tcW w:w="441"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污染影响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41" w:type="dxa"/>
            <w:vMerge w:val="continue"/>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p>
        </w:tc>
        <w:tc>
          <w:tcPr>
            <w:tcW w:w="944"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社会影响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color w:val="000000"/>
                <w:sz w:val="21"/>
              </w:rPr>
            </w:pPr>
            <w:r>
              <w:rPr>
                <w:rFonts w:hint="default" w:ascii="Times New Roman" w:hAnsi="Times New Roman" w:eastAsia="宋体" w:cs="Times New Roman"/>
                <w:color w:val="000000"/>
                <w:sz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rPr>
            </w:pPr>
            <w:r>
              <w:rPr>
                <w:rFonts w:hint="default" w:ascii="Times New Roman" w:hAnsi="Times New Roman" w:eastAsia="宋体" w:cs="Times New Roman"/>
                <w:sz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41" w:type="dxa"/>
            <w:vMerge w:val="restart"/>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p>
          <w:p>
            <w:pPr>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rPr>
            </w:pPr>
            <w:r>
              <w:rPr>
                <w:rFonts w:hint="default" w:ascii="Times New Roman" w:hAnsi="Times New Roman" w:eastAsia="宋体" w:cs="Times New Roman"/>
                <w:spacing w:val="-1"/>
                <w:sz w:val="21"/>
                <w:szCs w:val="21"/>
              </w:rPr>
              <w:t>施工期</w:t>
            </w:r>
          </w:p>
        </w:tc>
        <w:tc>
          <w:tcPr>
            <w:tcW w:w="944" w:type="dxa"/>
            <w:tcBorders>
              <w:top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cs="Times New Roman"/>
                <w:sz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pacing w:val="-2"/>
                <w:sz w:val="21"/>
                <w:szCs w:val="21"/>
              </w:rPr>
              <w:t>生态影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环评要求：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(1)生态环境保护总体措施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①探矿营地、土石方临时堆场等选址特点：选择了植被覆盖率低处布设，少占压植被：选择低洼平缓地带布设，确保了场地坡脚稳定，必要时加强防护，防止地质灾害发生：及时平整压实，防止水土流失：集中布置，防止到处散落，影响生态景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②合理进行工程布置，精心组织施工管理，严格将基础建设、钻探控制在以工程为中心，半径10m的占地范围内，槽探活动控制在槽探两侧1.5m范围内。在工程开挖过程中，尽量减少和有效控制对施工区生态环境的影响范围和程度。探槽开挖前对表土进行剥离，剥离的表士存放在探槽两侧专门的区域，并做好遮盖措施，探槽开挖土方临时堆置于探槽两侧，对土石方进行压实处理后做好遮盖措施。施工结束后及时将开挖的士石方全部回填探槽、覆盖上表土并压实。</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③预查工程全部结束后，对探槽利用开挖土石方进行回填，场地进行全面清理，对钻孔及时进行封孔处理，探矿场地进行全面清理，不得留下探矿杂物将预先剥离的表层土壤重新覆盖在受工程破坏的区域，以尽快恢复当地生态，消除因探矿器材临时堆放点引起的生态斑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④预查活动期间严格按照环评要求布设临时占地，不得随意扩大探矿临时占地的范围，加强管理。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(2)槽探、钻探工作的生态保护措施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槽探保护措施：在每个槽探开挖之前，预先剥离表层植被和土壤，再在单个槽探工作结束后，用槽探挖掘产生的弃土进行回填，再用预先剥离的表层植被进行生态恢复。对于单个探槽工作时间较长的，应预先剥离表层土壤堆放在指定位置进行养护，并在槽探工作结束后及时进行回填并进行植被恢复，不得长久搁置，出现严重的斑块状现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(3)生态保护与恢复控制目标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探矿结束后及时对工程探矿区域场地进行平整回填，不得出现“斑状"景观，探矿固废不得遗留在探矿场地区域。</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环评审批文件要求：</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r>
              <w:rPr>
                <w:rFonts w:hint="default" w:ascii="Times New Roman" w:hAnsi="Times New Roman" w:cs="Times New Roman"/>
                <w:color w:val="000000"/>
                <w:lang w:val="en-US" w:eastAsia="zh-CN"/>
              </w:rPr>
              <w:t>本项目预查期对生态的影响主要是表土开挖、弃土堆放改变地貌，破坏原生植被和景观，钻探施工结束后对钻机平台进行迹地清理，泥浆自然风干后覆土掩埋，恢复原有地形地貌。探槽施工结束后及时将开挖的土石方全部回填、覆盖上表土并压实，恢复探槽施工区域原有地形地貌，采取提出的保护措施后，对生态环境影响较小。</w:t>
            </w:r>
          </w:p>
        </w:tc>
        <w:tc>
          <w:tcPr>
            <w:tcW w:w="5684" w:type="dxa"/>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环评要求：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(1)生态环境保护总体措施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①探矿营地、土石方临时堆场等选址特点：</w:t>
            </w:r>
            <w:r>
              <w:rPr>
                <w:rFonts w:hint="eastAsia" w:ascii="Times New Roman" w:hAnsi="Times New Roman" w:eastAsia="宋体" w:cs="Times New Roman"/>
                <w:color w:val="000000"/>
                <w:sz w:val="21"/>
                <w:szCs w:val="21"/>
                <w:lang w:val="en-US" w:eastAsia="zh-CN"/>
              </w:rPr>
              <w:t>为了</w:t>
            </w:r>
            <w:r>
              <w:rPr>
                <w:rFonts w:hint="default" w:ascii="Times New Roman" w:hAnsi="Times New Roman" w:eastAsia="宋体" w:cs="Times New Roman"/>
                <w:color w:val="000000"/>
                <w:sz w:val="21"/>
                <w:szCs w:val="21"/>
                <w:lang w:val="en-US" w:eastAsia="zh-CN"/>
              </w:rPr>
              <w:t>防止地质灾害发生，防止水土流失</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选择</w:t>
            </w:r>
            <w:r>
              <w:rPr>
                <w:rFonts w:hint="eastAsia" w:ascii="Times New Roman" w:hAnsi="Times New Roman" w:eastAsia="宋体" w:cs="Times New Roman"/>
                <w:color w:val="000000"/>
                <w:sz w:val="21"/>
                <w:szCs w:val="21"/>
                <w:lang w:val="en-US" w:eastAsia="zh-CN"/>
              </w:rPr>
              <w:t>在</w:t>
            </w:r>
            <w:r>
              <w:rPr>
                <w:rFonts w:hint="default" w:ascii="Times New Roman" w:hAnsi="Times New Roman" w:eastAsia="宋体" w:cs="Times New Roman"/>
                <w:color w:val="000000"/>
                <w:sz w:val="21"/>
                <w:szCs w:val="21"/>
                <w:lang w:val="en-US" w:eastAsia="zh-CN"/>
              </w:rPr>
              <w:t>植被覆盖率低处布设：</w:t>
            </w:r>
            <w:r>
              <w:rPr>
                <w:rFonts w:hint="eastAsia" w:ascii="Times New Roman" w:hAnsi="Times New Roman" w:eastAsia="宋体" w:cs="Times New Roman"/>
                <w:color w:val="000000"/>
                <w:sz w:val="21"/>
                <w:szCs w:val="21"/>
                <w:lang w:val="en-US" w:eastAsia="zh-CN"/>
              </w:rPr>
              <w:t>并且在低</w:t>
            </w:r>
            <w:r>
              <w:rPr>
                <w:rFonts w:hint="default" w:ascii="Times New Roman" w:hAnsi="Times New Roman" w:eastAsia="宋体" w:cs="Times New Roman"/>
                <w:color w:val="000000"/>
                <w:sz w:val="21"/>
                <w:szCs w:val="21"/>
                <w:lang w:val="en-US" w:eastAsia="zh-CN"/>
              </w:rPr>
              <w:t>洼平缓地带布设，确保了场地坡脚稳定。</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②在工程开挖过程中，</w:t>
            </w:r>
            <w:r>
              <w:rPr>
                <w:rFonts w:hint="eastAsia" w:ascii="Times New Roman" w:hAnsi="Times New Roman" w:eastAsia="宋体" w:cs="Times New Roman"/>
                <w:color w:val="000000"/>
                <w:sz w:val="21"/>
                <w:szCs w:val="21"/>
                <w:lang w:val="en-US" w:eastAsia="zh-CN"/>
              </w:rPr>
              <w:t>为</w:t>
            </w:r>
            <w:r>
              <w:rPr>
                <w:rFonts w:hint="default" w:ascii="Times New Roman" w:hAnsi="Times New Roman" w:eastAsia="宋体" w:cs="Times New Roman"/>
                <w:color w:val="000000"/>
                <w:sz w:val="21"/>
                <w:szCs w:val="21"/>
                <w:lang w:val="en-US" w:eastAsia="zh-CN"/>
              </w:rPr>
              <w:t>尽量减少和有效控制对施工区生态环境的影响范围和程度</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合理进行工程布置，将钻探控制在以工程为中心，半径10m的占地范围内，槽探活动控制在槽探两侧1.5m范围内。探槽开挖前对表土进行剥离，剥离的表士存放在探槽两侧专门的区域，并</w:t>
            </w:r>
            <w:r>
              <w:rPr>
                <w:rFonts w:hint="eastAsia" w:ascii="Times New Roman" w:hAnsi="Times New Roman" w:eastAsia="宋体" w:cs="Times New Roman"/>
                <w:color w:val="000000"/>
                <w:sz w:val="21"/>
                <w:szCs w:val="21"/>
                <w:lang w:val="en-US" w:eastAsia="zh-CN"/>
              </w:rPr>
              <w:t>采取</w:t>
            </w:r>
            <w:r>
              <w:rPr>
                <w:rFonts w:hint="default" w:ascii="Times New Roman" w:hAnsi="Times New Roman" w:eastAsia="宋体" w:cs="Times New Roman"/>
                <w:color w:val="000000"/>
                <w:sz w:val="21"/>
                <w:szCs w:val="21"/>
                <w:lang w:val="en-US" w:eastAsia="zh-CN"/>
              </w:rPr>
              <w:t>遮盖措施，探槽开挖土方临时堆置于探槽两侧，对土石方进行压实处理后做好遮盖措施。施工结束后</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将开挖的士石方全部回填探槽、覆盖上表土并压实。</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③预查工程全部结束后，</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对探槽利用开挖土石方进行回填，场地</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进行全面清理，对钻孔</w:t>
            </w:r>
            <w:r>
              <w:rPr>
                <w:rFonts w:hint="eastAsia" w:ascii="Times New Roman" w:hAnsi="Times New Roman" w:eastAsia="宋体" w:cs="Times New Roman"/>
                <w:color w:val="000000"/>
                <w:sz w:val="21"/>
                <w:szCs w:val="21"/>
                <w:lang w:val="en-US" w:eastAsia="zh-CN"/>
              </w:rPr>
              <w:t>已</w:t>
            </w:r>
            <w:r>
              <w:rPr>
                <w:rFonts w:hint="default" w:ascii="Times New Roman" w:hAnsi="Times New Roman" w:eastAsia="宋体" w:cs="Times New Roman"/>
                <w:color w:val="000000"/>
                <w:sz w:val="21"/>
                <w:szCs w:val="21"/>
                <w:lang w:val="en-US" w:eastAsia="zh-CN"/>
              </w:rPr>
              <w:t>及时进行封孔处理，探矿场地进行全面清理，</w:t>
            </w:r>
            <w:r>
              <w:rPr>
                <w:rFonts w:hint="eastAsia" w:ascii="Times New Roman" w:hAnsi="Times New Roman" w:eastAsia="宋体" w:cs="Times New Roman"/>
                <w:color w:val="000000"/>
                <w:sz w:val="21"/>
                <w:szCs w:val="21"/>
                <w:lang w:val="en-US" w:eastAsia="zh-CN"/>
              </w:rPr>
              <w:t>未遗留</w:t>
            </w:r>
            <w:r>
              <w:rPr>
                <w:rFonts w:hint="default" w:ascii="Times New Roman" w:hAnsi="Times New Roman" w:eastAsia="宋体" w:cs="Times New Roman"/>
                <w:color w:val="000000"/>
                <w:sz w:val="21"/>
                <w:szCs w:val="21"/>
                <w:lang w:val="en-US" w:eastAsia="zh-CN"/>
              </w:rPr>
              <w:t>探矿杂物。</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④预查活动期间严格按照</w:t>
            </w:r>
            <w:r>
              <w:rPr>
                <w:rFonts w:hint="eastAsia" w:ascii="Times New Roman" w:hAnsi="Times New Roman" w:eastAsia="宋体" w:cs="Times New Roman"/>
                <w:color w:val="000000"/>
                <w:sz w:val="21"/>
                <w:szCs w:val="21"/>
                <w:lang w:val="en-US" w:eastAsia="zh-CN"/>
              </w:rPr>
              <w:t>已按</w:t>
            </w:r>
            <w:r>
              <w:rPr>
                <w:rFonts w:hint="default" w:ascii="Times New Roman" w:hAnsi="Times New Roman" w:eastAsia="宋体" w:cs="Times New Roman"/>
                <w:color w:val="000000"/>
                <w:sz w:val="21"/>
                <w:szCs w:val="21"/>
                <w:lang w:val="en-US" w:eastAsia="zh-CN"/>
              </w:rPr>
              <w:t>环评要求布设临时占地，</w:t>
            </w:r>
            <w:r>
              <w:rPr>
                <w:rFonts w:hint="eastAsia" w:ascii="Times New Roman" w:hAnsi="Times New Roman" w:eastAsia="宋体" w:cs="Times New Roman"/>
                <w:color w:val="000000"/>
                <w:sz w:val="21"/>
                <w:szCs w:val="21"/>
                <w:lang w:val="en-US" w:eastAsia="zh-CN"/>
              </w:rPr>
              <w:t>未</w:t>
            </w:r>
            <w:r>
              <w:rPr>
                <w:rFonts w:hint="default" w:ascii="Times New Roman" w:hAnsi="Times New Roman" w:eastAsia="宋体" w:cs="Times New Roman"/>
                <w:color w:val="000000"/>
                <w:sz w:val="21"/>
                <w:szCs w:val="21"/>
                <w:lang w:val="en-US" w:eastAsia="zh-CN"/>
              </w:rPr>
              <w:t>随意扩大探矿临时占地的范围，</w:t>
            </w:r>
            <w:r>
              <w:rPr>
                <w:rFonts w:hint="eastAsia" w:ascii="Times New Roman" w:hAnsi="Times New Roman" w:eastAsia="宋体" w:cs="Times New Roman"/>
                <w:color w:val="000000"/>
                <w:sz w:val="21"/>
                <w:szCs w:val="21"/>
                <w:lang w:val="en-US" w:eastAsia="zh-CN"/>
              </w:rPr>
              <w:t>并采取</w:t>
            </w:r>
            <w:r>
              <w:rPr>
                <w:rFonts w:hint="default" w:ascii="Times New Roman" w:hAnsi="Times New Roman" w:eastAsia="宋体" w:cs="Times New Roman"/>
                <w:color w:val="000000"/>
                <w:sz w:val="21"/>
                <w:szCs w:val="21"/>
                <w:lang w:val="en-US" w:eastAsia="zh-CN"/>
              </w:rPr>
              <w:t>加强管理。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(2)槽探、钻探工作的生态保护措施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槽探保护措施：在每个槽探开挖之前，预先剥离表层植被和土壤，再在单个槽探工作结束后，用槽探挖掘产生的弃土进行回填，再用预先剥离的表层植被进行生态恢复。对于单个探槽工作时间较长的，预先剥离表层土壤堆放在指定位置进行养护，并在槽探工作结束后及时进行回填并进行植被恢复，</w:t>
            </w:r>
            <w:r>
              <w:rPr>
                <w:rFonts w:hint="eastAsia" w:ascii="Times New Roman" w:hAnsi="Times New Roman" w:eastAsia="宋体" w:cs="Times New Roman"/>
                <w:color w:val="000000"/>
                <w:sz w:val="21"/>
                <w:szCs w:val="21"/>
                <w:lang w:val="en-US" w:eastAsia="zh-CN"/>
              </w:rPr>
              <w:t>未</w:t>
            </w:r>
            <w:r>
              <w:rPr>
                <w:rFonts w:hint="default" w:ascii="Times New Roman" w:hAnsi="Times New Roman" w:eastAsia="宋体" w:cs="Times New Roman"/>
                <w:color w:val="000000"/>
                <w:sz w:val="21"/>
                <w:szCs w:val="21"/>
                <w:lang w:val="en-US" w:eastAsia="zh-CN"/>
              </w:rPr>
              <w:t>长久搁置，</w:t>
            </w:r>
            <w:r>
              <w:rPr>
                <w:rFonts w:hint="eastAsia" w:ascii="Times New Roman" w:hAnsi="Times New Roman" w:eastAsia="宋体" w:cs="Times New Roman"/>
                <w:color w:val="000000"/>
                <w:sz w:val="21"/>
                <w:szCs w:val="21"/>
                <w:lang w:val="en-US" w:eastAsia="zh-CN"/>
              </w:rPr>
              <w:t>未</w:t>
            </w:r>
            <w:r>
              <w:rPr>
                <w:rFonts w:hint="default" w:ascii="Times New Roman" w:hAnsi="Times New Roman" w:eastAsia="宋体" w:cs="Times New Roman"/>
                <w:color w:val="000000"/>
                <w:sz w:val="21"/>
                <w:szCs w:val="21"/>
                <w:lang w:val="en-US" w:eastAsia="zh-CN"/>
              </w:rPr>
              <w:t>出现严重的斑块状现象。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(3)生态保护与恢复控制目标</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探矿结束后及时对工程探矿区域场地进行平整回填，不得出现“斑状"景观，探矿固废不得遗留在探矿场地区域。</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textAlignment w:val="auto"/>
              <w:rPr>
                <w:rFonts w:hint="default" w:ascii="Times New Roman" w:hAnsi="Times New Roman" w:eastAsia="宋体" w:cs="Times New Roman"/>
                <w:color w:val="000000"/>
                <w:sz w:val="21"/>
                <w:szCs w:val="21"/>
              </w:rPr>
            </w:pPr>
          </w:p>
          <w:p>
            <w:pPr>
              <w:keepNext w:val="0"/>
              <w:keepLines w:val="0"/>
              <w:pageBreakBefore w:val="0"/>
              <w:kinsoku/>
              <w:wordWrap/>
              <w:overflowPunct/>
              <w:topLinePunct w:val="0"/>
              <w:autoSpaceDE/>
              <w:autoSpaceDN/>
              <w:bidi w:val="0"/>
              <w:spacing w:line="240" w:lineRule="auto"/>
              <w:ind w:left="42" w:leftChars="20" w:right="113" w:firstLine="0" w:firstLineChars="0"/>
              <w:textAlignment w:val="auto"/>
              <w:rPr>
                <w:rFonts w:hint="default" w:ascii="Times New Roman" w:hAnsi="Times New Roman" w:eastAsia="宋体" w:cs="Times New Roman"/>
                <w:color w:val="000000"/>
                <w:sz w:val="21"/>
                <w:szCs w:val="21"/>
              </w:rPr>
            </w:pPr>
          </w:p>
          <w:p>
            <w:pPr>
              <w:pStyle w:val="43"/>
              <w:keepNext w:val="0"/>
              <w:keepLines w:val="0"/>
              <w:pageBreakBefore w:val="0"/>
              <w:kinsoku/>
              <w:wordWrap/>
              <w:overflowPunct/>
              <w:topLinePunct w:val="0"/>
              <w:autoSpaceDE/>
              <w:autoSpaceDN/>
              <w:bidi w:val="0"/>
              <w:spacing w:line="240" w:lineRule="auto"/>
              <w:ind w:left="42" w:leftChars="20" w:right="113" w:firstLine="0" w:firstLineChars="0"/>
              <w:textAlignment w:val="auto"/>
              <w:rPr>
                <w:rFonts w:hint="default"/>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环评审批文件要求：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rPr>
            </w:pPr>
            <w:r>
              <w:rPr>
                <w:rFonts w:hint="default" w:ascii="Times New Roman" w:hAnsi="Times New Roman" w:cs="Times New Roman"/>
                <w:color w:val="000000"/>
                <w:lang w:val="en-US" w:eastAsia="zh-CN"/>
              </w:rPr>
              <w:t>本项目预查期对生态的影响主要是表土开挖、弃土堆放改变地貌，破坏原生植被和景观，</w:t>
            </w:r>
            <w:r>
              <w:rPr>
                <w:rFonts w:hint="eastAsia" w:ascii="Times New Roman" w:hAnsi="Times New Roman" w:cs="Times New Roman"/>
                <w:color w:val="000000"/>
                <w:lang w:val="en-US" w:eastAsia="zh-CN"/>
              </w:rPr>
              <w:t>在</w:t>
            </w:r>
            <w:r>
              <w:rPr>
                <w:rFonts w:hint="default" w:ascii="Times New Roman" w:hAnsi="Times New Roman" w:cs="Times New Roman"/>
                <w:color w:val="000000"/>
                <w:lang w:val="en-US" w:eastAsia="zh-CN"/>
              </w:rPr>
              <w:t>钻探施工结束后</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对钻机平台进行迹地清理，泥浆自然风干后覆土掩埋，</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恢复原有地形地貌。探槽施工结束后</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及时将开挖的土石方全部回填、覆盖上表土并压实，恢复探槽施工区域原有地形地貌，</w:t>
            </w:r>
            <w:r>
              <w:rPr>
                <w:rFonts w:hint="eastAsia" w:ascii="Times New Roman" w:hAnsi="Times New Roman" w:cs="Times New Roman"/>
                <w:color w:val="000000"/>
                <w:lang w:val="en-US" w:eastAsia="zh-CN"/>
              </w:rPr>
              <w:t>在</w:t>
            </w:r>
            <w:r>
              <w:rPr>
                <w:rFonts w:hint="default" w:ascii="Times New Roman" w:hAnsi="Times New Roman" w:cs="Times New Roman"/>
                <w:color w:val="000000"/>
                <w:lang w:val="en-US" w:eastAsia="zh-CN"/>
              </w:rPr>
              <w:t>采取提出的保护措施后，对生态环境影响较小。</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已落实。施工结束后已对占用土地进行了生态恢复。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 w:hRule="atLeast"/>
          <w:jc w:val="center"/>
        </w:trPr>
        <w:tc>
          <w:tcPr>
            <w:tcW w:w="441"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1"/>
                <w:sz w:val="21"/>
                <w:szCs w:val="21"/>
              </w:rPr>
            </w:pP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rPr>
              <w:t>污染影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环评要求：</w:t>
            </w:r>
          </w:p>
          <w:p>
            <w:pPr>
              <w:keepNext w:val="0"/>
              <w:keepLines w:val="0"/>
              <w:pageBreakBefore w:val="0"/>
              <w:widowControl w:val="0"/>
              <w:numPr>
                <w:ilvl w:val="0"/>
                <w:numId w:val="5"/>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大气环境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本项目预查期大气污染物主要为探槽开挖、钻探施工、钻孔封闭等施工产生扬尘和土方堆放产生的扬尘、施工机械废气。</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⑴堆场扬尘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项目区岩石硬度大，风化较差，因此废石临时堆放起尘的可能性较小，造成区域大气污染的可能性较小。表土剥离物以沙土为主，松散堆放易起尘。通过加覆盖物覆盖或洒水增加含水率可有效抑制扬尘产生。</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⑵道路扬尘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 xml:space="preserve">矿区内砂石道路两侧无居住区等环境敏感点，道路扬尘产生影响较小。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⑶施工机械废气</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项目施工机械产生尾气主要为CO、NOx、THC，由于施工机械分散作业，各探矿点施工机械较少，且作业场地地势开阔，对周边环境空气影响较小。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2、水环境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本项目预查期产生的废水主要为施工人员生活污水</w:t>
            </w:r>
            <w:r>
              <w:rPr>
                <w:rFonts w:hint="eastAsia" w:ascii="Times New Roman" w:hAnsi="Times New Roman" w:cs="Times New Roman"/>
                <w:color w:val="000000"/>
                <w:lang w:val="en-US" w:eastAsia="zh-CN"/>
              </w:rPr>
              <w:t>以及</w:t>
            </w:r>
            <w:r>
              <w:rPr>
                <w:rFonts w:hint="default" w:ascii="Times New Roman" w:hAnsi="Times New Roman" w:cs="Times New Roman"/>
                <w:color w:val="000000"/>
                <w:lang w:val="en-US" w:eastAsia="zh-CN"/>
              </w:rPr>
              <w:t>钻探循环水。</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（1）生活废水</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项目区建临时防渗旱厕，定期清掏并填埋，其它少量生活污水用于场地泼洒降尘，不外排，对周围环境影响较小。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（2）钻探循环水</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钻探产生的泥浆呈状棕黄色粘稠状，主要成分为膨润土、粘土和钻井岩屑，成分简单，不含污染物，钻探用水主要是清水钻井和泥浆配制时需要，用水采用汽车运输的方式。暂存在容积为10m³的移动式储水池中，在钻探过程中采用清水钻孔，产生的钻孔废水循环利用不外排。</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3、声环境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噪声主要为钻探时使用的钻机、发电机等产生的机械噪声以及小型运输车辆产生的噪声；运输车辆产生的噪声较小，对周围影响较小。在采取合理布置施工机械，及时对机械设备进行维护保养工作等措施后，能有效控制探矿期产生的噪声污染。</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4、固体废物</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本项目预查期主要固体废物为施工产生的土石方和施工人员产生的生活垃圾。</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1、土石方</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本项目钻探剥离的表土就近堆放，最后用于表层覆土和植被恢复；本项目土石方主要是探槽、钻探施工时产生的挖方，待取样结束后，全部回填，无弃方产生，对周围环境影响较小。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（1）槽探土石方处置措施合理性分析</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各临时挖方堆放场地就近设置在探槽附近，由于探槽周边零星分布垫状植被(覆盖度5-10%），挖方堆放前可避开植被分布的地段；在探槽取样结束后立即对挖方进行回填。</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（2）钻探工程土石方处置措施合理性分析</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待钻井施工结束后用于钻井平台的回填，</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恢复钻井平台原有地形地貌。</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2、生活垃圾</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生活垃圾经垃圾箱收集后定期清运至垃圾转运站，对周围环境影响较小。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3、钻井泥浆</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FF0000"/>
                <w:lang w:val="en-US" w:eastAsia="zh-CN"/>
              </w:rPr>
            </w:pPr>
            <w:r>
              <w:rPr>
                <w:rFonts w:hint="default" w:ascii="Times New Roman" w:hAnsi="Times New Roman" w:cs="Times New Roman"/>
                <w:color w:val="000000"/>
                <w:lang w:val="en-US" w:eastAsia="zh-CN"/>
              </w:rPr>
              <w:t xml:space="preserve">钻探产生的泥浆主要为水和泥浆材料（膨润土）按4:1的比例调配成泥浆液，钻探时泥浆进行循环利用，钻探结束后余量用于钻探平台的回填。 </w:t>
            </w:r>
            <w:r>
              <w:rPr>
                <w:rFonts w:hint="default" w:ascii="Times New Roman" w:hAnsi="Times New Roman" w:cs="Times New Roman"/>
                <w:color w:val="FF0000"/>
                <w:lang w:val="en-US" w:eastAsia="zh-CN"/>
              </w:rPr>
              <w:t xml:space="preserve"> </w:t>
            </w:r>
          </w:p>
          <w:p>
            <w:pPr>
              <w:keepNext w:val="0"/>
              <w:keepLines w:val="0"/>
              <w:pageBreakBefore w:val="0"/>
              <w:kinsoku/>
              <w:wordWrap/>
              <w:overflowPunct/>
              <w:topLinePunct w:val="0"/>
              <w:autoSpaceDE/>
              <w:autoSpaceDN/>
              <w:bidi w:val="0"/>
              <w:spacing w:line="240" w:lineRule="auto"/>
              <w:ind w:left="42" w:leftChars="20" w:right="113" w:firstLine="0" w:firstLineChars="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环评审批文件要求：</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1、本项目预查期大气污染物主要为探槽开挖、钻探施工、钻孔封闭等施工产生扬尘，由于本项目探槽开挖、钻探施工面积很小，不采取大开挖方式。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本项目预查期产生的废水主要为施工人员生活污水、钻探循环水和冲洗废水。本项目预查期产生生活污水，主要污染因子为COD、氨氮等。其中员工生活洗漱废水水质简单，全部用于场地泼洒降尘，厂区设有防渗旱厕，人员粪便废水全部进入旱厕，防渗旱厕定期清掏用于周边草地施肥。项目钻探循环泥浆在移动式泥浆池中配置后循环利用不外排。项目钻探过程产生泥浆在井内封存填埋，不外排。</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3、本项目运营期噪声主要为钻机及车辆噪声，噪声源强在85-90dB（A）之间，在采取合理布置施工机械，及时对机械设备进行维护保养工作等措施后，能有效控制探矿期产生的噪声污染。</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FF0000"/>
                <w:lang w:val="en-US" w:eastAsia="zh-CN"/>
              </w:rPr>
            </w:pPr>
            <w:r>
              <w:rPr>
                <w:rFonts w:hint="default" w:ascii="Times New Roman" w:hAnsi="Times New Roman" w:cs="Times New Roman"/>
                <w:color w:val="000000"/>
                <w:lang w:val="en-US" w:eastAsia="zh-CN"/>
              </w:rPr>
              <w:t>4、本项目预查期主要固体废物为施工产生的土石方和施工人员产生的生活垃圾。施工结束后及时将开挖的土石方全部回填、无弃方产生；预查期工作人员生活垃圾经垃圾箱集中收集后，定期清运至生活垃圾填埋转运站处置，钻井泥浆风干后用于钻探平台回填。</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经过现场调查以及与建设单位的核实，施工期采取以下防治措施：</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1、</w:t>
            </w:r>
            <w:r>
              <w:rPr>
                <w:rFonts w:hint="default" w:ascii="Times New Roman" w:hAnsi="Times New Roman" w:eastAsia="宋体" w:cs="Times New Roman"/>
                <w:color w:val="000000"/>
                <w:lang w:val="en-US" w:eastAsia="zh-CN"/>
              </w:rPr>
              <w:t>大气环境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本项目预查期大气污染物主要为探槽开挖、钻探施工、钻孔封闭等施工产生扬尘和土方堆放产生的扬尘、施工机械废气。</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 xml:space="preserve">⑴堆场扬尘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项目区岩石硬度大，风化较差，因此废石临时堆放起尘的可能性较小，造成区域大气污染的可能性较小。表土剥离物以沙土为主，松散堆放易起尘。通过</w:t>
            </w:r>
            <w:r>
              <w:rPr>
                <w:rFonts w:hint="eastAsia" w:ascii="Times New Roman" w:hAnsi="Times New Roman" w:eastAsia="宋体" w:cs="Times New Roman"/>
                <w:color w:val="000000"/>
                <w:lang w:val="en-US" w:eastAsia="zh-CN"/>
              </w:rPr>
              <w:t>用苫布</w:t>
            </w:r>
            <w:r>
              <w:rPr>
                <w:rFonts w:hint="default" w:ascii="Times New Roman" w:hAnsi="Times New Roman" w:eastAsia="宋体" w:cs="Times New Roman"/>
                <w:color w:val="000000"/>
                <w:lang w:val="en-US" w:eastAsia="zh-CN"/>
              </w:rPr>
              <w:t>覆盖</w:t>
            </w:r>
            <w:r>
              <w:rPr>
                <w:rFonts w:hint="eastAsia" w:ascii="Times New Roman" w:hAnsi="Times New Roman" w:eastAsia="宋体" w:cs="Times New Roman"/>
                <w:color w:val="000000"/>
                <w:lang w:val="en-US" w:eastAsia="zh-CN"/>
              </w:rPr>
              <w:t>以及</w:t>
            </w:r>
            <w:r>
              <w:rPr>
                <w:rFonts w:hint="default" w:ascii="Times New Roman" w:hAnsi="Times New Roman" w:eastAsia="宋体" w:cs="Times New Roman"/>
                <w:color w:val="000000"/>
                <w:lang w:val="en-US" w:eastAsia="zh-CN"/>
              </w:rPr>
              <w:t>洒水增加含水率可有效抑制扬尘产生。</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 xml:space="preserve">⑵道路扬尘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lang w:val="en-US" w:eastAsia="zh-CN"/>
              </w:rPr>
            </w:pPr>
            <w:r>
              <w:rPr>
                <w:rFonts w:hint="default" w:ascii="Times New Roman" w:hAnsi="Times New Roman" w:eastAsia="宋体" w:cs="Times New Roman"/>
                <w:color w:val="000000"/>
                <w:lang w:val="en-US" w:eastAsia="zh-CN"/>
              </w:rPr>
              <w:t xml:space="preserve">矿区内砂石道路两侧无居住区等环境敏感点，道路扬尘产生影响较小。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⑶施工机械废气</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项目施工机械产生尾气主要为CO、NOx、THC，由于施工机械分散作业，各探矿点施工机械较少，且作业场地地势开阔，对周边环境空气影响较小。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2、水环境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本项目预查期产生的废水主要为施工人员生活污水</w:t>
            </w:r>
            <w:r>
              <w:rPr>
                <w:rFonts w:hint="eastAsia" w:ascii="Times New Roman" w:hAnsi="Times New Roman" w:cs="Times New Roman"/>
                <w:color w:val="000000"/>
                <w:lang w:val="en-US" w:eastAsia="zh-CN"/>
              </w:rPr>
              <w:t>以及钻探循环水</w:t>
            </w:r>
            <w:r>
              <w:rPr>
                <w:rFonts w:hint="default" w:ascii="Times New Roman" w:hAnsi="Times New Roman" w:cs="Times New Roman"/>
                <w:color w:val="000000"/>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（1）生活废水</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项目区建临时防渗旱厕，</w:t>
            </w:r>
            <w:r>
              <w:rPr>
                <w:rFonts w:hint="eastAsia" w:ascii="Times New Roman" w:hAnsi="Times New Roman" w:cs="Times New Roman"/>
                <w:color w:val="000000"/>
                <w:lang w:val="en-US" w:eastAsia="zh-CN"/>
              </w:rPr>
              <w:t>在预查工作结束后已进行</w:t>
            </w:r>
            <w:r>
              <w:rPr>
                <w:rFonts w:hint="default" w:ascii="Times New Roman" w:hAnsi="Times New Roman" w:cs="Times New Roman"/>
                <w:color w:val="000000"/>
                <w:lang w:val="en-US" w:eastAsia="zh-CN"/>
              </w:rPr>
              <w:t>填埋，其它少量生活污水用于场地泼洒降尘，不外排，对周围环境影响较小。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（2）钻探循环水</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钻探产生的泥浆呈状棕黄色粘稠状，主要成分为膨润土、粘土和钻井岩屑，成分简单，不含污染物，钻探用水主要是清水钻井和泥浆配制时需要，用水采用汽车运输的方式。暂存在容积为10m³的移动式储水池中，在钻探过程中采用清水钻孔，产生的钻孔废水循环利用不外排。</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3、声环境</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噪声主要为钻探时使用的钻机、发电机等产生的机械噪声以及小型运输车辆产生的噪声；运输车辆产生的噪声较小，对周围影响较小。在采取合理布置施工机械，及时对机械设备进行维护保养工作等措施后，能有效控制探矿期产生的噪声污染。</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4、固体废物</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本项目预查期主要固体废物为施工产生的土石方和施工人员产生的生活垃圾。</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1、土石方</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本项目钻探剥离的表土就近堆放最后用于表层覆土和植被恢复；本项目土石方主要是探槽、钻探施工时产生的挖方，</w:t>
            </w:r>
            <w:r>
              <w:rPr>
                <w:rFonts w:hint="eastAsia" w:ascii="Times New Roman" w:hAnsi="Times New Roman" w:cs="Times New Roman"/>
                <w:color w:val="000000"/>
                <w:lang w:val="en-US" w:eastAsia="zh-CN"/>
              </w:rPr>
              <w:t>在</w:t>
            </w:r>
            <w:r>
              <w:rPr>
                <w:rFonts w:hint="default" w:ascii="Times New Roman" w:hAnsi="Times New Roman" w:cs="Times New Roman"/>
                <w:color w:val="000000"/>
                <w:lang w:val="en-US" w:eastAsia="zh-CN"/>
              </w:rPr>
              <w:t>取样结束后</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全部回填，无弃方产生，对周围环境影响较小。</w:t>
            </w:r>
          </w:p>
          <w:p>
            <w:pPr>
              <w:keepNext w:val="0"/>
              <w:keepLines w:val="0"/>
              <w:pageBreakBefore w:val="0"/>
              <w:widowControl w:val="0"/>
              <w:numPr>
                <w:ilvl w:val="0"/>
                <w:numId w:val="6"/>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槽探土石方</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各临时挖方堆放场地就近设置在探槽附近，由于探槽周边零星分布垫状植被(覆盖度5-10%），挖方堆放前避开植被分布的地段；在探槽取样结束后</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对挖方进行回填。</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（2）钻探工程土石方</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eastAsia" w:ascii="Times New Roman" w:hAnsi="Times New Roman" w:cs="Times New Roman"/>
                <w:color w:val="000000"/>
                <w:lang w:val="en-US" w:eastAsia="zh-CN"/>
              </w:rPr>
              <w:t>在</w:t>
            </w:r>
            <w:r>
              <w:rPr>
                <w:rFonts w:hint="default" w:ascii="Times New Roman" w:hAnsi="Times New Roman" w:cs="Times New Roman"/>
                <w:color w:val="000000"/>
                <w:lang w:val="en-US" w:eastAsia="zh-CN"/>
              </w:rPr>
              <w:t>钻井施工结束后用于钻井平台的回填，</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恢复钻井平台原有地形地貌。</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2、生活垃圾</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生活垃圾经垃圾箱收集后定期清运至垃圾转运站，对周围环境影响较小。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3、钻井泥浆</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FF0000"/>
                <w:lang w:val="en-US" w:eastAsia="zh-CN"/>
              </w:rPr>
            </w:pPr>
            <w:r>
              <w:rPr>
                <w:rFonts w:hint="default" w:ascii="Times New Roman" w:hAnsi="Times New Roman" w:cs="Times New Roman"/>
                <w:color w:val="000000"/>
                <w:lang w:val="en-US" w:eastAsia="zh-CN"/>
              </w:rPr>
              <w:t xml:space="preserve">钻探产生的泥浆主要为水和泥浆材料（膨润土）按4:1的比例调配成泥浆液，钻探时泥浆进行循环利用，钻探结束后用于钻探平台的回填。 </w:t>
            </w:r>
            <w:r>
              <w:rPr>
                <w:rFonts w:hint="default" w:ascii="Times New Roman" w:hAnsi="Times New Roman" w:cs="Times New Roman"/>
                <w:color w:val="FF0000"/>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FF0000"/>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1"/>
                <w:szCs w:val="21"/>
              </w:rPr>
              <w:t>环评审批文件要求：</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1、本项目预查期大气污染物主要为探槽开挖、钻探施工、钻孔封闭等施工产生扬尘，由于本项目探槽开挖、钻探施工面积很小，不采取大开挖方式。</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2、本项目预查期产生的废水主要为施工人员生活污水、钻探循环水和冲洗废水。本项目预查期产生生活污水，主要污染因子为COD、氨氮等。其中员工生活洗漱废水水质简单，全部用于场地泼洒降尘，厂区设有防渗旱厕，人员粪便废水全部进入旱厕，防渗旱厕定期清掏用于周边草地施肥。项目钻探循环泥浆在移动式泥浆池中配置后循环利用不外排。项目钻探过程产生泥浆在井内封存填埋，不外排。</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color w:val="000000"/>
                <w:lang w:val="en-US" w:eastAsia="zh-CN"/>
              </w:rPr>
            </w:pPr>
            <w:r>
              <w:rPr>
                <w:rFonts w:hint="default" w:ascii="Times New Roman" w:hAnsi="Times New Roman" w:cs="Times New Roman"/>
                <w:color w:val="000000"/>
                <w:lang w:val="en-US" w:eastAsia="zh-CN"/>
              </w:rPr>
              <w:t>3、本项目运营期噪声主要为钻机及车辆噪声，噪声源强在85-90dB（A）之间，在采取合理布置施工机械，及时对机械设备进行维护保养工作等措施后，能有效控制探矿期产生的噪声污染。</w:t>
            </w:r>
          </w:p>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cs="Times New Roman"/>
              </w:rPr>
            </w:pPr>
            <w:r>
              <w:rPr>
                <w:rFonts w:hint="default" w:ascii="Times New Roman" w:hAnsi="Times New Roman" w:cs="Times New Roman"/>
                <w:color w:val="000000"/>
                <w:lang w:val="en-US" w:eastAsia="zh-CN"/>
              </w:rPr>
              <w:t>4、本项目预查期主要固体废物为施工产生的土石方和施工人员产生的生活垃圾。施工结束后</w:t>
            </w:r>
            <w:r>
              <w:rPr>
                <w:rFonts w:hint="eastAsia" w:ascii="Times New Roman" w:hAnsi="Times New Roman" w:cs="Times New Roman"/>
                <w:color w:val="000000"/>
                <w:lang w:val="en-US" w:eastAsia="zh-CN"/>
              </w:rPr>
              <w:t>已</w:t>
            </w:r>
            <w:r>
              <w:rPr>
                <w:rFonts w:hint="default" w:ascii="Times New Roman" w:hAnsi="Times New Roman" w:cs="Times New Roman"/>
                <w:color w:val="000000"/>
                <w:lang w:val="en-US" w:eastAsia="zh-CN"/>
              </w:rPr>
              <w:t>及时将开挖的土石方全部回填、无弃方产生；预查期工作人员生活垃圾经垃圾箱集中收集后，定期清运至生活垃圾填埋转运站处置，钻井泥浆风干后用于钻探平台回填。</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41"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1"/>
                <w:sz w:val="21"/>
                <w:szCs w:val="21"/>
              </w:rPr>
            </w:pP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rPr>
              <w:t>社会影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4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1"/>
                <w:sz w:val="21"/>
                <w:szCs w:val="21"/>
                <w:lang w:val="en-US" w:eastAsia="zh-CN"/>
              </w:rPr>
            </w:pPr>
            <w:r>
              <w:rPr>
                <w:rFonts w:hint="default" w:ascii="Times New Roman" w:hAnsi="Times New Roman" w:eastAsia="宋体" w:cs="Times New Roman"/>
                <w:spacing w:val="-1"/>
                <w:sz w:val="21"/>
                <w:szCs w:val="21"/>
                <w:lang w:val="en-US" w:eastAsia="zh-CN"/>
              </w:rPr>
              <w:t>运营期</w:t>
            </w: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lang w:val="en-US" w:eastAsia="zh-CN"/>
              </w:rPr>
              <w:t>生态</w:t>
            </w:r>
            <w:r>
              <w:rPr>
                <w:rFonts w:hint="default" w:ascii="Times New Roman" w:hAnsi="Times New Roman" w:eastAsia="宋体" w:cs="Times New Roman"/>
                <w:spacing w:val="-2"/>
                <w:sz w:val="21"/>
                <w:szCs w:val="21"/>
              </w:rPr>
              <w:t>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w:t>
            </w:r>
          </w:p>
        </w:tc>
        <w:tc>
          <w:tcPr>
            <w:tcW w:w="1516" w:type="dxa"/>
            <w:noWrap w:val="0"/>
            <w:vAlign w:val="center"/>
          </w:tcPr>
          <w:p>
            <w:pPr>
              <w:keepNext w:val="0"/>
              <w:keepLines w:val="0"/>
              <w:pageBreakBefore w:val="0"/>
              <w:kinsoku/>
              <w:wordWrap/>
              <w:overflowPunct/>
              <w:topLinePunct w:val="0"/>
              <w:autoSpaceDE/>
              <w:autoSpaceDN/>
              <w:bidi w:val="0"/>
              <w:spacing w:line="240" w:lineRule="auto"/>
              <w:ind w:left="42" w:leftChars="20" w:right="113" w:firstLine="0" w:firstLineChars="0"/>
              <w:jc w:val="center"/>
              <w:textAlignment w:val="auto"/>
              <w:rPr>
                <w:rFonts w:hint="default" w:ascii="Times New Roman" w:hAnsi="Times New Roman" w:cs="Times New Roman"/>
                <w:lang w:val="en-US" w:eastAsia="zh-CN"/>
              </w:rPr>
            </w:pPr>
            <w:r>
              <w:rPr>
                <w:rFonts w:hint="eastAsia"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 w:hRule="atLeast"/>
          <w:jc w:val="center"/>
        </w:trPr>
        <w:tc>
          <w:tcPr>
            <w:tcW w:w="441" w:type="dxa"/>
            <w:vMerge w:val="continue"/>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1"/>
                <w:sz w:val="21"/>
                <w:szCs w:val="21"/>
              </w:rPr>
            </w:pPr>
          </w:p>
        </w:tc>
        <w:tc>
          <w:tcPr>
            <w:tcW w:w="94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lang w:val="en-US" w:eastAsia="zh-CN"/>
              </w:rPr>
              <w:t>污染</w:t>
            </w:r>
            <w:r>
              <w:rPr>
                <w:rFonts w:hint="default" w:ascii="Times New Roman" w:hAnsi="Times New Roman" w:eastAsia="宋体" w:cs="Times New Roman"/>
                <w:spacing w:val="-2"/>
                <w:sz w:val="21"/>
                <w:szCs w:val="21"/>
              </w:rPr>
              <w:t>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无</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441" w:type="dxa"/>
            <w:vMerge w:val="continue"/>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1"/>
                <w:sz w:val="21"/>
                <w:szCs w:val="21"/>
              </w:rPr>
            </w:pPr>
          </w:p>
        </w:tc>
        <w:tc>
          <w:tcPr>
            <w:tcW w:w="944" w:type="dxa"/>
            <w:tcBorders>
              <w:bottom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center"/>
              <w:textAlignment w:val="auto"/>
              <w:rPr>
                <w:rFonts w:hint="default" w:ascii="Times New Roman" w:hAnsi="Times New Roman" w:eastAsia="宋体" w:cs="Times New Roman"/>
                <w:spacing w:val="-2"/>
                <w:sz w:val="21"/>
                <w:szCs w:val="21"/>
              </w:rPr>
            </w:pPr>
            <w:r>
              <w:rPr>
                <w:rFonts w:hint="default" w:ascii="Times New Roman" w:hAnsi="Times New Roman" w:eastAsia="宋体" w:cs="Times New Roman"/>
                <w:spacing w:val="-2"/>
                <w:sz w:val="21"/>
                <w:szCs w:val="21"/>
              </w:rPr>
              <w:t>社会影</w:t>
            </w:r>
            <w:r>
              <w:rPr>
                <w:rFonts w:hint="default" w:ascii="Times New Roman" w:hAnsi="Times New Roman" w:eastAsia="宋体" w:cs="Times New Roman"/>
                <w:spacing w:val="-1"/>
                <w:sz w:val="21"/>
                <w:szCs w:val="21"/>
              </w:rPr>
              <w:t>响</w:t>
            </w:r>
          </w:p>
        </w:tc>
        <w:tc>
          <w:tcPr>
            <w:tcW w:w="588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rPr>
              <w:t>无</w:t>
            </w:r>
          </w:p>
        </w:tc>
        <w:tc>
          <w:tcPr>
            <w:tcW w:w="5684"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firstLine="0" w:firstLineChars="0"/>
              <w:jc w:val="left"/>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无</w:t>
            </w:r>
          </w:p>
        </w:tc>
        <w:tc>
          <w:tcPr>
            <w:tcW w:w="151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42" w:leftChars="20" w:right="113"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无</w:t>
            </w:r>
          </w:p>
        </w:tc>
      </w:tr>
    </w:tbl>
    <w:p>
      <w:pPr>
        <w:spacing w:before="97" w:line="220" w:lineRule="auto"/>
        <w:ind w:firstLine="3373" w:firstLineChars="1200"/>
        <w:jc w:val="both"/>
        <w:rPr>
          <w:rFonts w:hint="default" w:ascii="Times New Roman" w:hAnsi="Times New Roman" w:eastAsia="宋体" w:cs="Times New Roman"/>
          <w:b/>
          <w:bCs w:val="0"/>
          <w:color w:val="auto"/>
          <w:sz w:val="28"/>
          <w:szCs w:val="28"/>
          <w:lang w:val="en-US" w:eastAsia="zh-CN"/>
        </w:rPr>
      </w:pPr>
    </w:p>
    <w:p>
      <w:pPr>
        <w:spacing w:before="97" w:line="220" w:lineRule="auto"/>
        <w:ind w:firstLine="3373" w:firstLineChars="1200"/>
        <w:jc w:val="both"/>
        <w:rPr>
          <w:rFonts w:hint="default" w:ascii="Times New Roman" w:hAnsi="Times New Roman" w:eastAsia="宋体" w:cs="Times New Roman"/>
          <w:b/>
          <w:bCs w:val="0"/>
          <w:color w:val="auto"/>
          <w:sz w:val="28"/>
          <w:szCs w:val="28"/>
          <w:lang w:val="en-US" w:eastAsia="zh-CN"/>
        </w:rPr>
        <w:sectPr>
          <w:footerReference r:id="rId11" w:type="default"/>
          <w:pgSz w:w="16838" w:h="11905" w:orient="landscape"/>
          <w:pgMar w:top="1440" w:right="1800" w:bottom="1440" w:left="1800" w:header="850" w:footer="1077" w:gutter="0"/>
          <w:paperSrc/>
          <w:pgNumType w:fmt="decimal"/>
          <w:cols w:space="720" w:num="1"/>
          <w:rtlGutter w:val="0"/>
          <w:docGrid w:linePitch="0" w:charSpace="0"/>
        </w:sectPr>
      </w:pPr>
    </w:p>
    <w:p>
      <w:pPr>
        <w:spacing w:before="97" w:line="220" w:lineRule="auto"/>
        <w:jc w:val="both"/>
        <w:rPr>
          <w:rFonts w:hint="default"/>
        </w:rPr>
      </w:pPr>
      <w:r>
        <w:rPr>
          <w:rFonts w:hint="default" w:ascii="Times New Roman" w:hAnsi="Times New Roman" w:eastAsia="宋体" w:cs="Times New Roman"/>
          <w:b/>
          <w:bCs w:val="0"/>
          <w:color w:val="auto"/>
          <w:sz w:val="28"/>
          <w:szCs w:val="28"/>
          <w:lang w:val="en-US" w:eastAsia="zh-CN"/>
        </w:rPr>
        <w:t>7.环境影响调查</w:t>
      </w:r>
    </w:p>
    <w:tbl>
      <w:tblPr>
        <w:tblStyle w:val="204"/>
        <w:tblW w:w="907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4"/>
        <w:gridCol w:w="526"/>
        <w:gridCol w:w="8151"/>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1" w:hRule="atLeast"/>
        </w:trPr>
        <w:tc>
          <w:tcPr>
            <w:tcW w:w="394" w:type="dxa"/>
            <w:vMerge w:val="restart"/>
            <w:tcBorders>
              <w:bottom w:val="nil"/>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jc w:val="center"/>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施工期</w:t>
            </w:r>
          </w:p>
        </w:tc>
        <w:tc>
          <w:tcPr>
            <w:tcW w:w="526" w:type="dxa"/>
            <w:noWrap w:val="0"/>
            <w:vAlign w:val="center"/>
          </w:tcPr>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jc w:val="center"/>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生态影响</w:t>
            </w: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jc w:val="both"/>
              <w:textAlignment w:val="auto"/>
              <w:rPr>
                <w:rFonts w:hint="default" w:ascii="Times New Roman" w:hAnsi="Times New Roman" w:eastAsia="宋体" w:cs="Times New Roman"/>
                <w:bCs/>
                <w:sz w:val="24"/>
                <w:szCs w:val="24"/>
                <w:lang w:val="en-US" w:eastAsia="zh-CN"/>
              </w:rPr>
            </w:pPr>
          </w:p>
        </w:tc>
        <w:tc>
          <w:tcPr>
            <w:tcW w:w="8151" w:type="dxa"/>
            <w:noWrap w:val="0"/>
            <w:vAlign w:val="center"/>
          </w:tcPr>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1）</w:t>
            </w:r>
            <w:r>
              <w:rPr>
                <w:color w:val="auto"/>
                <w:sz w:val="24"/>
                <w:szCs w:val="24"/>
                <w:highlight w:val="none"/>
              </w:rPr>
              <w:t>生态环境保护总体措施</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rFonts w:hint="eastAsia"/>
                <w:color w:val="auto"/>
                <w:sz w:val="24"/>
                <w:szCs w:val="24"/>
                <w:highlight w:val="none"/>
                <w:lang w:val="en-US" w:eastAsia="zh-CN"/>
              </w:rPr>
              <w:t>通过现场调查，</w:t>
            </w:r>
            <w:r>
              <w:rPr>
                <w:color w:val="auto"/>
                <w:sz w:val="24"/>
                <w:szCs w:val="24"/>
                <w:highlight w:val="none"/>
              </w:rPr>
              <w:t>探矿营地选择</w:t>
            </w:r>
            <w:r>
              <w:rPr>
                <w:rFonts w:hint="eastAsia"/>
                <w:color w:val="auto"/>
                <w:sz w:val="24"/>
                <w:szCs w:val="24"/>
                <w:highlight w:val="none"/>
                <w:lang w:val="en-US" w:eastAsia="zh-CN"/>
              </w:rPr>
              <w:t>在</w:t>
            </w:r>
            <w:r>
              <w:rPr>
                <w:color w:val="auto"/>
                <w:sz w:val="24"/>
                <w:szCs w:val="24"/>
                <w:highlight w:val="none"/>
              </w:rPr>
              <w:t>植被覆盖率低处布设</w:t>
            </w:r>
            <w:r>
              <w:rPr>
                <w:rFonts w:hint="eastAsia"/>
                <w:color w:val="auto"/>
                <w:sz w:val="24"/>
                <w:szCs w:val="24"/>
                <w:highlight w:val="none"/>
                <w:lang w:eastAsia="zh-CN"/>
              </w:rPr>
              <w:t>；</w:t>
            </w:r>
            <w:r>
              <w:rPr>
                <w:color w:val="auto"/>
                <w:sz w:val="24"/>
                <w:szCs w:val="24"/>
                <w:highlight w:val="none"/>
              </w:rPr>
              <w:t>土石方临时堆场选择低洼平缓地带布设，确保了场地坡脚稳定，防止</w:t>
            </w:r>
            <w:r>
              <w:rPr>
                <w:rFonts w:hint="eastAsia"/>
                <w:color w:val="auto"/>
                <w:sz w:val="24"/>
                <w:szCs w:val="24"/>
                <w:highlight w:val="none"/>
                <w:lang w:val="en-US" w:eastAsia="zh-CN"/>
              </w:rPr>
              <w:t>了</w:t>
            </w:r>
            <w:r>
              <w:rPr>
                <w:color w:val="auto"/>
                <w:sz w:val="24"/>
                <w:szCs w:val="24"/>
                <w:highlight w:val="none"/>
              </w:rPr>
              <w:t>地质灾害发生。</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rFonts w:hint="eastAsia"/>
                <w:color w:val="auto"/>
                <w:sz w:val="24"/>
                <w:szCs w:val="24"/>
                <w:highlight w:val="none"/>
              </w:rPr>
            </w:pPr>
            <w:r>
              <w:rPr>
                <w:rFonts w:hint="eastAsia"/>
                <w:color w:val="auto"/>
                <w:sz w:val="24"/>
                <w:szCs w:val="24"/>
                <w:highlight w:val="none"/>
              </w:rPr>
              <w:t>在工程开挖过程中，</w:t>
            </w:r>
            <w:r>
              <w:rPr>
                <w:rFonts w:hint="eastAsia"/>
                <w:color w:val="auto"/>
                <w:sz w:val="24"/>
                <w:szCs w:val="24"/>
                <w:highlight w:val="none"/>
                <w:lang w:val="en-US" w:eastAsia="zh-CN"/>
              </w:rPr>
              <w:t>为</w:t>
            </w:r>
            <w:r>
              <w:rPr>
                <w:rFonts w:hint="eastAsia"/>
                <w:color w:val="auto"/>
                <w:sz w:val="24"/>
                <w:szCs w:val="24"/>
                <w:highlight w:val="none"/>
              </w:rPr>
              <w:t>尽量减少和有效控制对施工区生态环境的影响范围和程度。</w:t>
            </w:r>
            <w:r>
              <w:rPr>
                <w:rFonts w:hint="eastAsia"/>
                <w:color w:val="auto"/>
                <w:sz w:val="24"/>
                <w:szCs w:val="24"/>
                <w:highlight w:val="none"/>
                <w:lang w:val="en-US" w:eastAsia="zh-CN"/>
              </w:rPr>
              <w:t>通过</w:t>
            </w:r>
            <w:r>
              <w:rPr>
                <w:rFonts w:hint="eastAsia"/>
                <w:color w:val="auto"/>
                <w:sz w:val="24"/>
                <w:szCs w:val="24"/>
                <w:highlight w:val="none"/>
              </w:rPr>
              <w:t>合理进行工程布置，精心组织施工管理，将钻探控制在以工程为中心，半径10m的占地范围内，槽探活动控制在槽探两侧</w:t>
            </w:r>
            <w:r>
              <w:rPr>
                <w:rFonts w:hint="eastAsia"/>
                <w:color w:val="auto"/>
                <w:sz w:val="24"/>
                <w:szCs w:val="24"/>
                <w:highlight w:val="none"/>
                <w:lang w:val="en-US" w:eastAsia="zh-CN"/>
              </w:rPr>
              <w:t>1.5</w:t>
            </w:r>
            <w:r>
              <w:rPr>
                <w:rFonts w:hint="eastAsia"/>
                <w:color w:val="auto"/>
                <w:sz w:val="24"/>
                <w:szCs w:val="24"/>
                <w:highlight w:val="none"/>
              </w:rPr>
              <w:t>m范围内。探槽开挖前对表土进行剥离，剥离的表士存放在探槽两侧专门的区域，并做好遮盖措施，施工结束后</w:t>
            </w:r>
            <w:r>
              <w:rPr>
                <w:rFonts w:hint="eastAsia"/>
                <w:color w:val="auto"/>
                <w:sz w:val="24"/>
                <w:szCs w:val="24"/>
                <w:highlight w:val="none"/>
                <w:lang w:val="en-US" w:eastAsia="zh-CN"/>
              </w:rPr>
              <w:t>已</w:t>
            </w:r>
            <w:r>
              <w:rPr>
                <w:rFonts w:hint="eastAsia"/>
                <w:color w:val="auto"/>
                <w:sz w:val="24"/>
                <w:szCs w:val="24"/>
                <w:highlight w:val="none"/>
              </w:rPr>
              <w:t>将开挖的士石方全部回填探槽、覆盖上表土并压实。</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rFonts w:hint="eastAsia"/>
                <w:color w:val="auto"/>
                <w:sz w:val="24"/>
                <w:szCs w:val="24"/>
                <w:highlight w:val="none"/>
                <w:lang w:eastAsia="zh-CN"/>
              </w:rPr>
              <w:t>预查</w:t>
            </w:r>
            <w:r>
              <w:rPr>
                <w:color w:val="auto"/>
                <w:sz w:val="24"/>
                <w:szCs w:val="24"/>
                <w:highlight w:val="none"/>
              </w:rPr>
              <w:t>工程全部结束后，对探槽利用开挖土石方进行回填，场地进行全面清理，对钻孔及时进行封孔处理，探矿场地进行全面清理，</w:t>
            </w:r>
            <w:r>
              <w:rPr>
                <w:rFonts w:hint="eastAsia"/>
                <w:color w:val="auto"/>
                <w:sz w:val="24"/>
                <w:szCs w:val="24"/>
                <w:highlight w:val="none"/>
                <w:lang w:val="en-US" w:eastAsia="zh-CN"/>
              </w:rPr>
              <w:t>未遗留</w:t>
            </w:r>
            <w:r>
              <w:rPr>
                <w:color w:val="auto"/>
                <w:sz w:val="24"/>
                <w:szCs w:val="24"/>
                <w:highlight w:val="none"/>
              </w:rPr>
              <w:t>探矿杂物。</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2）</w:t>
            </w:r>
            <w:r>
              <w:rPr>
                <w:color w:val="auto"/>
                <w:sz w:val="24"/>
                <w:szCs w:val="24"/>
                <w:highlight w:val="none"/>
              </w:rPr>
              <w:t>槽探、钻探工作的生态保护措施</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color w:val="auto"/>
                <w:sz w:val="24"/>
                <w:szCs w:val="24"/>
                <w:highlight w:val="none"/>
              </w:rPr>
              <w:t>在每个槽探开挖之前，预先剥离表层植被和土壤，再在单个槽探工作结束后，用槽探挖掘产生的弃土进行回填，再用预先剥离的表层植被进行生态恢复。对于单个探槽工作时间较长的，</w:t>
            </w:r>
            <w:r>
              <w:rPr>
                <w:rFonts w:hint="eastAsia"/>
                <w:color w:val="auto"/>
                <w:sz w:val="24"/>
                <w:szCs w:val="24"/>
                <w:highlight w:val="none"/>
                <w:lang w:val="en-US" w:eastAsia="zh-CN"/>
              </w:rPr>
              <w:t>通过</w:t>
            </w:r>
            <w:r>
              <w:rPr>
                <w:color w:val="auto"/>
                <w:sz w:val="24"/>
                <w:szCs w:val="24"/>
                <w:highlight w:val="none"/>
              </w:rPr>
              <w:t>剥离表层</w:t>
            </w:r>
            <w:r>
              <w:rPr>
                <w:rFonts w:hint="eastAsia"/>
                <w:color w:val="auto"/>
                <w:sz w:val="24"/>
                <w:szCs w:val="24"/>
                <w:highlight w:val="none"/>
                <w:lang w:eastAsia="zh-CN"/>
              </w:rPr>
              <w:t>土壤堆放在指定位置</w:t>
            </w:r>
            <w:r>
              <w:rPr>
                <w:color w:val="auto"/>
                <w:sz w:val="24"/>
                <w:szCs w:val="24"/>
                <w:highlight w:val="none"/>
              </w:rPr>
              <w:t>进行养护，并在槽探工作结束后及时进行回填</w:t>
            </w:r>
            <w:r>
              <w:rPr>
                <w:rFonts w:hint="eastAsia"/>
                <w:color w:val="auto"/>
                <w:sz w:val="24"/>
                <w:szCs w:val="24"/>
                <w:highlight w:val="none"/>
                <w:lang w:eastAsia="zh-CN"/>
              </w:rPr>
              <w:t>并进行植被恢复，</w:t>
            </w:r>
            <w:r>
              <w:rPr>
                <w:rFonts w:hint="eastAsia"/>
                <w:color w:val="auto"/>
                <w:sz w:val="24"/>
                <w:szCs w:val="24"/>
                <w:highlight w:val="none"/>
                <w:lang w:val="en-US" w:eastAsia="zh-CN"/>
              </w:rPr>
              <w:t>未</w:t>
            </w:r>
            <w:r>
              <w:rPr>
                <w:color w:val="auto"/>
                <w:sz w:val="24"/>
                <w:szCs w:val="24"/>
                <w:highlight w:val="none"/>
              </w:rPr>
              <w:t>长久搁置。</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lang w:val="en-US" w:eastAsia="zh-CN"/>
              </w:rPr>
              <w:t>3）</w:t>
            </w:r>
            <w:r>
              <w:rPr>
                <w:color w:val="auto"/>
                <w:sz w:val="24"/>
                <w:szCs w:val="24"/>
                <w:highlight w:val="none"/>
              </w:rPr>
              <w:t>生态保护与恢复控制目标</w:t>
            </w:r>
          </w:p>
          <w:p>
            <w:pPr>
              <w:keepNext w:val="0"/>
              <w:keepLines w:val="0"/>
              <w:pageBreakBefore w:val="0"/>
              <w:kinsoku/>
              <w:wordWrap/>
              <w:overflowPunct/>
              <w:topLinePunct w:val="0"/>
              <w:autoSpaceDE/>
              <w:autoSpaceDN/>
              <w:bidi w:val="0"/>
              <w:spacing w:line="360" w:lineRule="auto"/>
              <w:ind w:left="21" w:leftChars="10" w:right="21" w:rightChars="10" w:firstLine="480" w:firstLineChars="200"/>
              <w:textAlignment w:val="auto"/>
              <w:rPr>
                <w:rFonts w:hint="default" w:ascii="Times New Roman" w:hAnsi="Times New Roman" w:cs="Times New Roman"/>
                <w:sz w:val="24"/>
                <w:szCs w:val="24"/>
                <w:lang w:val="en-US" w:eastAsia="zh-CN"/>
              </w:rPr>
            </w:pPr>
            <w:r>
              <w:rPr>
                <w:color w:val="auto"/>
                <w:sz w:val="24"/>
                <w:szCs w:val="24"/>
                <w:highlight w:val="none"/>
              </w:rPr>
              <w:t>探矿结束后</w:t>
            </w:r>
            <w:r>
              <w:rPr>
                <w:rFonts w:hint="eastAsia"/>
                <w:color w:val="auto"/>
                <w:sz w:val="24"/>
                <w:szCs w:val="24"/>
                <w:highlight w:val="none"/>
                <w:lang w:val="en-US" w:eastAsia="zh-CN"/>
              </w:rPr>
              <w:t>已</w:t>
            </w:r>
            <w:r>
              <w:rPr>
                <w:color w:val="auto"/>
                <w:sz w:val="24"/>
                <w:szCs w:val="24"/>
                <w:highlight w:val="none"/>
              </w:rPr>
              <w:t>对工程探矿区域场地进行平整回填，</w:t>
            </w:r>
            <w:r>
              <w:rPr>
                <w:rFonts w:hint="eastAsia"/>
                <w:color w:val="auto"/>
                <w:sz w:val="24"/>
                <w:szCs w:val="24"/>
                <w:highlight w:val="none"/>
                <w:lang w:val="en-US" w:eastAsia="zh-CN"/>
              </w:rPr>
              <w:t>未</w:t>
            </w:r>
            <w:r>
              <w:rPr>
                <w:color w:val="auto"/>
                <w:sz w:val="24"/>
                <w:szCs w:val="24"/>
                <w:highlight w:val="none"/>
              </w:rPr>
              <w:t>出现“斑状"景观，探矿固废</w:t>
            </w:r>
            <w:r>
              <w:rPr>
                <w:rFonts w:hint="eastAsia"/>
                <w:color w:val="auto"/>
                <w:sz w:val="24"/>
                <w:szCs w:val="24"/>
                <w:highlight w:val="none"/>
                <w:lang w:val="en-US" w:eastAsia="zh-CN"/>
              </w:rPr>
              <w:t>未</w:t>
            </w:r>
            <w:r>
              <w:rPr>
                <w:color w:val="auto"/>
                <w:sz w:val="24"/>
                <w:szCs w:val="24"/>
                <w:highlight w:val="none"/>
              </w:rPr>
              <w:t>遗留在探矿场地区域。</w:t>
            </w: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left"/>
              <w:textAlignment w:val="auto"/>
              <w:rPr>
                <w:rFonts w:hint="default" w:ascii="Times New Roman" w:hAnsi="Times New Roman" w:cs="Times New Roman"/>
                <w:lang w:val="en-US" w:eastAsia="zh-CN"/>
              </w:rPr>
            </w:pPr>
            <w:r>
              <w:rPr>
                <w:rFonts w:hint="default" w:ascii="Times New Roman" w:hAnsi="Times New Roman" w:cs="Times New Roman"/>
                <w:sz w:val="24"/>
                <w:szCs w:val="24"/>
                <w:lang w:val="en-US" w:eastAsia="zh-CN"/>
              </w:rPr>
              <w:t>通过现场调查，材料堆放、岩芯存放及生活等区域的表层未清理，植被的破坏主要为碾压，施工作业施工结束后，清运了材料与垃圾，自然恢复了植被；植被破坏区域主要为</w:t>
            </w:r>
            <w:r>
              <w:rPr>
                <w:rFonts w:hint="eastAsia" w:ascii="Times New Roman" w:hAnsi="Times New Roman" w:cs="Times New Roman"/>
                <w:sz w:val="24"/>
                <w:szCs w:val="24"/>
                <w:lang w:val="en-US" w:eastAsia="zh-CN"/>
              </w:rPr>
              <w:t>槽探</w:t>
            </w:r>
            <w:r>
              <w:rPr>
                <w:rFonts w:hint="default" w:ascii="Times New Roman" w:hAnsi="Times New Roman" w:cs="Times New Roman"/>
                <w:sz w:val="24"/>
                <w:szCs w:val="24"/>
                <w:lang w:val="en-US" w:eastAsia="zh-CN"/>
              </w:rPr>
              <w:t>及钻孔等挖方及作业区域，对其表土进行了剥离，施工结束后，对挖方及作业区域进行了清理、平整、覆土后，撒草籽</w:t>
            </w:r>
            <w:r>
              <w:rPr>
                <w:rFonts w:hint="eastAsia" w:ascii="Times New Roman" w:hAnsi="Times New Roman" w:cs="Times New Roman"/>
                <w:sz w:val="24"/>
                <w:szCs w:val="24"/>
                <w:lang w:val="en-US" w:eastAsia="zh-CN"/>
              </w:rPr>
              <w:t>进行</w:t>
            </w:r>
            <w:r>
              <w:rPr>
                <w:rFonts w:hint="default" w:ascii="Times New Roman" w:hAnsi="Times New Roman" w:cs="Times New Roman"/>
                <w:sz w:val="24"/>
                <w:szCs w:val="24"/>
                <w:lang w:val="en-US" w:eastAsia="zh-CN"/>
              </w:rPr>
              <w:t>恢复植被</w:t>
            </w:r>
            <w:r>
              <w:rPr>
                <w:rFonts w:hint="eastAsia" w:ascii="Times New Roman" w:hAnsi="Times New Roman" w:cs="Times New Roman"/>
                <w:sz w:val="24"/>
                <w:szCs w:val="24"/>
                <w:lang w:val="en-US" w:eastAsia="zh-CN"/>
              </w:rPr>
              <w:t>，目前已恢复至原有的地形地貌</w:t>
            </w:r>
            <w:r>
              <w:rPr>
                <w:rFonts w:hint="default" w:ascii="Times New Roman" w:hAnsi="Times New Roman" w:cs="Times New Roman"/>
                <w:sz w:val="24"/>
                <w:szCs w:val="24"/>
                <w:lang w:val="en-US" w:eastAsia="zh-CN"/>
              </w:rPr>
              <w:t>。</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94" w:type="dxa"/>
            <w:vMerge w:val="continue"/>
            <w:tcBorders>
              <w:top w:val="nil"/>
              <w:bottom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tc>
        <w:tc>
          <w:tcPr>
            <w:tcW w:w="526" w:type="dxa"/>
            <w:tcBorders>
              <w:bottom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center"/>
              <w:textAlignment w:val="auto"/>
              <w:rPr>
                <w:rFonts w:hint="default" w:ascii="Times New Roman" w:hAnsi="Times New Roman" w:eastAsia="宋体" w:cs="Times New Roman"/>
                <w:bCs/>
                <w:sz w:val="24"/>
                <w:szCs w:val="24"/>
                <w:lang w:val="en-US" w:eastAsia="zh-CN"/>
              </w:rPr>
            </w:pP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污染影响</w:t>
            </w:r>
          </w:p>
        </w:tc>
        <w:tc>
          <w:tcPr>
            <w:tcW w:w="8151" w:type="dxa"/>
            <w:noWrap w:val="0"/>
            <w:vAlign w:val="center"/>
          </w:tcPr>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（1）废水</w:t>
            </w: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经调查，本项目预查期产生的废水主要为施工人员生活污水以及钻探循环水。</w:t>
            </w:r>
          </w:p>
          <w:p>
            <w:pPr>
              <w:keepNext w:val="0"/>
              <w:keepLines w:val="0"/>
              <w:pageBreakBefore w:val="0"/>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项目区建临时防渗旱厕，在预查工作结束后已进行填埋，其它少量生活污水用于场地泼洒降尘，不外排，对周围环境影响较小。本项目钻探产生的泥浆呈状棕黄色粘稠状，主要成分为膨润土、粘土和钻井岩屑，成分简单，不含污染物，钻探用水主要是清水钻井和泥浆配制时需要，用水采用汽车运输的方式。暂存在容积为10m³的移动式储水池中，在钻探过程中采用清水钻孔，产生的钻孔废水循环利用不外排。</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jc w:val="both"/>
              <w:textAlignment w:val="auto"/>
              <w:rPr>
                <w:rFonts w:hint="default"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（2）</w:t>
            </w:r>
            <w:r>
              <w:rPr>
                <w:rFonts w:hint="default" w:ascii="Times New Roman" w:hAnsi="Times New Roman" w:eastAsia="宋体" w:cs="Times New Roman"/>
                <w:bCs/>
                <w:sz w:val="24"/>
                <w:szCs w:val="24"/>
                <w:lang w:val="en-US" w:eastAsia="zh-CN"/>
              </w:rPr>
              <w:t>废气</w:t>
            </w:r>
          </w:p>
          <w:p>
            <w:pPr>
              <w:keepNext w:val="0"/>
              <w:keepLines w:val="0"/>
              <w:pageBreakBefore w:val="0"/>
              <w:widowControl/>
              <w:kinsoku/>
              <w:wordWrap/>
              <w:overflowPunct/>
              <w:topLinePunct w:val="0"/>
              <w:autoSpaceDE/>
              <w:autoSpaceDN/>
              <w:bidi w:val="0"/>
              <w:spacing w:line="360" w:lineRule="auto"/>
              <w:ind w:left="21" w:leftChars="10" w:right="21" w:rightChars="10"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bCs/>
                <w:sz w:val="24"/>
                <w:szCs w:val="24"/>
                <w:lang w:val="en-US" w:eastAsia="zh-CN"/>
              </w:rPr>
              <w:t>经调查，本项目预查期大气污染物主要为探槽开挖、钻探施工、钻孔封闭等施工产生扬尘和土方堆放产生的扬尘、施工机械废气。</w:t>
            </w:r>
            <w:r>
              <w:rPr>
                <w:rFonts w:hint="default" w:ascii="Times New Roman" w:hAnsi="Times New Roman" w:cs="Times New Roman"/>
                <w:color w:val="auto"/>
                <w:sz w:val="24"/>
                <w:szCs w:val="24"/>
                <w:lang w:eastAsia="zh-CN"/>
              </w:rPr>
              <w:t>槽探施工</w:t>
            </w:r>
            <w:r>
              <w:rPr>
                <w:rFonts w:hint="default" w:ascii="Times New Roman" w:hAnsi="Times New Roman" w:cs="Times New Roman"/>
                <w:color w:val="auto"/>
                <w:sz w:val="24"/>
                <w:szCs w:val="24"/>
              </w:rPr>
              <w:t>时产生的粉尘污染，用洒水的方法可降低粉尘的污染；</w:t>
            </w:r>
            <w:r>
              <w:rPr>
                <w:rFonts w:hint="default" w:ascii="Times New Roman" w:hAnsi="Times New Roman" w:cs="Times New Roman"/>
                <w:color w:val="auto"/>
                <w:sz w:val="24"/>
                <w:szCs w:val="24"/>
                <w:lang w:eastAsia="zh-CN"/>
              </w:rPr>
              <w:t>槽探开挖的</w:t>
            </w:r>
            <w:r>
              <w:rPr>
                <w:rFonts w:hint="default" w:ascii="Times New Roman" w:hAnsi="Times New Roman" w:cs="Times New Roman"/>
                <w:color w:val="auto"/>
                <w:sz w:val="24"/>
                <w:szCs w:val="24"/>
              </w:rPr>
              <w:t>土方</w:t>
            </w:r>
            <w:r>
              <w:rPr>
                <w:rFonts w:hint="default" w:ascii="Times New Roman" w:hAnsi="Times New Roman" w:cs="Times New Roman"/>
                <w:color w:val="auto"/>
                <w:sz w:val="24"/>
                <w:szCs w:val="24"/>
                <w:lang w:eastAsia="zh-CN"/>
              </w:rPr>
              <w:t>及钻井平台开挖的土方</w:t>
            </w:r>
            <w:r>
              <w:rPr>
                <w:rFonts w:hint="default" w:ascii="Times New Roman" w:hAnsi="Times New Roman" w:cs="Times New Roman"/>
                <w:color w:val="auto"/>
                <w:sz w:val="24"/>
                <w:szCs w:val="24"/>
              </w:rPr>
              <w:t>用可降解的编织袋，将开挖的废土石装袋堆放于探槽两侧</w:t>
            </w:r>
            <w:r>
              <w:rPr>
                <w:rFonts w:hint="default" w:ascii="Times New Roman" w:hAnsi="Times New Roman" w:cs="Times New Roman"/>
                <w:color w:val="auto"/>
                <w:sz w:val="24"/>
                <w:szCs w:val="24"/>
                <w:lang w:eastAsia="zh-CN"/>
              </w:rPr>
              <w:t>及平台两侧，</w:t>
            </w:r>
            <w:r>
              <w:rPr>
                <w:rFonts w:hint="default" w:ascii="Times New Roman" w:hAnsi="Times New Roman" w:cs="Times New Roman"/>
                <w:color w:val="auto"/>
                <w:sz w:val="24"/>
                <w:szCs w:val="24"/>
              </w:rPr>
              <w:t>避免露天堆放</w:t>
            </w:r>
            <w:r>
              <w:rPr>
                <w:rFonts w:hint="eastAsia" w:ascii="Times New Roman" w:hAnsi="Times New Roman" w:cs="Times New Roman"/>
                <w:color w:val="auto"/>
                <w:sz w:val="24"/>
                <w:szCs w:val="24"/>
                <w:lang w:eastAsia="zh-CN"/>
              </w:rPr>
              <w:t>；</w:t>
            </w:r>
            <w:r>
              <w:rPr>
                <w:rFonts w:hint="default" w:ascii="Times New Roman" w:hAnsi="Times New Roman" w:cs="Times New Roman"/>
                <w:color w:val="auto"/>
                <w:sz w:val="24"/>
                <w:szCs w:val="24"/>
              </w:rPr>
              <w:t>钻探工程采用湿法施工；</w:t>
            </w:r>
            <w:r>
              <w:rPr>
                <w:rFonts w:hint="eastAsia" w:ascii="Times New Roman" w:hAnsi="Times New Roman" w:cs="Times New Roman"/>
                <w:color w:val="auto"/>
                <w:sz w:val="24"/>
                <w:szCs w:val="24"/>
                <w:lang w:val="en-US" w:eastAsia="zh-CN"/>
              </w:rPr>
              <w:t>且</w:t>
            </w:r>
            <w:r>
              <w:rPr>
                <w:rFonts w:hint="default" w:ascii="Times New Roman" w:hAnsi="Times New Roman" w:cs="Times New Roman"/>
                <w:color w:val="auto"/>
                <w:sz w:val="24"/>
                <w:szCs w:val="24"/>
              </w:rPr>
              <w:t>避开大风天气作业。</w:t>
            </w:r>
            <w:r>
              <w:rPr>
                <w:rFonts w:hint="eastAsia" w:ascii="Times New Roman" w:hAnsi="Times New Roman" w:cs="Times New Roman"/>
                <w:color w:val="auto"/>
                <w:sz w:val="24"/>
                <w:szCs w:val="24"/>
                <w:lang w:val="en-US" w:eastAsia="zh-CN"/>
              </w:rPr>
              <w:t>在</w:t>
            </w:r>
            <w:r>
              <w:rPr>
                <w:rFonts w:hint="default" w:ascii="Times New Roman" w:hAnsi="Times New Roman" w:cs="Times New Roman"/>
                <w:color w:val="auto"/>
                <w:sz w:val="24"/>
                <w:szCs w:val="24"/>
                <w:lang w:val="en-US" w:eastAsia="zh-CN"/>
              </w:rPr>
              <w:t>采取该措施后，扬尘浓度可下降80%以上。再通过稀释扩散、周边植被及山体的阻隔，且钻探布设为坑道钻，可有效控制扬尘产生，对周边环境影响不大。</w:t>
            </w:r>
            <w:r>
              <w:rPr>
                <w:rFonts w:hint="default" w:ascii="Times New Roman" w:hAnsi="Times New Roman" w:eastAsia="宋体" w:cs="Times New Roman"/>
                <w:sz w:val="24"/>
                <w:szCs w:val="24"/>
                <w:lang w:val="en-US" w:eastAsia="zh-CN"/>
              </w:rPr>
              <w:t>随着施工期的结束而消失，施工扬尘对周围环境影响不大。</w:t>
            </w:r>
          </w:p>
          <w:p>
            <w:pPr>
              <w:keepNext w:val="0"/>
              <w:keepLines w:val="0"/>
              <w:pageBreakBefore w:val="0"/>
              <w:numPr>
                <w:ilvl w:val="0"/>
                <w:numId w:val="5"/>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噪声</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本项目预查期噪声主要为钻探时使用的钻机、发电机等产生的机械噪声以及小型</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运输车辆产生的噪声；运输车辆产生的噪声较小，对周围影响较小。在采取合理布置施工机械，及时对机械设备进行维护保养工作等措施后，能有效控制探矿期产生的噪声污染。本工程在施工期间经加强管理和合理安排作业时间等降噪措施后得到有效控制，并随着施工期结束而消除。</w:t>
            </w:r>
          </w:p>
          <w:p>
            <w:pPr>
              <w:keepNext w:val="0"/>
              <w:keepLines w:val="0"/>
              <w:pageBreakBefore w:val="0"/>
              <w:numPr>
                <w:ilvl w:val="0"/>
                <w:numId w:val="5"/>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 xml:space="preserve">固废 </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本项目预查期主要固体废物为施工产生的土石方和施工人员产生的生活垃圾。</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1、土石方</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本项目钻探剥离的表土就近堆放最后用于表层覆土和植被恢复；本项目土石方主要是探槽、钻探施工时产生的挖方，在取样结束后已全部回填，无弃方产生，对周围环境影响较小。</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2、生活垃圾</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生活垃圾经垃圾箱收集后定期清运至垃圾转运站，对周围环境影响较小。</w:t>
            </w:r>
          </w:p>
          <w:p>
            <w:pPr>
              <w:keepNext w:val="0"/>
              <w:keepLines w:val="0"/>
              <w:pageBreakBefore w:val="0"/>
              <w:numPr>
                <w:ilvl w:val="0"/>
                <w:numId w:val="7"/>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钻井泥浆</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21" w:leftChars="10" w:right="21" w:rightChars="10" w:firstLine="480" w:firstLineChars="200"/>
              <w:jc w:val="both"/>
              <w:textAlignment w:val="auto"/>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钻探产生的泥浆主要为水和泥浆材料（膨润土）按4:1的比例调配成泥浆液，钻探时泥浆进行循环利用，钻探结束后用于钻探平台的回填。</w:t>
            </w:r>
          </w:p>
          <w:p>
            <w:pPr>
              <w:pStyle w:val="43"/>
              <w:keepNext w:val="0"/>
              <w:keepLines w:val="0"/>
              <w:pageBreakBefore w:val="0"/>
              <w:kinsoku/>
              <w:wordWrap/>
              <w:overflowPunct/>
              <w:topLinePunct w:val="0"/>
              <w:autoSpaceDE/>
              <w:autoSpaceDN/>
              <w:bidi w:val="0"/>
              <w:ind w:left="21" w:leftChars="10" w:right="21" w:rightChars="10" w:firstLine="0" w:firstLineChars="0"/>
              <w:textAlignment w:val="auto"/>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tc>
      </w:tr>
    </w:tbl>
    <w:p>
      <w:pPr>
        <w:spacing w:before="97" w:line="220" w:lineRule="auto"/>
        <w:jc w:val="both"/>
        <w:rPr>
          <w:rFonts w:hint="eastAsia" w:ascii="Times New Roman" w:hAnsi="Times New Roman" w:eastAsia="宋体" w:cs="Times New Roman"/>
          <w:b/>
          <w:bCs w:val="0"/>
          <w:color w:val="auto"/>
          <w:sz w:val="28"/>
          <w:szCs w:val="28"/>
          <w:lang w:val="en-US" w:eastAsia="zh-CN"/>
        </w:rPr>
        <w:sectPr>
          <w:headerReference r:id="rId12" w:type="default"/>
          <w:footerReference r:id="rId13" w:type="default"/>
          <w:pgSz w:w="11905" w:h="16838"/>
          <w:pgMar w:top="1587" w:right="1361" w:bottom="1474" w:left="1474" w:header="850" w:footer="1077" w:gutter="0"/>
          <w:paperSrc/>
          <w:pgBorders>
            <w:top w:val="none" w:sz="0" w:space="0"/>
            <w:left w:val="none" w:sz="0" w:space="0"/>
            <w:bottom w:val="none" w:sz="0" w:space="0"/>
            <w:right w:val="none" w:sz="0" w:space="0"/>
          </w:pgBorders>
          <w:pgNumType w:fmt="decimal"/>
          <w:cols w:space="720" w:num="1"/>
          <w:rtlGutter w:val="0"/>
          <w:docGrid w:linePitch="314" w:charSpace="0"/>
        </w:sectPr>
      </w:pPr>
      <w:bookmarkStart w:id="6" w:name="_Toc4754"/>
    </w:p>
    <w:p>
      <w:pPr>
        <w:spacing w:before="97" w:line="360" w:lineRule="auto"/>
        <w:jc w:val="both"/>
        <w:rPr>
          <w:rFonts w:hint="default" w:ascii="Times New Roman" w:hAnsi="Times New Roman" w:eastAsia="宋体" w:cs="Times New Roman"/>
          <w:b/>
          <w:bCs w:val="0"/>
          <w:color w:val="auto"/>
          <w:sz w:val="28"/>
          <w:szCs w:val="28"/>
          <w:lang w:val="en-US" w:eastAsia="zh-CN"/>
        </w:rPr>
      </w:pPr>
      <w:r>
        <w:rPr>
          <w:rFonts w:hint="eastAsia" w:ascii="Times New Roman" w:hAnsi="Times New Roman" w:eastAsia="宋体" w:cs="Times New Roman"/>
          <w:b/>
          <w:bCs w:val="0"/>
          <w:color w:val="auto"/>
          <w:sz w:val="28"/>
          <w:szCs w:val="28"/>
          <w:lang w:val="en-US" w:eastAsia="zh-CN"/>
        </w:rPr>
        <w:t>8.环境质量及污染源监测</w:t>
      </w:r>
      <w:bookmarkEnd w:id="6"/>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071" w:type="dxa"/>
            <w:noWrap w:val="0"/>
            <w:vAlign w:val="top"/>
          </w:tcPr>
          <w:p>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项目建设内容及环评文件及批复要求，本项目为实验性-探矿项目，不涉及生产过程，目前探矿工作已结束，勘探区无废气、噪声污染。本次验收调查期间，项目废水、固废环保设施运行正常，工况稳定，满足竣工环境保护验收的要求。本次验收主要对施工扰动区域恢复情况进行了调查。</w:t>
            </w:r>
          </w:p>
          <w:p>
            <w:pPr>
              <w:keepNext w:val="0"/>
              <w:keepLines w:val="0"/>
              <w:widowControl/>
              <w:suppressLineNumbers w:val="0"/>
              <w:spacing w:line="360" w:lineRule="auto"/>
              <w:ind w:firstLine="480" w:firstLineChars="20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因此，本次验收未进行监测。</w:t>
            </w: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rPr>
                <w:rFonts w:hint="eastAsia" w:ascii="宋体" w:hAnsi="宋体" w:eastAsia="宋体" w:cs="宋体"/>
                <w:color w:val="auto"/>
                <w:kern w:val="0"/>
                <w:sz w:val="24"/>
                <w:szCs w:val="24"/>
                <w:lang w:val="en-US" w:eastAsia="zh-CN" w:bidi="ar"/>
              </w:rPr>
            </w:pPr>
          </w:p>
          <w:p>
            <w:pPr>
              <w:pStyle w:val="7"/>
              <w:rPr>
                <w:rFonts w:hint="eastAsia" w:ascii="宋体" w:hAnsi="宋体" w:eastAsia="宋体" w:cs="宋体"/>
                <w:color w:val="auto"/>
                <w:kern w:val="0"/>
                <w:sz w:val="24"/>
                <w:szCs w:val="24"/>
                <w:lang w:val="en-US" w:eastAsia="zh-CN" w:bidi="ar"/>
              </w:rPr>
            </w:pPr>
          </w:p>
          <w:p>
            <w:pPr>
              <w:pStyle w:val="20"/>
              <w:rPr>
                <w:rFonts w:hint="eastAsia" w:ascii="宋体" w:hAnsi="宋体" w:eastAsia="宋体" w:cs="宋体"/>
                <w:color w:val="auto"/>
                <w:kern w:val="0"/>
                <w:sz w:val="24"/>
                <w:szCs w:val="24"/>
                <w:lang w:val="en-US" w:eastAsia="zh-CN" w:bidi="ar"/>
              </w:rPr>
            </w:pPr>
          </w:p>
          <w:p>
            <w:pPr>
              <w:pStyle w:val="7"/>
              <w:rPr>
                <w:rFonts w:hint="eastAsia"/>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p>
            <w:pPr>
              <w:pStyle w:val="6"/>
              <w:ind w:firstLine="0" w:firstLineChars="0"/>
              <w:rPr>
                <w:rFonts w:hint="eastAsia"/>
                <w:color w:val="FF0000"/>
                <w:lang w:val="en-US" w:eastAsia="zh-CN"/>
              </w:rPr>
            </w:pPr>
          </w:p>
        </w:tc>
      </w:tr>
    </w:tbl>
    <w:p>
      <w:pPr>
        <w:spacing w:before="97" w:line="220" w:lineRule="auto"/>
        <w:jc w:val="both"/>
        <w:rPr>
          <w:rFonts w:hint="default" w:ascii="Times New Roman" w:hAnsi="Times New Roman" w:eastAsia="宋体" w:cs="Times New Roman"/>
          <w:b/>
          <w:bCs w:val="0"/>
          <w:color w:val="auto"/>
          <w:sz w:val="28"/>
          <w:szCs w:val="28"/>
          <w:lang w:val="en-US" w:eastAsia="zh-CN"/>
        </w:rPr>
      </w:pPr>
      <w:r>
        <w:rPr>
          <w:rFonts w:hint="default" w:ascii="Times New Roman" w:hAnsi="Times New Roman" w:eastAsia="宋体" w:cs="Times New Roman"/>
          <w:b/>
          <w:bCs w:val="0"/>
          <w:color w:val="auto"/>
          <w:sz w:val="28"/>
          <w:szCs w:val="28"/>
          <w:lang w:val="en-US" w:eastAsia="zh-CN"/>
        </w:rPr>
        <w:t>9.环境管理状况及监测计划</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900" w:type="dxa"/>
            <w:noWrap w:val="0"/>
            <w:vAlign w:val="center"/>
          </w:tcPr>
          <w:p>
            <w:pPr>
              <w:spacing w:line="360" w:lineRule="auto"/>
              <w:rPr>
                <w:rFonts w:hint="default" w:ascii="Times New Roman" w:hAnsi="Times New Roman" w:cs="Times New Roman"/>
                <w:b/>
                <w:sz w:val="24"/>
                <w:szCs w:val="24"/>
              </w:rPr>
            </w:pPr>
            <w:r>
              <w:rPr>
                <w:rFonts w:hint="default" w:ascii="Times New Roman" w:hAnsi="Times New Roman" w:cs="Times New Roman"/>
                <w:b/>
                <w:sz w:val="24"/>
                <w:szCs w:val="24"/>
              </w:rPr>
              <w:t>环境管理机构设置</w:t>
            </w:r>
          </w:p>
          <w:p>
            <w:pPr>
              <w:spacing w:line="360" w:lineRule="auto"/>
              <w:ind w:firstLine="482"/>
              <w:rPr>
                <w:rFonts w:hint="default" w:ascii="Times New Roman" w:hAnsi="Times New Roman" w:cs="Times New Roman"/>
                <w:b/>
                <w:bCs/>
                <w:sz w:val="24"/>
              </w:rPr>
            </w:pPr>
            <w:r>
              <w:rPr>
                <w:rFonts w:hint="default" w:ascii="Times New Roman" w:hAnsi="Times New Roman" w:cs="Times New Roman"/>
                <w:b/>
                <w:bCs/>
                <w:sz w:val="24"/>
              </w:rPr>
              <w:t>9.1 施工期环境管理</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1、环境管理机构</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施工期间，本项目的环境保护工作由建设单位具体负责实施，建设单位成立了环保工作小组，由公司专职人员担任。</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2、机构职责</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施工期间环境管理的主要任务有：办理相关环保手续、落实环境保护措施，监督、检查施工单位执行或落实有关环境保护措施的情况，并处理相关事宜。</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3、机构工作情况</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自本建设项目开工后，环保工作小组参与了施工期的环境保护措施的落实，开展了施工人员环保意识培训等相关工作，对施工期环境保护工程的落实采取全程监管。在项目建设过程中按照《中华人民共和国招标法》、《中华人民共和国环境保护法》及《中华人民共和国水土保持法》等法律规范执行。</w:t>
            </w:r>
          </w:p>
          <w:p>
            <w:pPr>
              <w:spacing w:line="360" w:lineRule="auto"/>
              <w:ind w:firstLine="482"/>
              <w:rPr>
                <w:rFonts w:hint="default" w:ascii="Times New Roman" w:hAnsi="Times New Roman" w:cs="Times New Roman"/>
                <w:sz w:val="24"/>
              </w:rPr>
            </w:pPr>
            <w:r>
              <w:rPr>
                <w:rFonts w:hint="default" w:ascii="Times New Roman" w:hAnsi="Times New Roman" w:cs="Times New Roman"/>
                <w:b/>
                <w:bCs/>
                <w:sz w:val="24"/>
              </w:rPr>
              <w:t>9.2 运行期环境管理</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1、环境管理机构</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项目运行期间的环境保护工作由建设单位具体负责实施，环保工作小组负责具体管理工作。</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2、机构职责</w:t>
            </w:r>
          </w:p>
          <w:p>
            <w:pPr>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rPr>
              <w:t>巡视环保措施运行情况，及时向单位、有关管理部门汇报，确保项目环保措施有效运行。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8900" w:type="dxa"/>
            <w:noWrap w:val="0"/>
            <w:vAlign w:val="center"/>
          </w:tcPr>
          <w:p>
            <w:pPr>
              <w:spacing w:line="360" w:lineRule="auto"/>
              <w:rPr>
                <w:rFonts w:hint="default" w:ascii="Times New Roman" w:hAnsi="Times New Roman" w:eastAsia="宋体" w:cs="Times New Roman"/>
                <w:b/>
                <w:bCs/>
                <w:sz w:val="24"/>
                <w:lang w:val="en-US" w:eastAsia="zh-CN"/>
              </w:rPr>
            </w:pPr>
            <w:r>
              <w:rPr>
                <w:rFonts w:hint="default" w:ascii="Times New Roman" w:hAnsi="Times New Roman" w:cs="Times New Roman"/>
                <w:b/>
                <w:bCs/>
                <w:sz w:val="24"/>
                <w:lang w:val="en-US" w:eastAsia="zh-CN"/>
              </w:rPr>
              <w:t>环境监测能力建设情况：</w:t>
            </w:r>
          </w:p>
          <w:p>
            <w:pPr>
              <w:snapToGrid w:val="0"/>
              <w:spacing w:line="360" w:lineRule="auto"/>
              <w:ind w:firstLine="484" w:firstLineChars="202"/>
              <w:rPr>
                <w:rFonts w:hint="eastAsia"/>
                <w:sz w:val="24"/>
                <w:lang w:val="en-US" w:eastAsia="zh-CN"/>
              </w:rPr>
            </w:pPr>
            <w:r>
              <w:rPr>
                <w:rFonts w:hint="eastAsia"/>
                <w:sz w:val="24"/>
                <w:lang w:val="en-US" w:eastAsia="zh-CN"/>
              </w:rPr>
              <w:t xml:space="preserve">工程施工期，主要为监控，确保工程施工各污染物得到妥善处置，经过调查，施工期污染物对环境影响较小。 </w:t>
            </w:r>
          </w:p>
          <w:p>
            <w:pPr>
              <w:snapToGrid w:val="0"/>
              <w:spacing w:line="360" w:lineRule="auto"/>
              <w:ind w:firstLine="484" w:firstLineChars="202"/>
              <w:rPr>
                <w:rFonts w:hint="default" w:ascii="Times New Roman" w:hAnsi="Times New Roman" w:cs="Times New Roman"/>
                <w:sz w:val="24"/>
                <w:lang w:val="en-US" w:eastAsia="zh-CN"/>
              </w:rPr>
            </w:pPr>
            <w:r>
              <w:rPr>
                <w:rFonts w:hint="eastAsia"/>
                <w:sz w:val="24"/>
                <w:lang w:val="en-US" w:eastAsia="zh-CN"/>
              </w:rPr>
              <w:t>工程运营期不产生污染物，不需设置环境监测计划。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8900" w:type="dxa"/>
            <w:noWrap w:val="0"/>
            <w:vAlign w:val="center"/>
          </w:tcPr>
          <w:p>
            <w:pPr>
              <w:spacing w:line="360" w:lineRule="auto"/>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环境影响报告表中提出的监测计划落实情况：</w:t>
            </w:r>
          </w:p>
          <w:p>
            <w:pPr>
              <w:keepNext w:val="0"/>
              <w:keepLines w:val="0"/>
              <w:widowControl/>
              <w:suppressLineNumbers w:val="0"/>
              <w:spacing w:line="360" w:lineRule="auto"/>
              <w:ind w:firstLine="480" w:firstLineChars="200"/>
              <w:jc w:val="left"/>
            </w:pPr>
            <w:r>
              <w:rPr>
                <w:rFonts w:hint="eastAsia" w:ascii="宋体" w:hAnsi="宋体" w:eastAsia="宋体" w:cs="宋体"/>
                <w:color w:val="000000"/>
                <w:kern w:val="0"/>
                <w:sz w:val="24"/>
                <w:szCs w:val="24"/>
                <w:lang w:val="en-US" w:eastAsia="zh-CN" w:bidi="ar"/>
              </w:rPr>
              <w:t xml:space="preserve">根据该项目环评报告表中提出的环境管理与监控计划要求，经本次调查，本工程设置专人主管环保工作，负责工程环境保护措施的实施与日常环保工作。 </w:t>
            </w:r>
          </w:p>
          <w:p>
            <w:pPr>
              <w:snapToGrid w:val="0"/>
              <w:spacing w:line="360" w:lineRule="auto"/>
              <w:ind w:firstLine="484" w:firstLineChars="202"/>
              <w:rPr>
                <w:rFonts w:hint="default" w:ascii="Times New Roman" w:hAnsi="Times New Roman" w:cs="Times New Roman"/>
                <w:lang w:val="en-US" w:eastAsia="zh-CN"/>
              </w:rPr>
            </w:pPr>
            <w:r>
              <w:rPr>
                <w:rFonts w:hint="eastAsia" w:ascii="宋体" w:hAnsi="宋体" w:eastAsia="宋体" w:cs="宋体"/>
                <w:color w:val="000000"/>
                <w:kern w:val="0"/>
                <w:sz w:val="24"/>
                <w:szCs w:val="24"/>
                <w:lang w:val="en-US" w:eastAsia="zh-CN" w:bidi="ar"/>
              </w:rPr>
              <w:t>由于工程运营期不产生污染物，因此不需设置运营期环境监测计划。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8900" w:type="dxa"/>
            <w:noWrap w:val="0"/>
            <w:vAlign w:val="center"/>
          </w:tcPr>
          <w:p>
            <w:pPr>
              <w:spacing w:line="360" w:lineRule="auto"/>
              <w:rPr>
                <w:rFonts w:hint="default" w:ascii="Times New Roman" w:hAnsi="Times New Roman" w:eastAsia="宋体" w:cs="Times New Roman"/>
                <w:b/>
                <w:bCs/>
                <w:sz w:val="24"/>
                <w:lang w:val="en-US" w:eastAsia="zh-CN"/>
              </w:rPr>
            </w:pPr>
            <w:r>
              <w:rPr>
                <w:rFonts w:hint="default" w:ascii="Times New Roman" w:hAnsi="Times New Roman" w:eastAsia="宋体" w:cs="Times New Roman"/>
                <w:b/>
                <w:bCs/>
                <w:sz w:val="24"/>
                <w:lang w:val="en-US" w:eastAsia="zh-CN"/>
              </w:rPr>
              <w:t>环境管理状态分析与建议：</w:t>
            </w:r>
          </w:p>
          <w:p>
            <w:pPr>
              <w:numPr>
                <w:ilvl w:val="0"/>
                <w:numId w:val="0"/>
              </w:numPr>
              <w:snapToGrid w:val="0"/>
              <w:spacing w:line="360" w:lineRule="auto"/>
              <w:ind w:leftChars="202"/>
              <w:rPr>
                <w:rFonts w:hint="default" w:ascii="Times New Roman" w:hAnsi="Times New Roman" w:eastAsia="宋体" w:cs="Times New Roman"/>
                <w:sz w:val="24"/>
                <w:szCs w:val="24"/>
                <w:lang w:val="en-US" w:eastAsia="zh-CN"/>
              </w:rPr>
            </w:pPr>
            <w:bookmarkStart w:id="7" w:name="1、环境管理现状"/>
            <w:bookmarkEnd w:id="7"/>
            <w:r>
              <w:rPr>
                <w:rFonts w:hint="default" w:ascii="Times New Roman" w:hAnsi="Times New Roman" w:eastAsia="宋体" w:cs="Times New Roman"/>
                <w:sz w:val="24"/>
                <w:szCs w:val="24"/>
                <w:lang w:val="en-US" w:eastAsia="zh-CN"/>
              </w:rPr>
              <w:t>验收阶段，本项目施工已技术，施工场地基本恢复，建议企业对植被长势较差</w:t>
            </w:r>
          </w:p>
          <w:p>
            <w:pPr>
              <w:numPr>
                <w:ilvl w:val="0"/>
                <w:numId w:val="0"/>
              </w:numPr>
              <w:snapToGrid w:val="0"/>
              <w:spacing w:line="360" w:lineRule="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的施工场地加强养护，在雨季适当进行补种，保证植被成活率。</w:t>
            </w: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pStyle w:val="43"/>
              <w:rPr>
                <w:rFonts w:hint="default" w:ascii="Times New Roman" w:hAnsi="Times New Roman" w:cs="Times New Roman"/>
              </w:rPr>
            </w:pPr>
          </w:p>
          <w:p>
            <w:pPr>
              <w:rPr>
                <w:rFonts w:hint="default" w:ascii="Times New Roman" w:hAnsi="Times New Roman" w:cs="Times New Roman"/>
              </w:rPr>
            </w:pPr>
          </w:p>
          <w:p>
            <w:pPr>
              <w:rPr>
                <w:rFonts w:hint="default" w:ascii="Times New Roman" w:hAnsi="Times New Roman" w:cs="Times New Roman"/>
              </w:rPr>
            </w:pPr>
          </w:p>
          <w:p>
            <w:pPr>
              <w:pStyle w:val="43"/>
              <w:ind w:left="0" w:leftChars="0" w:firstLine="0" w:firstLineChars="0"/>
              <w:rPr>
                <w:rFonts w:hint="default" w:ascii="Times New Roman" w:hAnsi="Times New Roman" w:cs="Times New Roman"/>
                <w:lang w:val="en-US" w:eastAsia="zh-CN"/>
              </w:rPr>
            </w:pPr>
          </w:p>
          <w:p>
            <w:pPr>
              <w:rPr>
                <w:rFonts w:hint="default"/>
                <w:lang w:val="en-US" w:eastAsia="zh-CN"/>
              </w:rPr>
            </w:pPr>
          </w:p>
        </w:tc>
      </w:tr>
    </w:tbl>
    <w:p>
      <w:pPr>
        <w:spacing w:line="91" w:lineRule="auto"/>
        <w:rPr>
          <w:rFonts w:hint="default" w:ascii="Times New Roman" w:hAnsi="Times New Roman" w:cs="Times New Roman"/>
          <w:sz w:val="2"/>
        </w:rPr>
      </w:pPr>
    </w:p>
    <w:p>
      <w:pPr>
        <w:pStyle w:val="2"/>
        <w:numPr>
          <w:ilvl w:val="0"/>
          <w:numId w:val="0"/>
        </w:numPr>
        <w:ind w:leftChars="0" w:firstLine="2811" w:firstLineChars="1000"/>
        <w:jc w:val="both"/>
        <w:rPr>
          <w:rFonts w:hint="default" w:ascii="Times New Roman" w:hAnsi="Times New Roman" w:cs="Times New Roman"/>
          <w:b/>
          <w:bCs w:val="0"/>
          <w:color w:val="auto"/>
          <w:sz w:val="28"/>
          <w:szCs w:val="28"/>
          <w:lang w:val="en-US" w:eastAsia="zh-CN"/>
        </w:rPr>
      </w:pPr>
      <w:bookmarkStart w:id="8" w:name="_bookmark36"/>
      <w:bookmarkEnd w:id="8"/>
      <w:r>
        <w:rPr>
          <w:rFonts w:hint="default" w:ascii="Times New Roman" w:hAnsi="Times New Roman" w:cs="Times New Roman"/>
          <w:b/>
          <w:bCs w:val="0"/>
          <w:color w:val="auto"/>
          <w:sz w:val="28"/>
          <w:szCs w:val="28"/>
          <w:lang w:val="en-US" w:eastAsia="zh-CN"/>
        </w:rPr>
        <w:t>10 调查结论与建议</w:t>
      </w:r>
    </w:p>
    <w:tbl>
      <w:tblPr>
        <w:tblStyle w:val="4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778" w:hRule="atLeast"/>
          <w:jc w:val="center"/>
        </w:trPr>
        <w:tc>
          <w:tcPr>
            <w:tcW w:w="9287" w:type="dxa"/>
            <w:noWrap w:val="0"/>
            <w:vAlign w:val="top"/>
          </w:tcPr>
          <w:p>
            <w:pPr>
              <w:keepNext w:val="0"/>
              <w:keepLines w:val="0"/>
              <w:widowControl/>
              <w:suppressLineNumbers w:val="0"/>
              <w:spacing w:line="360" w:lineRule="auto"/>
              <w:jc w:val="left"/>
              <w:rPr>
                <w:rFonts w:hint="default" w:ascii="Times New Roman" w:hAnsi="Times New Roman" w:cs="Times New Roman"/>
              </w:rPr>
            </w:pPr>
            <w:r>
              <w:rPr>
                <w:rFonts w:hint="default" w:ascii="Times New Roman" w:hAnsi="Times New Roman" w:eastAsia="宋体" w:cs="Times New Roman"/>
                <w:b/>
                <w:bCs/>
                <w:color w:val="000000"/>
                <w:kern w:val="0"/>
                <w:sz w:val="24"/>
                <w:szCs w:val="24"/>
                <w:lang w:val="en-US" w:eastAsia="zh-CN" w:bidi="ar"/>
              </w:rPr>
              <w:t>验收调查结论与建议：</w:t>
            </w:r>
          </w:p>
          <w:p>
            <w:pPr>
              <w:keepNext w:val="0"/>
              <w:keepLines w:val="0"/>
              <w:widowControl/>
              <w:suppressLineNumbers w:val="0"/>
              <w:spacing w:line="360" w:lineRule="auto"/>
              <w:jc w:val="left"/>
              <w:rPr>
                <w:rFonts w:hint="default" w:ascii="Times New Roman" w:hAnsi="Times New Roman" w:cs="Times New Roman"/>
              </w:rPr>
            </w:pPr>
            <w:r>
              <w:rPr>
                <w:rFonts w:hint="default" w:ascii="Times New Roman" w:hAnsi="Times New Roman" w:eastAsia="宋体" w:cs="Times New Roman"/>
                <w:b/>
                <w:bCs/>
                <w:color w:val="000000"/>
                <w:kern w:val="0"/>
                <w:sz w:val="24"/>
                <w:szCs w:val="24"/>
                <w:lang w:val="en-US" w:eastAsia="zh-CN" w:bidi="ar"/>
              </w:rPr>
              <w:t>一、调查结论</w:t>
            </w:r>
          </w:p>
          <w:p>
            <w:pPr>
              <w:keepNext w:val="0"/>
              <w:keepLines w:val="0"/>
              <w:widowControl/>
              <w:suppressLineNumbers w:val="0"/>
              <w:spacing w:line="360" w:lineRule="auto"/>
              <w:ind w:firstLine="482" w:firstLineChars="200"/>
              <w:jc w:val="left"/>
              <w:rPr>
                <w:rFonts w:hint="default" w:ascii="Times New Roman" w:hAnsi="Times New Roman" w:cs="Times New Roman"/>
              </w:rPr>
            </w:pPr>
            <w:r>
              <w:rPr>
                <w:rFonts w:hint="default" w:ascii="Times New Roman" w:hAnsi="Times New Roman" w:eastAsia="宋体" w:cs="Times New Roman"/>
                <w:b/>
                <w:bCs/>
                <w:color w:val="000000"/>
                <w:kern w:val="0"/>
                <w:sz w:val="24"/>
                <w:szCs w:val="24"/>
                <w:lang w:val="en-US" w:eastAsia="zh-CN" w:bidi="ar"/>
              </w:rPr>
              <w:t>1、</w:t>
            </w:r>
            <w:r>
              <w:rPr>
                <w:rFonts w:hint="default" w:ascii="Times New Roman" w:hAnsi="Times New Roman" w:cs="Times New Roman"/>
                <w:b/>
                <w:sz w:val="24"/>
                <w:szCs w:val="24"/>
                <w:lang w:val="en-US" w:eastAsia="zh-CN"/>
              </w:rPr>
              <w:t>建设项目基本情况</w:t>
            </w:r>
          </w:p>
          <w:p>
            <w:pPr>
              <w:keepNext w:val="0"/>
              <w:keepLines w:val="0"/>
              <w:widowControl/>
              <w:suppressLineNumbers w:val="0"/>
              <w:spacing w:line="360" w:lineRule="auto"/>
              <w:ind w:firstLine="480" w:firstLineChars="200"/>
              <w:jc w:val="both"/>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kern w:val="0"/>
                <w:sz w:val="24"/>
                <w:szCs w:val="24"/>
                <w:lang w:val="en-US" w:eastAsia="zh-CN"/>
              </w:rPr>
              <w:t>本项目预查区位于</w:t>
            </w:r>
            <w:r>
              <w:rPr>
                <w:rFonts w:hint="eastAsia" w:ascii="Times New Roman" w:hAnsi="Times New Roman" w:eastAsia="宋体" w:cs="Times New Roman"/>
                <w:color w:val="auto"/>
                <w:sz w:val="24"/>
                <w:szCs w:val="24"/>
                <w:lang w:val="en-US" w:eastAsia="zh-CN"/>
              </w:rPr>
              <w:t>青海省格尔木市乌图美仁乡</w:t>
            </w:r>
            <w:r>
              <w:rPr>
                <w:rFonts w:hint="default" w:ascii="Times New Roman" w:hAnsi="Times New Roman" w:eastAsia="宋体" w:cs="Times New Roman"/>
                <w:kern w:val="0"/>
                <w:sz w:val="24"/>
                <w:szCs w:val="24"/>
                <w:lang w:val="en-US" w:eastAsia="zh-CN"/>
              </w:rPr>
              <w:t>，工作区地理坐标</w:t>
            </w:r>
            <w:r>
              <w:rPr>
                <w:rFonts w:hint="eastAsia" w:ascii="Times New Roman" w:hAnsi="Times New Roman" w:eastAsia="宋体" w:cs="Times New Roman"/>
                <w:kern w:val="0"/>
                <w:sz w:val="24"/>
                <w:szCs w:val="24"/>
                <w:lang w:val="en-US" w:eastAsia="zh-CN"/>
              </w:rPr>
              <w:t>：</w:t>
            </w:r>
            <w:r>
              <w:rPr>
                <w:rFonts w:hint="default" w:ascii="Times New Roman" w:hAnsi="Times New Roman" w:eastAsia="宋体" w:cs="Times New Roman"/>
                <w:kern w:val="0"/>
                <w:sz w:val="24"/>
                <w:szCs w:val="24"/>
                <w:lang w:val="en-US" w:eastAsia="zh-CN"/>
              </w:rPr>
              <w:t>东经:93°12'10"-93°19100"，北纬:36°35'15"-36°39'55"。从格尔木市沿格茫公路西行约163km至拉陵高里河后，下便道沿拉陵高里河河床向南行约40km 可达工区。</w:t>
            </w:r>
          </w:p>
          <w:p>
            <w:pPr>
              <w:keepNext w:val="0"/>
              <w:keepLines w:val="0"/>
              <w:widowControl/>
              <w:suppressLineNumbers w:val="0"/>
              <w:spacing w:line="360" w:lineRule="auto"/>
              <w:ind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2、工程变动情况</w:t>
            </w:r>
          </w:p>
          <w:p>
            <w:pPr>
              <w:keepNext w:val="0"/>
              <w:keepLines w:val="0"/>
              <w:widowControl/>
              <w:numPr>
                <w:ilvl w:val="0"/>
                <w:numId w:val="0"/>
              </w:numPr>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根据现场调查以及建设单位所提交的相关资料数据，与环评阶段相比，本工程建成后所在位置、总平面布置、建设规模等均没有发生变化，工程建设中严格按照环境影响报告表中的要求进行施工，本工程基本无变动。</w:t>
            </w:r>
          </w:p>
          <w:p>
            <w:pPr>
              <w:keepNext w:val="0"/>
              <w:keepLines w:val="0"/>
              <w:widowControl/>
              <w:numPr>
                <w:ilvl w:val="0"/>
                <w:numId w:val="8"/>
              </w:numPr>
              <w:suppressLineNumbers w:val="0"/>
              <w:spacing w:line="360" w:lineRule="auto"/>
              <w:ind w:left="0" w:leftChars="0"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环境管理检查结论</w:t>
            </w:r>
          </w:p>
          <w:p>
            <w:pPr>
              <w:keepNext w:val="0"/>
              <w:keepLines w:val="0"/>
              <w:widowControl/>
              <w:numPr>
                <w:ilvl w:val="0"/>
                <w:numId w:val="0"/>
              </w:numPr>
              <w:suppressLineNumbers w:val="0"/>
              <w:spacing w:line="360" w:lineRule="auto"/>
              <w:ind w:leftChars="200"/>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本项目根据《中华人民共和国环境保护法》和《建设项目环境保护管理办法》</w:t>
            </w:r>
          </w:p>
          <w:p>
            <w:pPr>
              <w:keepNext w:val="0"/>
              <w:keepLines w:val="0"/>
              <w:widowControl/>
              <w:numPr>
                <w:ilvl w:val="0"/>
                <w:numId w:val="0"/>
              </w:numPr>
              <w:suppressLineNumbers w:val="0"/>
              <w:spacing w:line="360" w:lineRule="auto"/>
              <w:jc w:val="left"/>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的规定进行了环境影响评价。项目落实了环境影响评价要求的有关污染治理设施及措施，执行了“三同时”制度，工程立项、环评等手续齐全，环保设施与主体工程做到了同时设计、同时施工、同时投产使用。规章制度健全，落实了环评批复的要求。</w:t>
            </w:r>
          </w:p>
          <w:p>
            <w:pPr>
              <w:keepNext w:val="0"/>
              <w:keepLines w:val="0"/>
              <w:widowControl/>
              <w:numPr>
                <w:ilvl w:val="0"/>
                <w:numId w:val="0"/>
              </w:numPr>
              <w:suppressLineNumbers w:val="0"/>
              <w:spacing w:line="360" w:lineRule="auto"/>
              <w:ind w:firstLine="482" w:firstLineChars="200"/>
              <w:jc w:val="left"/>
              <w:rPr>
                <w:rFonts w:hint="default" w:ascii="Times New Roman" w:hAnsi="Times New Roman" w:cs="Times New Roman"/>
              </w:rPr>
            </w:pPr>
            <w:r>
              <w:rPr>
                <w:rFonts w:hint="eastAsia" w:ascii="Times New Roman" w:hAnsi="Times New Roman" w:eastAsia="宋体" w:cs="Times New Roman"/>
                <w:b/>
                <w:bCs/>
                <w:color w:val="000000"/>
                <w:kern w:val="0"/>
                <w:sz w:val="24"/>
                <w:szCs w:val="24"/>
                <w:lang w:val="en-US" w:eastAsia="zh-CN" w:bidi="ar"/>
              </w:rPr>
              <w:t>3</w:t>
            </w:r>
            <w:r>
              <w:rPr>
                <w:rFonts w:hint="default" w:ascii="Times New Roman" w:hAnsi="Times New Roman" w:eastAsia="宋体" w:cs="Times New Roman"/>
                <w:b/>
                <w:bCs/>
                <w:color w:val="000000"/>
                <w:kern w:val="0"/>
                <w:sz w:val="24"/>
                <w:szCs w:val="24"/>
                <w:lang w:val="en-US" w:eastAsia="zh-CN" w:bidi="ar"/>
              </w:rPr>
              <w:t>、环境影响调查结论</w:t>
            </w:r>
          </w:p>
          <w:p>
            <w:pPr>
              <w:keepNext w:val="0"/>
              <w:keepLines w:val="0"/>
              <w:widowControl/>
              <w:suppressLineNumbers w:val="0"/>
              <w:spacing w:line="360" w:lineRule="auto"/>
              <w:ind w:firstLine="482" w:firstLineChars="200"/>
              <w:jc w:val="left"/>
              <w:rPr>
                <w:rFonts w:hint="default" w:ascii="Times New Roman" w:hAnsi="Times New Roman" w:cs="Times New Roman"/>
              </w:rPr>
            </w:pPr>
            <w:r>
              <w:rPr>
                <w:rFonts w:hint="default" w:ascii="Times New Roman" w:hAnsi="Times New Roman" w:eastAsia="宋体" w:cs="Times New Roman"/>
                <w:b/>
                <w:bCs/>
                <w:color w:val="000000"/>
                <w:kern w:val="0"/>
                <w:sz w:val="24"/>
                <w:szCs w:val="24"/>
                <w:lang w:val="en-US" w:eastAsia="zh-CN" w:bidi="ar"/>
              </w:rPr>
              <w:t>①生态环境影响调查结论</w:t>
            </w:r>
          </w:p>
          <w:p>
            <w:pPr>
              <w:adjustRightInd w:val="0"/>
              <w:snapToGrid w:val="0"/>
              <w:spacing w:line="360" w:lineRule="auto"/>
              <w:ind w:firstLine="480" w:firstLineChars="200"/>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经调查，本项目</w:t>
            </w:r>
            <w:r>
              <w:rPr>
                <w:rFonts w:hint="eastAsia" w:ascii="Times New Roman" w:hAnsi="Times New Roman" w:cs="Times New Roman"/>
                <w:sz w:val="24"/>
                <w:szCs w:val="24"/>
                <w:lang w:val="en-US" w:eastAsia="zh-CN"/>
              </w:rPr>
              <w:t>预</w:t>
            </w:r>
            <w:r>
              <w:rPr>
                <w:rFonts w:hint="default" w:ascii="Times New Roman" w:hAnsi="Times New Roman" w:cs="Times New Roman"/>
                <w:sz w:val="24"/>
                <w:szCs w:val="24"/>
                <w:lang w:val="en-US" w:eastAsia="zh-CN"/>
              </w:rPr>
              <w:t>查期对生态的影响主要是表土开挖、弃土堆放改变地貌，破坏原生植被和景观和普查施工噪声对周围野生动物的影响，施工结束后</w:t>
            </w:r>
            <w:r>
              <w:rPr>
                <w:rFonts w:hint="eastAsia" w:ascii="Times New Roman" w:hAnsi="Times New Roman" w:cs="Times New Roman"/>
                <w:sz w:val="24"/>
                <w:szCs w:val="24"/>
                <w:lang w:val="en-US" w:eastAsia="zh-CN"/>
              </w:rPr>
              <w:t>已</w:t>
            </w:r>
            <w:r>
              <w:rPr>
                <w:rFonts w:hint="default" w:ascii="Times New Roman" w:hAnsi="Times New Roman" w:cs="Times New Roman"/>
                <w:sz w:val="24"/>
                <w:szCs w:val="24"/>
                <w:lang w:val="en-US" w:eastAsia="zh-CN"/>
              </w:rPr>
              <w:t>及时将开挖的土石方全部回填、覆盖上表土并压实，</w:t>
            </w:r>
            <w:r>
              <w:rPr>
                <w:rFonts w:hint="eastAsia" w:ascii="Times New Roman" w:hAnsi="Times New Roman" w:cs="Times New Roman"/>
                <w:sz w:val="24"/>
                <w:szCs w:val="24"/>
                <w:lang w:val="en-US" w:eastAsia="zh-CN"/>
              </w:rPr>
              <w:t>已</w:t>
            </w:r>
            <w:r>
              <w:rPr>
                <w:rFonts w:hint="default" w:ascii="Times New Roman" w:hAnsi="Times New Roman" w:cs="Times New Roman"/>
                <w:sz w:val="24"/>
                <w:szCs w:val="24"/>
                <w:lang w:val="en-US" w:eastAsia="zh-CN"/>
              </w:rPr>
              <w:t>恢复探槽施工区域原有地形地貌</w:t>
            </w:r>
            <w:r>
              <w:rPr>
                <w:rFonts w:hint="eastAsia" w:ascii="Times New Roman" w:hAnsi="Times New Roman" w:cs="Times New Roman"/>
                <w:sz w:val="24"/>
                <w:szCs w:val="24"/>
                <w:lang w:val="en-US" w:eastAsia="zh-CN"/>
              </w:rPr>
              <w:t>；施工结束后对钻机平台进行迹地清理，泥泥浆自然风干后用于钻探平台的回填、平整；对钻孔已及时进行封孔处理</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在</w:t>
            </w:r>
            <w:r>
              <w:rPr>
                <w:rFonts w:hint="default" w:ascii="Times New Roman" w:hAnsi="Times New Roman" w:cs="Times New Roman"/>
                <w:sz w:val="24"/>
                <w:szCs w:val="24"/>
                <w:lang w:val="en-US" w:eastAsia="zh-CN"/>
              </w:rPr>
              <w:t>采取提出的保护措施后，对生态环境影响较小。</w:t>
            </w:r>
          </w:p>
          <w:p>
            <w:pPr>
              <w:spacing w:line="360" w:lineRule="auto"/>
              <w:ind w:firstLine="482"/>
              <w:rPr>
                <w:rFonts w:hint="default" w:ascii="Times New Roman" w:hAnsi="Times New Roman" w:cs="Times New Roman"/>
                <w:sz w:val="24"/>
              </w:rPr>
            </w:pPr>
            <w:r>
              <w:rPr>
                <w:rFonts w:hint="default" w:ascii="Times New Roman" w:hAnsi="Times New Roman" w:cs="Times New Roman"/>
                <w:sz w:val="24"/>
              </w:rPr>
              <w:t>在项目主体工程完成后对周边原有植被进行恢复工作。通过现场调查了解，本项目基本落实了环境影响报告及其环评批复中生态环境保护的相关要求。</w:t>
            </w:r>
          </w:p>
          <w:p>
            <w:pPr>
              <w:keepNext w:val="0"/>
              <w:keepLines w:val="0"/>
              <w:widowControl/>
              <w:suppressLineNumbers w:val="0"/>
              <w:spacing w:line="360" w:lineRule="auto"/>
              <w:ind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②声环境影响调查结论</w:t>
            </w:r>
          </w:p>
          <w:p>
            <w:pPr>
              <w:numPr>
                <w:ilvl w:val="0"/>
                <w:numId w:val="0"/>
              </w:numPr>
              <w:adjustRightInd w:val="0"/>
              <w:snapToGrid w:val="0"/>
              <w:spacing w:line="360" w:lineRule="auto"/>
              <w:ind w:leftChars="200"/>
              <w:jc w:val="both"/>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本项目噪声主要为钻探时使用的钻机、发电机等产生的机械噪声以及小型</w:t>
            </w:r>
          </w:p>
          <w:p>
            <w:pPr>
              <w:numPr>
                <w:ilvl w:val="0"/>
                <w:numId w:val="0"/>
              </w:numPr>
              <w:adjustRightInd w:val="0"/>
              <w:snapToGrid w:val="0"/>
              <w:spacing w:line="360" w:lineRule="auto"/>
              <w:jc w:val="both"/>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Cs/>
                <w:sz w:val="24"/>
                <w:szCs w:val="24"/>
                <w:lang w:val="en-US" w:eastAsia="zh-CN"/>
              </w:rPr>
              <w:t>运输车辆产生的噪声；运输车辆产生的噪声较小，对周围影响较小。在采取合理布置施工机械，及时对机械设备进行维护保养工作等措施后，能有效控制探矿期产生的噪声污染。本工程在施工期间经加强管理和合理安排作业时间等降噪措施后得到有效控制，并随着施工期结束而消除。</w:t>
            </w:r>
          </w:p>
          <w:p>
            <w:pPr>
              <w:keepNext w:val="0"/>
              <w:keepLines w:val="0"/>
              <w:widowControl/>
              <w:suppressLineNumbers w:val="0"/>
              <w:spacing w:line="360" w:lineRule="auto"/>
              <w:ind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③水环境影响调查结论</w:t>
            </w:r>
          </w:p>
          <w:p>
            <w:pPr>
              <w:numPr>
                <w:ilvl w:val="0"/>
                <w:numId w:val="0"/>
              </w:numPr>
              <w:spacing w:line="360" w:lineRule="auto"/>
              <w:ind w:leftChars="0" w:firstLine="480" w:firstLineChars="200"/>
              <w:rPr>
                <w:rFonts w:hint="eastAsia" w:cs="Times New Roman"/>
                <w:bCs/>
                <w:color w:val="auto"/>
                <w:sz w:val="24"/>
                <w:lang w:eastAsia="zh-CN"/>
              </w:rPr>
            </w:pPr>
            <w:r>
              <w:rPr>
                <w:rFonts w:hint="default" w:ascii="Times New Roman" w:hAnsi="Times New Roman" w:eastAsia="宋体" w:cs="Times New Roman"/>
                <w:bCs/>
                <w:sz w:val="24"/>
                <w:szCs w:val="24"/>
                <w:lang w:val="en-US" w:eastAsia="zh-CN"/>
              </w:rPr>
              <w:t>经调查，</w:t>
            </w:r>
            <w:r>
              <w:rPr>
                <w:rFonts w:hint="default" w:ascii="Times New Roman" w:hAnsi="Times New Roman" w:cs="Times New Roman"/>
                <w:bCs/>
                <w:color w:val="auto"/>
                <w:sz w:val="24"/>
                <w:lang w:eastAsia="zh-CN"/>
              </w:rPr>
              <w:t>本项目</w:t>
            </w:r>
            <w:r>
              <w:rPr>
                <w:rFonts w:hint="default" w:ascii="Times New Roman" w:hAnsi="Times New Roman" w:cs="Times New Roman"/>
                <w:bCs/>
                <w:color w:val="auto"/>
                <w:sz w:val="24"/>
              </w:rPr>
              <w:t>产生的废水主要为施工人员生活污水</w:t>
            </w:r>
            <w:r>
              <w:rPr>
                <w:rFonts w:hint="eastAsia" w:cs="Times New Roman"/>
                <w:bCs/>
                <w:color w:val="auto"/>
                <w:sz w:val="24"/>
                <w:lang w:eastAsia="zh-CN"/>
              </w:rPr>
              <w:t>、</w:t>
            </w:r>
            <w:r>
              <w:rPr>
                <w:rFonts w:hint="default" w:ascii="Times New Roman" w:hAnsi="Times New Roman" w:eastAsia="宋体" w:cs="Times New Roman"/>
                <w:bCs/>
                <w:sz w:val="24"/>
                <w:szCs w:val="24"/>
                <w:lang w:val="en-US" w:eastAsia="zh-CN"/>
              </w:rPr>
              <w:t>钻孔废水</w:t>
            </w:r>
            <w:r>
              <w:rPr>
                <w:rFonts w:hint="eastAsia" w:cs="Times New Roman"/>
                <w:bCs/>
                <w:color w:val="auto"/>
                <w:sz w:val="24"/>
                <w:lang w:eastAsia="zh-CN"/>
              </w:rPr>
              <w:t>。</w:t>
            </w:r>
          </w:p>
          <w:p>
            <w:pPr>
              <w:spacing w:line="360" w:lineRule="auto"/>
              <w:ind w:firstLine="480" w:firstLineChars="200"/>
              <w:rPr>
                <w:rFonts w:hint="default" w:ascii="Times New Roman" w:hAnsi="Times New Roman" w:eastAsia="宋体" w:cs="Times New Roman"/>
                <w:bCs/>
                <w:sz w:val="24"/>
                <w:szCs w:val="24"/>
                <w:lang w:val="en-US" w:eastAsia="zh-CN"/>
              </w:rPr>
            </w:pPr>
            <w:r>
              <w:rPr>
                <w:rFonts w:hint="default" w:ascii="Times New Roman" w:hAnsi="Times New Roman" w:cs="Times New Roman"/>
                <w:bCs/>
                <w:color w:val="auto"/>
                <w:sz w:val="24"/>
              </w:rPr>
              <w:t>本项目</w:t>
            </w:r>
            <w:r>
              <w:rPr>
                <w:rFonts w:hint="eastAsia" w:cs="Times New Roman"/>
                <w:bCs/>
                <w:color w:val="auto"/>
                <w:sz w:val="24"/>
                <w:lang w:val="en-US" w:eastAsia="zh-CN"/>
              </w:rPr>
              <w:t>预</w:t>
            </w:r>
            <w:r>
              <w:rPr>
                <w:rFonts w:hint="eastAsia" w:cs="Times New Roman"/>
                <w:bCs/>
                <w:color w:val="auto"/>
                <w:sz w:val="24"/>
                <w:lang w:eastAsia="zh-CN"/>
              </w:rPr>
              <w:t>查</w:t>
            </w:r>
            <w:r>
              <w:rPr>
                <w:rFonts w:hint="default" w:ascii="Times New Roman" w:hAnsi="Times New Roman" w:cs="Times New Roman"/>
                <w:bCs/>
                <w:color w:val="auto"/>
                <w:sz w:val="24"/>
              </w:rPr>
              <w:t>期</w:t>
            </w:r>
            <w:r>
              <w:rPr>
                <w:rFonts w:hint="default" w:ascii="Times New Roman" w:hAnsi="Times New Roman" w:cs="Times New Roman"/>
                <w:bCs/>
                <w:color w:val="auto"/>
                <w:sz w:val="24"/>
                <w:lang w:eastAsia="zh-CN"/>
              </w:rPr>
              <w:t>生活污水</w:t>
            </w:r>
            <w:r>
              <w:rPr>
                <w:rFonts w:hint="eastAsia" w:ascii="Times New Roman" w:hAnsi="Times New Roman" w:cs="Times New Roman"/>
                <w:bCs/>
                <w:color w:val="auto"/>
                <w:sz w:val="24"/>
                <w:lang w:val="en-US" w:eastAsia="zh-CN"/>
              </w:rPr>
              <w:t>主要为</w:t>
            </w:r>
            <w:r>
              <w:rPr>
                <w:rFonts w:hint="default" w:ascii="Times New Roman" w:hAnsi="Times New Roman" w:cs="Times New Roman"/>
                <w:bCs/>
                <w:color w:val="auto"/>
                <w:sz w:val="24"/>
                <w:lang w:eastAsia="zh-CN"/>
              </w:rPr>
              <w:t>员工生活洗漱废水</w:t>
            </w:r>
            <w:r>
              <w:rPr>
                <w:rFonts w:hint="eastAsia" w:ascii="Times New Roman" w:hAnsi="Times New Roman" w:cs="Times New Roman"/>
                <w:bCs/>
                <w:color w:val="auto"/>
                <w:sz w:val="24"/>
                <w:lang w:eastAsia="zh-CN"/>
              </w:rPr>
              <w:t>，</w:t>
            </w:r>
            <w:r>
              <w:rPr>
                <w:rFonts w:hint="default" w:ascii="Times New Roman" w:hAnsi="Times New Roman" w:cs="Times New Roman"/>
                <w:bCs/>
                <w:color w:val="auto"/>
                <w:sz w:val="24"/>
                <w:lang w:eastAsia="zh-CN"/>
              </w:rPr>
              <w:t>水质简单，全部用于场地泼洒降尘，厂区设有防渗旱厕，人员粪便废水全部进入旱厕，防渗旱厕定期清掏用于周边草地施肥。</w:t>
            </w:r>
            <w:r>
              <w:rPr>
                <w:rFonts w:hint="default" w:ascii="Times New Roman" w:hAnsi="Times New Roman" w:eastAsia="宋体" w:cs="Times New Roman"/>
                <w:bCs/>
                <w:sz w:val="24"/>
                <w:szCs w:val="24"/>
                <w:lang w:val="en-US" w:eastAsia="zh-CN"/>
              </w:rPr>
              <w:t>钻孔废水循环利用不外排</w:t>
            </w:r>
            <w:r>
              <w:rPr>
                <w:rFonts w:hint="eastAsia" w:ascii="Times New Roman" w:hAnsi="Times New Roman" w:cs="Times New Roman"/>
                <w:sz w:val="24"/>
                <w:szCs w:val="24"/>
                <w:lang w:val="en-US" w:eastAsia="zh-CN"/>
              </w:rPr>
              <w:t>。</w:t>
            </w:r>
          </w:p>
          <w:p>
            <w:pPr>
              <w:keepNext w:val="0"/>
              <w:keepLines w:val="0"/>
              <w:widowControl/>
              <w:suppressLineNumbers w:val="0"/>
              <w:spacing w:line="360" w:lineRule="auto"/>
              <w:ind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④废气影响调查结论</w:t>
            </w:r>
          </w:p>
          <w:p>
            <w:pPr>
              <w:widowControl/>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cs="Times New Roman"/>
                <w:sz w:val="24"/>
                <w:szCs w:val="24"/>
                <w:lang w:val="en-US" w:eastAsia="zh-CN"/>
              </w:rPr>
              <w:t>本项目预查期大气污染物主要为探槽开挖、钻探施工、钻孔封闭等施工产生扬尘，由于本项目探槽开挖、钻探施工面积很小，不采取大开挖方式。</w:t>
            </w:r>
            <w:r>
              <w:rPr>
                <w:rFonts w:hint="eastAsia" w:ascii="Times New Roman" w:hAnsi="Times New Roman" w:cs="Times New Roman"/>
                <w:color w:val="auto"/>
                <w:sz w:val="24"/>
                <w:szCs w:val="24"/>
                <w:lang w:val="en-US" w:eastAsia="zh-CN"/>
              </w:rPr>
              <w:t>且</w:t>
            </w:r>
            <w:r>
              <w:rPr>
                <w:rFonts w:hint="default" w:ascii="Times New Roman" w:hAnsi="Times New Roman" w:cs="Times New Roman"/>
                <w:color w:val="auto"/>
                <w:sz w:val="24"/>
                <w:szCs w:val="24"/>
              </w:rPr>
              <w:t>避开大风天气作业。</w:t>
            </w:r>
            <w:r>
              <w:rPr>
                <w:rFonts w:hint="eastAsia" w:ascii="Times New Roman" w:hAnsi="Times New Roman" w:cs="Times New Roman"/>
                <w:color w:val="auto"/>
                <w:sz w:val="24"/>
                <w:szCs w:val="24"/>
                <w:lang w:val="en-US" w:eastAsia="zh-CN"/>
              </w:rPr>
              <w:t>在</w:t>
            </w:r>
            <w:r>
              <w:rPr>
                <w:rFonts w:hint="default" w:ascii="Times New Roman" w:hAnsi="Times New Roman" w:cs="Times New Roman"/>
                <w:color w:val="auto"/>
                <w:sz w:val="24"/>
                <w:szCs w:val="24"/>
                <w:lang w:val="en-US" w:eastAsia="zh-CN"/>
              </w:rPr>
              <w:t>采取该措施后，扬尘浓度可下降80%以上。再通过稀释扩散、周边植被及山体的阻隔，且钻探布设为坑道钻，可有效控制扬尘产生，对周边环境影响不大。</w:t>
            </w:r>
            <w:r>
              <w:rPr>
                <w:rFonts w:hint="default" w:ascii="Times New Roman" w:hAnsi="Times New Roman" w:eastAsia="宋体" w:cs="Times New Roman"/>
                <w:sz w:val="24"/>
                <w:szCs w:val="24"/>
                <w:lang w:val="en-US" w:eastAsia="zh-CN"/>
              </w:rPr>
              <w:t>随着施工期的结束而消失，施工扬尘对周围环境影响不大。</w:t>
            </w:r>
          </w:p>
          <w:p>
            <w:pPr>
              <w:keepNext w:val="0"/>
              <w:keepLines w:val="0"/>
              <w:widowControl/>
              <w:suppressLineNumbers w:val="0"/>
              <w:spacing w:line="360" w:lineRule="auto"/>
              <w:ind w:firstLine="482" w:firstLineChars="200"/>
              <w:jc w:val="left"/>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b/>
                <w:bCs/>
                <w:color w:val="000000"/>
                <w:kern w:val="0"/>
                <w:sz w:val="24"/>
                <w:szCs w:val="24"/>
                <w:lang w:val="en-US" w:eastAsia="zh-CN" w:bidi="ar"/>
              </w:rPr>
              <w:t>⑤固体废弃物调查结论</w:t>
            </w:r>
          </w:p>
          <w:p>
            <w:pPr>
              <w:numPr>
                <w:ilvl w:val="0"/>
                <w:numId w:val="0"/>
              </w:numPr>
              <w:adjustRightInd w:val="0"/>
              <w:snapToGrid w:val="0"/>
              <w:spacing w:line="360" w:lineRule="auto"/>
              <w:ind w:firstLine="480" w:firstLineChars="200"/>
              <w:jc w:val="both"/>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经调查，本项目主要固体废物为施工产生的土石方和施工人员产生的生活垃圾。</w:t>
            </w:r>
          </w:p>
          <w:p>
            <w:pPr>
              <w:numPr>
                <w:ilvl w:val="0"/>
                <w:numId w:val="0"/>
              </w:numPr>
              <w:adjustRightInd w:val="0"/>
              <w:snapToGrid w:val="0"/>
              <w:spacing w:line="360" w:lineRule="auto"/>
              <w:ind w:firstLine="480" w:firstLineChars="200"/>
              <w:jc w:val="both"/>
              <w:rPr>
                <w:rFonts w:hint="default" w:ascii="Times New Roman" w:hAnsi="Times New Roman" w:eastAsia="宋体" w:cs="Times New Roman"/>
                <w:bCs/>
                <w:sz w:val="24"/>
                <w:szCs w:val="24"/>
                <w:lang w:val="en-US" w:eastAsia="zh-CN"/>
              </w:rPr>
            </w:pPr>
            <w:r>
              <w:rPr>
                <w:rFonts w:hint="default" w:ascii="Times New Roman" w:hAnsi="Times New Roman" w:eastAsia="宋体" w:cs="Times New Roman"/>
                <w:bCs/>
                <w:sz w:val="24"/>
                <w:szCs w:val="24"/>
                <w:lang w:val="en-US" w:eastAsia="zh-CN"/>
              </w:rPr>
              <w:t>本项目钻探剥离的表土就近堆放最后用于表层覆土和植被恢复；本项目土石方主要是探槽、钻探施工时产生的挖方，在取样结束后已全部回填，无弃方产生，对周围环境影响较小。生活垃圾经垃圾箱收集后定期清运至垃圾转运站，钻探产生的泥浆主要为水和泥浆材料（膨润土）按4:1的比例调配成泥浆液，钻探时泥浆进行循环利用，钻探结束后用于钻探平台的回填。</w:t>
            </w:r>
          </w:p>
          <w:p>
            <w:pPr>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2" w:firstLineChars="200"/>
              <w:textAlignment w:val="auto"/>
              <w:outlineLvl w:val="9"/>
              <w:rPr>
                <w:rFonts w:hint="default" w:ascii="Times New Roman" w:hAnsi="Times New Roman" w:cs="Times New Roman"/>
              </w:rPr>
            </w:pPr>
            <w:r>
              <w:rPr>
                <w:rFonts w:hint="default" w:ascii="Times New Roman" w:hAnsi="Times New Roman" w:eastAsia="宋体" w:cs="Times New Roman"/>
                <w:b/>
                <w:bCs/>
                <w:color w:val="000000"/>
                <w:kern w:val="0"/>
                <w:sz w:val="24"/>
                <w:szCs w:val="24"/>
                <w:lang w:val="en-US" w:eastAsia="zh-CN" w:bidi="ar"/>
              </w:rPr>
              <w:t>二、结论</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青海省格尔木市拉宁灶火多金属矿普查项目</w:t>
            </w:r>
            <w:r>
              <w:rPr>
                <w:rFonts w:hint="default" w:ascii="Times New Roman" w:hAnsi="Times New Roman" w:eastAsia="宋体" w:cs="Times New Roman"/>
                <w:color w:val="000000"/>
                <w:kern w:val="0"/>
                <w:sz w:val="24"/>
                <w:szCs w:val="24"/>
                <w:lang w:val="en-US" w:eastAsia="zh-CN" w:bidi="ar"/>
              </w:rPr>
              <w:t>在建设过程中按环境影响报告表及其审批部门审批决定要求建成环境保护设施，并且环境保护设施能与主体工程同时投产使用；污染物排放符合国家和地方相关标准、环境影响报告表及其审批部门审批决定；建设项目的性质、规模、地点、采用的生产工艺或者防治污染、防止生态破坏的措施未发生重大变动，建设过程中未造成重大环境污染或者重大生态破坏；建设项目未纳入排污许可管理，未违反国家和地方环境保护法律法规；</w:t>
            </w:r>
            <w:r>
              <w:rPr>
                <w:rFonts w:hint="default" w:ascii="Times New Roman" w:hAnsi="Times New Roman" w:eastAsia="宋体" w:cs="Times New Roman"/>
                <w:color w:val="000000"/>
                <w:kern w:val="0"/>
                <w:sz w:val="24"/>
                <w:szCs w:val="24"/>
                <w:lang w:val="en-US" w:eastAsia="zh-CN" w:bidi="ar"/>
              </w:rPr>
              <w:t>建议工程通过环境保护验收</w:t>
            </w:r>
            <w:r>
              <w:rPr>
                <w:rFonts w:hint="default" w:ascii="Times New Roman" w:hAnsi="Times New Roman" w:eastAsia="宋体" w:cs="Times New Roman"/>
                <w:color w:val="000000"/>
                <w:kern w:val="0"/>
                <w:sz w:val="24"/>
                <w:szCs w:val="24"/>
                <w:lang w:val="en-US" w:eastAsia="zh-CN" w:bidi="ar"/>
              </w:rPr>
              <w:t>。</w:t>
            </w: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keepNext w:val="0"/>
              <w:keepLines w:val="0"/>
              <w:widowControl/>
              <w:suppressLineNumbers w:val="0"/>
              <w:spacing w:line="360" w:lineRule="auto"/>
              <w:ind w:firstLine="480" w:firstLineChars="200"/>
              <w:jc w:val="left"/>
              <w:rPr>
                <w:rFonts w:hint="default" w:ascii="Times New Roman" w:hAnsi="Times New Roman" w:eastAsia="宋体" w:cs="Times New Roman"/>
                <w:color w:val="000000"/>
                <w:kern w:val="0"/>
                <w:sz w:val="24"/>
                <w:szCs w:val="24"/>
                <w:lang w:val="en-US" w:eastAsia="zh-CN" w:bidi="ar"/>
              </w:rPr>
            </w:pPr>
          </w:p>
          <w:p>
            <w:pPr>
              <w:numPr>
                <w:ilvl w:val="0"/>
                <w:numId w:val="0"/>
              </w:numPr>
              <w:spacing w:line="360" w:lineRule="auto"/>
              <w:rPr>
                <w:rFonts w:hint="default" w:ascii="Times New Roman" w:hAnsi="Times New Roman" w:eastAsia="宋体" w:cs="Times New Roman"/>
                <w:lang w:val="en-US" w:eastAsia="zh-CN"/>
              </w:rPr>
            </w:pPr>
          </w:p>
        </w:tc>
      </w:tr>
    </w:tbl>
    <w:p>
      <w:pPr>
        <w:pStyle w:val="2"/>
        <w:numPr>
          <w:ilvl w:val="0"/>
          <w:numId w:val="0"/>
        </w:numPr>
        <w:ind w:leftChars="0"/>
        <w:rPr>
          <w:rFonts w:hint="default" w:ascii="Times New Roman" w:hAnsi="Times New Roman" w:eastAsia="宋体" w:cs="Times New Roman"/>
          <w:b/>
          <w:bCs/>
          <w:color w:val="auto"/>
          <w:kern w:val="2"/>
          <w:sz w:val="28"/>
          <w:szCs w:val="28"/>
          <w:lang w:val="en-US" w:eastAsia="zh-CN" w:bidi="ar-SA"/>
        </w:rPr>
      </w:pPr>
      <w:r>
        <w:rPr>
          <w:rFonts w:hint="default" w:ascii="Times New Roman" w:hAnsi="Times New Roman" w:eastAsia="宋体" w:cs="Times New Roman"/>
          <w:b/>
          <w:bCs/>
          <w:color w:val="auto"/>
          <w:kern w:val="2"/>
          <w:sz w:val="28"/>
          <w:szCs w:val="28"/>
          <w:lang w:val="en-US" w:eastAsia="zh-CN" w:bidi="ar-SA"/>
        </w:rPr>
        <w:br w:type="page"/>
      </w:r>
      <w:bookmarkEnd w:id="5"/>
      <w:bookmarkStart w:id="9" w:name="_Toc348"/>
      <w:r>
        <w:rPr>
          <w:rFonts w:hint="default" w:ascii="Times New Roman" w:hAnsi="Times New Roman" w:eastAsia="宋体" w:cs="Times New Roman"/>
          <w:b/>
          <w:bCs/>
          <w:color w:val="auto"/>
          <w:kern w:val="2"/>
          <w:sz w:val="28"/>
          <w:szCs w:val="28"/>
          <w:lang w:val="en-US" w:eastAsia="zh-CN" w:bidi="ar-SA"/>
        </w:rPr>
        <w:t>附表、附图、附件</w:t>
      </w:r>
      <w:bookmarkEnd w:id="9"/>
    </w:p>
    <w:tbl>
      <w:tblPr>
        <w:tblStyle w:val="44"/>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7931" w:hRule="atLeast"/>
          <w:jc w:val="center"/>
        </w:trPr>
        <w:tc>
          <w:tcPr>
            <w:tcW w:w="9160" w:type="dxa"/>
            <w:noWrap w:val="0"/>
            <w:vAlign w:val="top"/>
          </w:tcPr>
          <w:p>
            <w:pPr>
              <w:pStyle w:val="86"/>
              <w:spacing w:line="360" w:lineRule="auto"/>
              <w:ind w:firstLine="0" w:firstLineChars="0"/>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1 附表</w:t>
            </w:r>
          </w:p>
          <w:p>
            <w:pPr>
              <w:pStyle w:val="86"/>
              <w:spacing w:line="360" w:lineRule="auto"/>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附表 1：建设项目工程竣工环境保护“三同时”验收登记表。</w:t>
            </w:r>
          </w:p>
          <w:p>
            <w:pPr>
              <w:pStyle w:val="86"/>
              <w:spacing w:line="360" w:lineRule="auto"/>
              <w:ind w:firstLine="0" w:firstLineChars="0"/>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2 附图</w:t>
            </w:r>
          </w:p>
          <w:p>
            <w:pPr>
              <w:pStyle w:val="86"/>
              <w:spacing w:line="360" w:lineRule="auto"/>
              <w:ind w:firstLine="480" w:firstLineChars="200"/>
              <w:jc w:val="left"/>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附图 1：项目地理位置图；</w:t>
            </w:r>
          </w:p>
          <w:p>
            <w:pPr>
              <w:pStyle w:val="86"/>
              <w:spacing w:line="360" w:lineRule="auto"/>
              <w:ind w:firstLine="480" w:firstLineChars="200"/>
              <w:jc w:val="left"/>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附图 2：项目周边关系图；</w:t>
            </w:r>
          </w:p>
          <w:p>
            <w:pPr>
              <w:pStyle w:val="86"/>
              <w:spacing w:line="360" w:lineRule="auto"/>
              <w:ind w:firstLine="480" w:firstLineChars="200"/>
              <w:jc w:val="left"/>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附图 3：项目总平面布置图；</w:t>
            </w:r>
          </w:p>
          <w:p>
            <w:pPr>
              <w:pStyle w:val="86"/>
              <w:spacing w:line="360" w:lineRule="auto"/>
              <w:ind w:firstLine="480" w:firstLineChars="200"/>
              <w:jc w:val="left"/>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附图4：项目周边现场照片图；</w:t>
            </w:r>
          </w:p>
          <w:p>
            <w:pPr>
              <w:pStyle w:val="86"/>
              <w:spacing w:line="360" w:lineRule="auto"/>
              <w:ind w:firstLine="0" w:firstLineChars="0"/>
              <w:rPr>
                <w:rFonts w:hint="default" w:ascii="Times New Roman" w:hAnsi="Times New Roman" w:cs="Times New Roman"/>
                <w:b/>
                <w:color w:val="auto"/>
                <w:sz w:val="24"/>
                <w:szCs w:val="24"/>
                <w:lang w:val="en-US" w:eastAsia="zh-CN"/>
              </w:rPr>
            </w:pPr>
            <w:r>
              <w:rPr>
                <w:rFonts w:hint="default" w:ascii="Times New Roman" w:hAnsi="Times New Roman" w:cs="Times New Roman"/>
                <w:b/>
                <w:color w:val="auto"/>
                <w:sz w:val="24"/>
                <w:szCs w:val="24"/>
                <w:lang w:val="en-US" w:eastAsia="zh-CN"/>
              </w:rPr>
              <w:t>3 附件</w:t>
            </w:r>
          </w:p>
          <w:p>
            <w:pPr>
              <w:pStyle w:val="86"/>
              <w:spacing w:line="360" w:lineRule="auto"/>
              <w:ind w:firstLine="480" w:firstLineChars="200"/>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附件 1：项目环评批复；</w:t>
            </w:r>
          </w:p>
          <w:p>
            <w:pPr>
              <w:pStyle w:val="6"/>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firstLine="480" w:firstLineChars="200"/>
              <w:rPr>
                <w:rFonts w:hint="default" w:ascii="Times New Roman" w:hAnsi="Times New Roman" w:cs="Times New Roman"/>
                <w:color w:val="0000FF"/>
                <w:szCs w:val="24"/>
                <w:lang w:val="en-US" w:eastAsia="zh-CN"/>
              </w:rPr>
            </w:pPr>
          </w:p>
          <w:p>
            <w:pPr>
              <w:pStyle w:val="6"/>
              <w:ind w:left="0" w:leftChars="0" w:firstLine="0" w:firstLineChars="0"/>
              <w:rPr>
                <w:rFonts w:hint="default" w:ascii="Times New Roman" w:hAnsi="Times New Roman" w:cs="Times New Roman"/>
                <w:color w:val="0000FF"/>
                <w:szCs w:val="24"/>
                <w:lang w:val="en-US" w:eastAsia="zh-CN"/>
              </w:rPr>
            </w:pPr>
          </w:p>
          <w:p>
            <w:pPr>
              <w:pStyle w:val="6"/>
              <w:ind w:left="0" w:leftChars="0" w:firstLine="0" w:firstLineChars="0"/>
              <w:rPr>
                <w:rFonts w:hint="default" w:ascii="Times New Roman" w:hAnsi="Times New Roman" w:cs="Times New Roman"/>
                <w:color w:val="0000FF"/>
                <w:szCs w:val="24"/>
                <w:lang w:val="en-US" w:eastAsia="zh-CN"/>
              </w:rPr>
            </w:pPr>
          </w:p>
          <w:p>
            <w:pPr>
              <w:pStyle w:val="6"/>
              <w:ind w:left="0" w:leftChars="0" w:firstLine="0" w:firstLineChars="0"/>
              <w:rPr>
                <w:rFonts w:hint="default" w:ascii="Times New Roman" w:hAnsi="Times New Roman" w:cs="Times New Roman"/>
                <w:color w:val="0000FF"/>
                <w:szCs w:val="24"/>
                <w:lang w:val="en-US" w:eastAsia="zh-CN"/>
              </w:rPr>
            </w:pPr>
          </w:p>
        </w:tc>
      </w:tr>
    </w:tbl>
    <w:p>
      <w:pPr>
        <w:pStyle w:val="3"/>
        <w:numPr>
          <w:ilvl w:val="0"/>
          <w:numId w:val="0"/>
        </w:numPr>
        <w:ind w:leftChars="0"/>
        <w:jc w:val="both"/>
        <w:rPr>
          <w:rFonts w:hint="default" w:ascii="Times New Roman" w:hAnsi="Times New Roman" w:cs="Times New Roman"/>
          <w:b/>
          <w:bCs/>
          <w:color w:val="0000FF"/>
          <w:kern w:val="44"/>
          <w:sz w:val="24"/>
          <w:szCs w:val="36"/>
          <w:lang w:val="en-US" w:eastAsia="zh-CN" w:bidi="ar-SA"/>
        </w:rPr>
        <w:sectPr>
          <w:pgSz w:w="11905" w:h="16838"/>
          <w:pgMar w:top="1587" w:right="1361" w:bottom="1474" w:left="1474" w:header="850" w:footer="1077" w:gutter="0"/>
          <w:paperSrc/>
          <w:pgBorders>
            <w:top w:val="none" w:sz="0" w:space="0"/>
            <w:left w:val="none" w:sz="0" w:space="0"/>
            <w:bottom w:val="none" w:sz="0" w:space="0"/>
            <w:right w:val="none" w:sz="0" w:space="0"/>
          </w:pgBorders>
          <w:pgNumType w:fmt="decimal"/>
          <w:cols w:space="720" w:num="1"/>
          <w:rtlGutter w:val="0"/>
          <w:docGrid w:linePitch="314" w:charSpace="0"/>
        </w:sectPr>
      </w:pPr>
      <w:bookmarkStart w:id="10" w:name="_Toc17820"/>
    </w:p>
    <w:p>
      <w:pPr>
        <w:spacing w:after="0" w:afterLines="0" w:line="300" w:lineRule="exact"/>
        <w:jc w:val="center"/>
        <w:rPr>
          <w:rFonts w:hint="default" w:ascii="Times New Roman" w:hAnsi="Times New Roman" w:eastAsia="黑体" w:cs="Times New Roman"/>
          <w:b/>
          <w:color w:val="auto"/>
          <w:sz w:val="20"/>
          <w:szCs w:val="20"/>
        </w:rPr>
      </w:pPr>
      <w:bookmarkStart w:id="11" w:name="_Toc32604"/>
      <w:bookmarkStart w:id="12" w:name="_Toc13460"/>
      <w:bookmarkStart w:id="13" w:name="_Toc11395"/>
      <w:bookmarkStart w:id="14" w:name="_Toc23247"/>
      <w:r>
        <w:rPr>
          <w:rFonts w:hint="default" w:ascii="Times New Roman" w:hAnsi="Times New Roman" w:eastAsia="黑体" w:cs="Times New Roman"/>
          <w:b/>
          <w:color w:val="auto"/>
          <w:sz w:val="20"/>
          <w:szCs w:val="20"/>
        </w:rPr>
        <w:t>建设项目竣工环境保护</w:t>
      </w:r>
      <w:r>
        <w:rPr>
          <w:rFonts w:hint="default" w:ascii="Times New Roman" w:hAnsi="Times New Roman" w:eastAsia="黑体" w:cs="Times New Roman"/>
          <w:b/>
          <w:color w:val="auto"/>
          <w:sz w:val="20"/>
          <w:szCs w:val="20"/>
          <w:lang w:eastAsia="zh-CN"/>
        </w:rPr>
        <w:t>设施</w:t>
      </w:r>
      <w:r>
        <w:rPr>
          <w:rFonts w:hint="default" w:ascii="Times New Roman" w:hAnsi="Times New Roman" w:eastAsia="黑体" w:cs="Times New Roman"/>
          <w:b/>
          <w:color w:val="auto"/>
          <w:sz w:val="20"/>
          <w:szCs w:val="20"/>
        </w:rPr>
        <w:t>“三同时”验收登记表</w:t>
      </w:r>
    </w:p>
    <w:p>
      <w:pPr>
        <w:spacing w:after="0" w:afterLines="0"/>
        <w:rPr>
          <w:rFonts w:hint="default" w:ascii="Times New Roman" w:hAnsi="Times New Roman" w:eastAsia="宋体" w:cs="Times New Roman"/>
          <w:b/>
          <w:color w:val="auto"/>
          <w:sz w:val="20"/>
          <w:szCs w:val="20"/>
        </w:rPr>
      </w:pPr>
      <w:r>
        <w:rPr>
          <w:rFonts w:hint="default" w:ascii="Times New Roman" w:hAnsi="Times New Roman" w:eastAsia="宋体" w:cs="Times New Roman"/>
          <w:b/>
          <w:color w:val="auto"/>
          <w:sz w:val="20"/>
          <w:szCs w:val="20"/>
        </w:rPr>
        <w:t>填表单位（盖章）</w:t>
      </w:r>
      <w:r>
        <w:rPr>
          <w:rFonts w:hint="default" w:ascii="Times New Roman" w:hAnsi="Times New Roman" w:eastAsia="宋体" w:cs="Times New Roman"/>
          <w:b/>
          <w:color w:val="auto"/>
          <w:kern w:val="2"/>
          <w:sz w:val="20"/>
          <w:szCs w:val="20"/>
        </w:rPr>
        <w:t>：</w:t>
      </w:r>
      <w:r>
        <w:rPr>
          <w:rFonts w:hint="default" w:ascii="Times New Roman" w:hAnsi="Times New Roman" w:eastAsia="宋体" w:cs="Times New Roman"/>
          <w:b/>
          <w:color w:val="auto"/>
          <w:sz w:val="20"/>
          <w:szCs w:val="20"/>
        </w:rPr>
        <w:t xml:space="preserve">                  填表人（签字）：                              项目经办人（签字）：</w:t>
      </w:r>
    </w:p>
    <w:tbl>
      <w:tblPr>
        <w:tblStyle w:val="44"/>
        <w:tblW w:w="1554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525"/>
        <w:gridCol w:w="1357"/>
        <w:gridCol w:w="696"/>
        <w:gridCol w:w="1239"/>
        <w:gridCol w:w="709"/>
        <w:gridCol w:w="896"/>
        <w:gridCol w:w="1231"/>
        <w:gridCol w:w="1132"/>
        <w:gridCol w:w="791"/>
        <w:gridCol w:w="2171"/>
        <w:gridCol w:w="1395"/>
        <w:gridCol w:w="495"/>
        <w:gridCol w:w="455"/>
        <w:gridCol w:w="134"/>
        <w:gridCol w:w="1016"/>
        <w:gridCol w:w="134"/>
        <w:gridCol w:w="7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46" w:hRule="atLeast"/>
          <w:jc w:val="center"/>
        </w:trPr>
        <w:tc>
          <w:tcPr>
            <w:tcW w:w="430" w:type="dxa"/>
            <w:vMerge w:val="restart"/>
            <w:noWrap w:val="0"/>
            <w:tcMar>
              <w:left w:w="57" w:type="dxa"/>
              <w:right w:w="57" w:type="dxa"/>
            </w:tcMar>
            <w:textDirection w:val="tbRlV"/>
            <w:vAlign w:val="center"/>
          </w:tcPr>
          <w:p>
            <w:pPr>
              <w:spacing w:after="0" w:afterLines="0"/>
              <w:ind w:left="113" w:right="113"/>
              <w:jc w:val="center"/>
              <w:rPr>
                <w:rFonts w:hint="default" w:ascii="Times New Roman" w:hAnsi="Times New Roman" w:cs="Times New Roman"/>
                <w:b/>
                <w:color w:val="0000FF"/>
                <w:kern w:val="2"/>
                <w:sz w:val="15"/>
                <w:szCs w:val="15"/>
              </w:rPr>
            </w:pPr>
            <w:r>
              <w:rPr>
                <w:rFonts w:hint="default" w:ascii="Times New Roman" w:hAnsi="Times New Roman" w:cs="Times New Roman"/>
                <w:b/>
                <w:color w:val="auto"/>
                <w:kern w:val="2"/>
                <w:sz w:val="15"/>
                <w:szCs w:val="15"/>
              </w:rPr>
              <w:t>建设项目</w:t>
            </w: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项目名称</w:t>
            </w:r>
          </w:p>
        </w:tc>
        <w:tc>
          <w:tcPr>
            <w:tcW w:w="4771" w:type="dxa"/>
            <w:gridSpan w:val="5"/>
            <w:noWrap w:val="0"/>
            <w:tcMar>
              <w:left w:w="57" w:type="dxa"/>
              <w:right w:w="57" w:type="dxa"/>
            </w:tcMar>
            <w:vAlign w:val="center"/>
          </w:tcPr>
          <w:p>
            <w:pPr>
              <w:jc w:val="center"/>
              <w:rPr>
                <w:rFonts w:hint="default" w:ascii="Times New Roman" w:hAnsi="Times New Roman" w:cs="Times New Roman"/>
                <w:b w:val="0"/>
                <w:bCs w:val="0"/>
                <w:color w:val="auto"/>
                <w:kern w:val="2"/>
                <w:sz w:val="15"/>
                <w:szCs w:val="15"/>
              </w:rPr>
            </w:pPr>
            <w:r>
              <w:rPr>
                <w:rFonts w:hint="eastAsia" w:ascii="Times New Roman" w:hAnsi="Times New Roman" w:eastAsia="宋体" w:cs="Times New Roman"/>
                <w:b w:val="0"/>
                <w:bCs w:val="0"/>
                <w:color w:val="auto"/>
                <w:kern w:val="2"/>
                <w:sz w:val="15"/>
                <w:szCs w:val="15"/>
                <w:lang w:eastAsia="zh-CN"/>
              </w:rPr>
              <w:t>青海省格尔木市拉宁灶火多金属矿普查项目</w:t>
            </w: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项目代码</w:t>
            </w: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建设地点</w:t>
            </w:r>
          </w:p>
        </w:tc>
        <w:tc>
          <w:tcPr>
            <w:tcW w:w="2477" w:type="dxa"/>
            <w:gridSpan w:val="5"/>
            <w:noWrap w:val="0"/>
            <w:tcMar>
              <w:left w:w="57" w:type="dxa"/>
              <w:right w:w="57" w:type="dxa"/>
            </w:tcMar>
            <w:vAlign w:val="center"/>
          </w:tcPr>
          <w:p>
            <w:pPr>
              <w:pStyle w:val="86"/>
              <w:numPr>
                <w:ilvl w:val="0"/>
                <w:numId w:val="0"/>
              </w:numPr>
              <w:spacing w:line="360" w:lineRule="auto"/>
              <w:jc w:val="center"/>
              <w:rPr>
                <w:rFonts w:hint="default" w:ascii="Times New Roman" w:hAnsi="Times New Roman" w:cs="Times New Roman"/>
                <w:color w:val="auto"/>
                <w:kern w:val="2"/>
                <w:sz w:val="15"/>
                <w:szCs w:val="15"/>
              </w:rPr>
            </w:pPr>
            <w:r>
              <w:rPr>
                <w:rFonts w:hint="default" w:ascii="Times New Roman" w:hAnsi="Times New Roman" w:cs="Times New Roman"/>
                <w:color w:val="auto"/>
                <w:kern w:val="2"/>
                <w:sz w:val="15"/>
                <w:szCs w:val="15"/>
              </w:rPr>
              <w:t>青海省格尔木市乌图美仁乡</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263"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行业类别（分类管理名录）</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eastAsia="zh-CN"/>
              </w:rPr>
            </w:pPr>
            <w:r>
              <w:rPr>
                <w:rFonts w:hint="default" w:ascii="Times New Roman" w:hAnsi="Times New Roman" w:eastAsia="宋体" w:cs="Times New Roman"/>
                <w:b w:val="0"/>
                <w:bCs w:val="0"/>
                <w:color w:val="auto"/>
                <w:kern w:val="2"/>
                <w:sz w:val="15"/>
                <w:szCs w:val="15"/>
                <w:lang w:eastAsia="zh-CN"/>
              </w:rPr>
              <w:t>四十六、</w:t>
            </w:r>
            <w:r>
              <w:rPr>
                <w:rFonts w:hint="default" w:ascii="Times New Roman" w:hAnsi="Times New Roman" w:eastAsia="宋体" w:cs="Times New Roman"/>
                <w:b w:val="0"/>
                <w:bCs w:val="0"/>
                <w:color w:val="auto"/>
                <w:kern w:val="2"/>
                <w:sz w:val="15"/>
                <w:szCs w:val="15"/>
                <w:lang w:val="en-US" w:eastAsia="zh-CN"/>
              </w:rPr>
              <w:t xml:space="preserve">99 </w:t>
            </w:r>
            <w:r>
              <w:rPr>
                <w:rFonts w:hint="default" w:ascii="Times New Roman" w:hAnsi="Times New Roman" w:eastAsia="宋体" w:cs="Times New Roman"/>
                <w:b w:val="0"/>
                <w:bCs w:val="0"/>
                <w:color w:val="auto"/>
                <w:kern w:val="2"/>
                <w:sz w:val="15"/>
                <w:szCs w:val="15"/>
                <w:lang w:eastAsia="zh-CN"/>
              </w:rPr>
              <w:t>陆地矿产资源地质勘查</w:t>
            </w:r>
            <w:r>
              <w:rPr>
                <w:rFonts w:hint="default" w:ascii="Times New Roman" w:hAnsi="Times New Roman" w:eastAsia="宋体" w:cs="Times New Roman"/>
                <w:b w:val="0"/>
                <w:bCs w:val="0"/>
                <w:color w:val="auto"/>
                <w:kern w:val="2"/>
                <w:sz w:val="15"/>
                <w:szCs w:val="15"/>
                <w:lang w:val="en-US" w:eastAsia="zh-CN"/>
              </w:rPr>
              <w:t>（含油气资源勘探）</w:t>
            </w: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建设性质</w:t>
            </w:r>
          </w:p>
        </w:tc>
        <w:tc>
          <w:tcPr>
            <w:tcW w:w="6538" w:type="dxa"/>
            <w:gridSpan w:val="8"/>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lang w:eastAsia="zh-CN"/>
              </w:rPr>
              <w:sym w:font="Wingdings 2" w:char="0052"/>
            </w:r>
            <w:r>
              <w:rPr>
                <w:rFonts w:hint="default" w:ascii="Times New Roman" w:hAnsi="Times New Roman" w:cs="Times New Roman"/>
                <w:b/>
                <w:color w:val="auto"/>
                <w:kern w:val="2"/>
                <w:sz w:val="15"/>
                <w:szCs w:val="15"/>
              </w:rPr>
              <w:t xml:space="preserve">新建  </w:t>
            </w:r>
            <w:r>
              <w:rPr>
                <w:rFonts w:hint="default" w:ascii="Times New Roman" w:hAnsi="Times New Roman" w:cs="Times New Roman"/>
                <w:b/>
                <w:color w:val="auto"/>
                <w:kern w:val="2"/>
                <w:sz w:val="15"/>
                <w:szCs w:val="15"/>
                <w:lang w:eastAsia="zh-CN"/>
              </w:rPr>
              <w:sym w:font="Wingdings 2" w:char="00A3"/>
            </w:r>
            <w:r>
              <w:rPr>
                <w:rFonts w:hint="default" w:ascii="Times New Roman" w:hAnsi="Times New Roman" w:cs="Times New Roman"/>
                <w:b/>
                <w:color w:val="auto"/>
                <w:kern w:val="2"/>
                <w:sz w:val="15"/>
                <w:szCs w:val="15"/>
              </w:rPr>
              <w:t>改扩建  □技术改造</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49"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eastAsia="zh-CN"/>
              </w:rPr>
            </w:pPr>
            <w:r>
              <w:rPr>
                <w:rFonts w:hint="default" w:ascii="Times New Roman" w:hAnsi="Times New Roman" w:cs="Times New Roman"/>
                <w:b/>
                <w:color w:val="auto"/>
                <w:kern w:val="2"/>
                <w:sz w:val="15"/>
                <w:szCs w:val="15"/>
              </w:rPr>
              <w:t>设计生产</w:t>
            </w:r>
            <w:r>
              <w:rPr>
                <w:rFonts w:hint="default" w:ascii="Times New Roman" w:hAnsi="Times New Roman" w:cs="Times New Roman"/>
                <w:b/>
                <w:color w:val="auto"/>
                <w:kern w:val="2"/>
                <w:sz w:val="15"/>
                <w:szCs w:val="15"/>
                <w:lang w:eastAsia="zh-CN"/>
              </w:rPr>
              <w:t>规模</w:t>
            </w:r>
          </w:p>
        </w:tc>
        <w:tc>
          <w:tcPr>
            <w:tcW w:w="4771"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eastAsia="zh-CN"/>
              </w:rPr>
            </w:pP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eastAsia="zh-CN"/>
              </w:rPr>
            </w:pPr>
            <w:r>
              <w:rPr>
                <w:rFonts w:hint="default" w:ascii="Times New Roman" w:hAnsi="Times New Roman" w:cs="Times New Roman"/>
                <w:b/>
                <w:bCs/>
                <w:color w:val="auto"/>
                <w:kern w:val="2"/>
                <w:sz w:val="15"/>
                <w:szCs w:val="15"/>
                <w:lang w:val="en-US" w:eastAsia="zh-CN"/>
              </w:rPr>
              <w:t>实际生产规模</w:t>
            </w: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bCs/>
                <w:color w:val="0000FF"/>
                <w:kern w:val="2"/>
                <w:sz w:val="15"/>
                <w:szCs w:val="15"/>
                <w:lang w:val="en-US" w:eastAsia="zh-CN"/>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eastAsia="zh-CN"/>
              </w:rPr>
            </w:pPr>
            <w:r>
              <w:rPr>
                <w:rFonts w:hint="default" w:ascii="Times New Roman" w:hAnsi="Times New Roman" w:cs="Times New Roman"/>
                <w:b/>
                <w:bCs/>
                <w:color w:val="auto"/>
                <w:kern w:val="2"/>
                <w:sz w:val="15"/>
                <w:szCs w:val="15"/>
                <w:lang w:val="en-US" w:eastAsia="zh-CN"/>
              </w:rPr>
              <w:t>环评单位</w:t>
            </w:r>
          </w:p>
        </w:tc>
        <w:tc>
          <w:tcPr>
            <w:tcW w:w="2477"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220"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环评文件审批机关</w:t>
            </w:r>
          </w:p>
        </w:tc>
        <w:tc>
          <w:tcPr>
            <w:tcW w:w="4771"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rPr>
            </w:pPr>
            <w:r>
              <w:rPr>
                <w:rFonts w:hint="eastAsia" w:ascii="Times New Roman" w:hAnsi="Times New Roman" w:eastAsia="宋体" w:cs="Times New Roman"/>
                <w:b w:val="0"/>
                <w:bCs w:val="0"/>
                <w:color w:val="auto"/>
                <w:kern w:val="2"/>
                <w:sz w:val="15"/>
                <w:szCs w:val="15"/>
                <w:lang w:val="en-US" w:eastAsia="zh-CN"/>
              </w:rPr>
              <w:t>格尔木</w:t>
            </w:r>
            <w:r>
              <w:rPr>
                <w:rFonts w:hint="default" w:ascii="Times New Roman" w:hAnsi="Times New Roman" w:eastAsia="宋体" w:cs="Times New Roman"/>
                <w:b w:val="0"/>
                <w:bCs w:val="0"/>
                <w:color w:val="auto"/>
                <w:kern w:val="2"/>
                <w:sz w:val="15"/>
                <w:szCs w:val="15"/>
                <w:lang w:val="en-US" w:eastAsia="zh-CN"/>
              </w:rPr>
              <w:t>市</w:t>
            </w:r>
            <w:r>
              <w:rPr>
                <w:rFonts w:hint="default" w:ascii="Times New Roman" w:hAnsi="Times New Roman" w:eastAsia="宋体" w:cs="Times New Roman"/>
                <w:b w:val="0"/>
                <w:bCs w:val="0"/>
                <w:color w:val="auto"/>
                <w:kern w:val="2"/>
                <w:sz w:val="15"/>
                <w:szCs w:val="15"/>
                <w:lang w:val="en-US" w:eastAsia="zh-CN"/>
              </w:rPr>
              <w:t>生态环</w:t>
            </w:r>
            <w:r>
              <w:rPr>
                <w:rFonts w:hint="default" w:ascii="Times New Roman" w:hAnsi="Times New Roman" w:eastAsia="宋体" w:cs="Times New Roman"/>
                <w:b w:val="0"/>
                <w:bCs w:val="0"/>
                <w:color w:val="auto"/>
                <w:kern w:val="2"/>
                <w:sz w:val="15"/>
                <w:szCs w:val="15"/>
                <w:lang w:val="en-US" w:eastAsia="zh-CN"/>
              </w:rPr>
              <w:t>境</w:t>
            </w:r>
            <w:r>
              <w:rPr>
                <w:rFonts w:hint="default" w:ascii="Times New Roman" w:hAnsi="Times New Roman" w:eastAsia="宋体" w:cs="Times New Roman"/>
                <w:b w:val="0"/>
                <w:bCs w:val="0"/>
                <w:color w:val="auto"/>
                <w:kern w:val="2"/>
                <w:sz w:val="15"/>
                <w:szCs w:val="15"/>
                <w:lang w:val="en-US" w:eastAsia="zh-CN"/>
              </w:rPr>
              <w:t>局</w:t>
            </w: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审批文号</w:t>
            </w:r>
          </w:p>
        </w:tc>
        <w:tc>
          <w:tcPr>
            <w:tcW w:w="2171" w:type="dxa"/>
            <w:noWrap w:val="0"/>
            <w:tcMar>
              <w:left w:w="57" w:type="dxa"/>
              <w:right w:w="57" w:type="dxa"/>
            </w:tcMar>
            <w:vAlign w:val="center"/>
          </w:tcPr>
          <w:p>
            <w:pPr>
              <w:pStyle w:val="178"/>
              <w:spacing w:before="5" w:line="291" w:lineRule="exact"/>
              <w:ind w:left="225" w:right="212"/>
              <w:jc w:val="center"/>
              <w:rPr>
                <w:rFonts w:hint="default" w:ascii="Times New Roman" w:hAnsi="Times New Roman" w:eastAsia="宋体" w:cs="Times New Roman"/>
                <w:b w:val="0"/>
                <w:bCs w:val="0"/>
                <w:color w:val="auto"/>
                <w:kern w:val="2"/>
                <w:sz w:val="15"/>
                <w:szCs w:val="15"/>
                <w:lang w:val="en-US" w:eastAsia="zh-CN" w:bidi="ar-SA"/>
              </w:rPr>
            </w:pPr>
            <w:r>
              <w:rPr>
                <w:rFonts w:hint="eastAsia" w:ascii="Times New Roman" w:hAnsi="Times New Roman" w:eastAsia="宋体" w:cs="Times New Roman"/>
                <w:b w:val="0"/>
                <w:bCs w:val="0"/>
                <w:color w:val="auto"/>
                <w:kern w:val="2"/>
                <w:sz w:val="15"/>
                <w:szCs w:val="15"/>
                <w:lang w:val="en-US" w:eastAsia="zh-CN" w:bidi="ar-SA"/>
              </w:rPr>
              <w:t>格环发</w:t>
            </w:r>
            <w:r>
              <w:rPr>
                <w:rFonts w:hint="default" w:ascii="Times New Roman" w:hAnsi="Times New Roman" w:eastAsia="宋体" w:cs="Times New Roman"/>
                <w:b w:val="0"/>
                <w:bCs w:val="0"/>
                <w:color w:val="auto"/>
                <w:kern w:val="2"/>
                <w:sz w:val="15"/>
                <w:szCs w:val="15"/>
                <w:lang w:val="en-US" w:eastAsia="zh-CN" w:bidi="ar-SA"/>
              </w:rPr>
              <w:t>[20</w:t>
            </w:r>
            <w:r>
              <w:rPr>
                <w:rFonts w:hint="eastAsia" w:ascii="Times New Roman" w:hAnsi="Times New Roman" w:eastAsia="宋体" w:cs="Times New Roman"/>
                <w:b w:val="0"/>
                <w:bCs w:val="0"/>
                <w:color w:val="auto"/>
                <w:kern w:val="2"/>
                <w:sz w:val="15"/>
                <w:szCs w:val="15"/>
                <w:lang w:val="en-US" w:eastAsia="zh-CN" w:bidi="ar-SA"/>
              </w:rPr>
              <w:t>19</w:t>
            </w:r>
            <w:r>
              <w:rPr>
                <w:rFonts w:hint="default" w:ascii="Times New Roman" w:hAnsi="Times New Roman" w:eastAsia="宋体" w:cs="Times New Roman"/>
                <w:b w:val="0"/>
                <w:bCs w:val="0"/>
                <w:color w:val="auto"/>
                <w:kern w:val="2"/>
                <w:sz w:val="15"/>
                <w:szCs w:val="15"/>
                <w:lang w:val="en-US" w:eastAsia="zh-CN" w:bidi="ar-SA"/>
              </w:rPr>
              <w:t>]</w:t>
            </w:r>
            <w:r>
              <w:rPr>
                <w:rFonts w:hint="eastAsia" w:ascii="Times New Roman" w:hAnsi="Times New Roman" w:eastAsia="宋体" w:cs="Times New Roman"/>
                <w:b w:val="0"/>
                <w:bCs w:val="0"/>
                <w:color w:val="auto"/>
                <w:kern w:val="2"/>
                <w:sz w:val="15"/>
                <w:szCs w:val="15"/>
                <w:lang w:val="en-US" w:eastAsia="zh-CN" w:bidi="ar-SA"/>
              </w:rPr>
              <w:t>9</w:t>
            </w:r>
            <w:r>
              <w:rPr>
                <w:rFonts w:hint="default" w:ascii="Times New Roman" w:hAnsi="Times New Roman" w:eastAsia="宋体" w:cs="Times New Roman"/>
                <w:b w:val="0"/>
                <w:bCs w:val="0"/>
                <w:color w:val="auto"/>
                <w:kern w:val="2"/>
                <w:sz w:val="15"/>
                <w:szCs w:val="15"/>
                <w:lang w:val="en-US" w:eastAsia="zh-CN" w:bidi="ar-SA"/>
              </w:rPr>
              <w:t>号</w:t>
            </w: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环评文件类型</w:t>
            </w:r>
          </w:p>
        </w:tc>
        <w:tc>
          <w:tcPr>
            <w:tcW w:w="2477"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bCs/>
                <w:color w:val="auto"/>
                <w:kern w:val="2"/>
                <w:sz w:val="15"/>
                <w:szCs w:val="15"/>
              </w:rPr>
            </w:pPr>
            <w:r>
              <w:rPr>
                <w:rFonts w:hint="default" w:ascii="Times New Roman" w:hAnsi="Times New Roman" w:eastAsia="宋体" w:cs="Times New Roman"/>
                <w:b w:val="0"/>
                <w:bCs w:val="0"/>
                <w:color w:val="auto"/>
                <w:kern w:val="2"/>
                <w:sz w:val="15"/>
                <w:szCs w:val="15"/>
                <w:lang w:val="en-US" w:eastAsia="zh-CN"/>
              </w:rPr>
              <w:t>环境影响报告表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67"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开工日期</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bCs/>
                <w:color w:val="auto"/>
                <w:kern w:val="2"/>
                <w:sz w:val="15"/>
                <w:szCs w:val="15"/>
                <w:lang w:val="en-US" w:eastAsia="zh-CN"/>
              </w:rPr>
            </w:pPr>
          </w:p>
        </w:tc>
        <w:tc>
          <w:tcPr>
            <w:tcW w:w="1923" w:type="dxa"/>
            <w:gridSpan w:val="2"/>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bCs/>
                <w:color w:val="auto"/>
                <w:kern w:val="2"/>
                <w:sz w:val="15"/>
                <w:szCs w:val="15"/>
                <w:lang w:val="en-US" w:eastAsia="zh-CN"/>
              </w:rPr>
              <w:t>竣工日期</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排污许可证申领时间</w:t>
            </w:r>
          </w:p>
        </w:tc>
        <w:tc>
          <w:tcPr>
            <w:tcW w:w="2477"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0000FF"/>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47"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建设地点坐标（中心点） </w:t>
            </w:r>
          </w:p>
        </w:tc>
        <w:tc>
          <w:tcPr>
            <w:tcW w:w="4771"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lang w:val="en-US" w:eastAsia="zh-CN"/>
              </w:rPr>
            </w:pP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 xml:space="preserve"> 线性工程长度（千米） </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bidi="ar-SA"/>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起始点经纬度</w:t>
            </w:r>
          </w:p>
        </w:tc>
        <w:tc>
          <w:tcPr>
            <w:tcW w:w="2477"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bCs/>
                <w:color w:val="0000FF"/>
                <w:kern w:val="2"/>
                <w:sz w:val="15"/>
                <w:szCs w:val="15"/>
                <w:lang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69"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环保设施设计单位</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bCs/>
                <w:color w:val="auto"/>
                <w:kern w:val="2"/>
                <w:sz w:val="15"/>
                <w:szCs w:val="15"/>
              </w:rPr>
            </w:pP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sz w:val="15"/>
                <w:szCs w:val="15"/>
              </w:rPr>
            </w:pPr>
            <w:r>
              <w:rPr>
                <w:rFonts w:hint="default" w:ascii="Times New Roman" w:hAnsi="Times New Roman" w:cs="Times New Roman"/>
                <w:b/>
                <w:bCs/>
                <w:color w:val="auto"/>
                <w:sz w:val="15"/>
                <w:szCs w:val="15"/>
              </w:rPr>
              <w:t>环保设施施工单位</w:t>
            </w: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本工程排污许可证编号</w:t>
            </w:r>
          </w:p>
        </w:tc>
        <w:tc>
          <w:tcPr>
            <w:tcW w:w="2477"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0000FF"/>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验收单位</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fldChar w:fldCharType="begin"/>
            </w:r>
            <w:r>
              <w:rPr>
                <w:rFonts w:hint="default" w:ascii="Times New Roman" w:hAnsi="Times New Roman" w:eastAsia="宋体" w:cs="Times New Roman"/>
                <w:b w:val="0"/>
                <w:bCs w:val="0"/>
                <w:color w:val="auto"/>
                <w:kern w:val="2"/>
                <w:sz w:val="15"/>
                <w:szCs w:val="15"/>
                <w:lang w:val="en-US" w:eastAsia="zh-CN"/>
              </w:rPr>
              <w:instrText xml:space="preserve"> HYPERLINK "https://aiqicha.baidu.com/detail/compinfo?pid=28803338399640&amp;rq=ef&amp;pd=ee&amp;from=ps" \t "https://www.baidu.com/_blank" </w:instrText>
            </w:r>
            <w:r>
              <w:rPr>
                <w:rFonts w:hint="default" w:ascii="Times New Roman" w:hAnsi="Times New Roman" w:eastAsia="宋体" w:cs="Times New Roman"/>
                <w:b w:val="0"/>
                <w:bCs w:val="0"/>
                <w:color w:val="auto"/>
                <w:kern w:val="2"/>
                <w:sz w:val="15"/>
                <w:szCs w:val="15"/>
                <w:lang w:val="en-US" w:eastAsia="zh-CN"/>
              </w:rPr>
              <w:fldChar w:fldCharType="separate"/>
            </w:r>
            <w:r>
              <w:rPr>
                <w:rFonts w:hint="default" w:ascii="Times New Roman" w:hAnsi="Times New Roman" w:eastAsia="宋体" w:cs="Times New Roman"/>
                <w:b w:val="0"/>
                <w:bCs w:val="0"/>
                <w:color w:val="auto"/>
                <w:kern w:val="2"/>
                <w:sz w:val="15"/>
                <w:szCs w:val="15"/>
                <w:lang w:val="en-US" w:eastAsia="zh-CN"/>
              </w:rPr>
              <w:t>青海国勘工程咨询有限公司</w:t>
            </w:r>
            <w:r>
              <w:rPr>
                <w:rFonts w:hint="default" w:ascii="Times New Roman" w:hAnsi="Times New Roman" w:eastAsia="宋体" w:cs="Times New Roman"/>
                <w:b w:val="0"/>
                <w:bCs w:val="0"/>
                <w:color w:val="auto"/>
                <w:kern w:val="2"/>
                <w:sz w:val="15"/>
                <w:szCs w:val="15"/>
                <w:lang w:val="en-US" w:eastAsia="zh-CN"/>
              </w:rPr>
              <w:fldChar w:fldCharType="end"/>
            </w: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环保设施监测单位</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验收监测时工况</w:t>
            </w:r>
          </w:p>
        </w:tc>
        <w:tc>
          <w:tcPr>
            <w:tcW w:w="2477" w:type="dxa"/>
            <w:gridSpan w:val="5"/>
            <w:noWrap w:val="0"/>
            <w:tcMar>
              <w:left w:w="57" w:type="dxa"/>
              <w:right w:w="57" w:type="dxa"/>
            </w:tcMar>
            <w:vAlign w:val="center"/>
          </w:tcPr>
          <w:p>
            <w:pPr>
              <w:spacing w:after="0" w:afterLines="0"/>
              <w:jc w:val="center"/>
              <w:rPr>
                <w:rFonts w:hint="default" w:ascii="Times New Roman" w:hAnsi="Times New Roman" w:cs="Times New Roman"/>
                <w:b/>
                <w:bCs/>
                <w:color w:val="0000FF"/>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28"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投资总概算（万元）</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3131.68</w:t>
            </w:r>
          </w:p>
        </w:tc>
        <w:tc>
          <w:tcPr>
            <w:tcW w:w="1923" w:type="dxa"/>
            <w:gridSpan w:val="2"/>
            <w:noWrap w:val="0"/>
            <w:tcMar>
              <w:left w:w="57" w:type="dxa"/>
              <w:right w:w="57" w:type="dxa"/>
            </w:tcMar>
            <w:vAlign w:val="center"/>
          </w:tcPr>
          <w:p>
            <w:pPr>
              <w:tabs>
                <w:tab w:val="left" w:pos="690"/>
              </w:tabs>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环保投资总概算（万元）</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38.93</w:t>
            </w:r>
          </w:p>
        </w:tc>
        <w:tc>
          <w:tcPr>
            <w:tcW w:w="1890" w:type="dxa"/>
            <w:gridSpan w:val="2"/>
            <w:noWrap w:val="0"/>
            <w:tcMar>
              <w:left w:w="57" w:type="dxa"/>
              <w:right w:w="57" w:type="dxa"/>
            </w:tcMar>
            <w:vAlign w:val="center"/>
          </w:tcPr>
          <w:p>
            <w:pPr>
              <w:tabs>
                <w:tab w:val="left" w:pos="690"/>
              </w:tabs>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所占比例（%）</w:t>
            </w:r>
          </w:p>
        </w:tc>
        <w:tc>
          <w:tcPr>
            <w:tcW w:w="2477"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1.</w:t>
            </w:r>
            <w:r>
              <w:rPr>
                <w:rFonts w:hint="eastAsia" w:ascii="Times New Roman" w:hAnsi="Times New Roman" w:eastAsia="宋体" w:cs="Times New Roman"/>
                <w:b w:val="0"/>
                <w:bCs w:val="0"/>
                <w:color w:val="auto"/>
                <w:kern w:val="2"/>
                <w:sz w:val="15"/>
                <w:szCs w:val="15"/>
                <w:lang w:val="en-US" w:eastAsia="zh-CN"/>
              </w:rPr>
              <w:t>24</w:t>
            </w:r>
            <w:r>
              <w:rPr>
                <w:rFonts w:hint="default" w:ascii="Times New Roman" w:hAnsi="Times New Roman" w:eastAsia="宋体" w:cs="Times New Roman"/>
                <w:b w:val="0"/>
                <w:b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09"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实际总投资</w:t>
            </w:r>
          </w:p>
        </w:tc>
        <w:tc>
          <w:tcPr>
            <w:tcW w:w="4771"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3131.68</w:t>
            </w:r>
          </w:p>
        </w:tc>
        <w:tc>
          <w:tcPr>
            <w:tcW w:w="1923" w:type="dxa"/>
            <w:gridSpan w:val="2"/>
            <w:noWrap w:val="0"/>
            <w:tcMar>
              <w:left w:w="57" w:type="dxa"/>
              <w:right w:w="57" w:type="dxa"/>
            </w:tcMar>
            <w:vAlign w:val="center"/>
          </w:tcPr>
          <w:p>
            <w:pPr>
              <w:spacing w:after="0" w:afterLines="0"/>
              <w:ind w:right="30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lang w:val="en-US" w:eastAsia="zh-CN"/>
              </w:rPr>
              <w:t xml:space="preserve">  </w:t>
            </w:r>
            <w:r>
              <w:rPr>
                <w:rFonts w:hint="default" w:ascii="Times New Roman" w:hAnsi="Times New Roman" w:cs="Times New Roman"/>
                <w:b/>
                <w:bCs/>
                <w:color w:val="auto"/>
                <w:kern w:val="2"/>
                <w:sz w:val="15"/>
                <w:szCs w:val="15"/>
              </w:rPr>
              <w:t>实际环保投资（万元）</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38.93</w:t>
            </w: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bCs/>
                <w:color w:val="auto"/>
                <w:kern w:val="2"/>
                <w:sz w:val="15"/>
                <w:szCs w:val="15"/>
              </w:rPr>
            </w:pPr>
            <w:r>
              <w:rPr>
                <w:rFonts w:hint="default" w:ascii="Times New Roman" w:hAnsi="Times New Roman" w:cs="Times New Roman"/>
                <w:b/>
                <w:bCs/>
                <w:color w:val="auto"/>
                <w:kern w:val="2"/>
                <w:sz w:val="15"/>
                <w:szCs w:val="15"/>
              </w:rPr>
              <w:t>所占比例（%）</w:t>
            </w:r>
          </w:p>
        </w:tc>
        <w:tc>
          <w:tcPr>
            <w:tcW w:w="2477" w:type="dxa"/>
            <w:gridSpan w:val="5"/>
            <w:noWrap w:val="0"/>
            <w:tcMar>
              <w:left w:w="57" w:type="dxa"/>
              <w:right w:w="57" w:type="dxa"/>
            </w:tcMar>
            <w:vAlign w:val="center"/>
          </w:tcPr>
          <w:p>
            <w:pPr>
              <w:spacing w:after="0" w:afterLines="0"/>
              <w:jc w:val="center"/>
              <w:rPr>
                <w:rFonts w:hint="default" w:ascii="Times New Roman" w:hAnsi="Times New Roman" w:eastAsia="宋体" w:cs="Times New Roman"/>
                <w:b w:val="0"/>
                <w:bCs w:val="0"/>
                <w:color w:val="auto"/>
                <w:kern w:val="2"/>
                <w:sz w:val="15"/>
                <w:szCs w:val="15"/>
                <w:lang w:val="en-US" w:eastAsia="zh-CN"/>
              </w:rPr>
            </w:pPr>
            <w:r>
              <w:rPr>
                <w:rFonts w:hint="default" w:ascii="Times New Roman" w:hAnsi="Times New Roman" w:eastAsia="宋体" w:cs="Times New Roman"/>
                <w:b w:val="0"/>
                <w:bCs w:val="0"/>
                <w:color w:val="auto"/>
                <w:kern w:val="2"/>
                <w:sz w:val="15"/>
                <w:szCs w:val="15"/>
                <w:lang w:val="en-US" w:eastAsia="zh-CN"/>
              </w:rPr>
              <w:t>1.</w:t>
            </w:r>
            <w:r>
              <w:rPr>
                <w:rFonts w:hint="eastAsia" w:ascii="Times New Roman" w:hAnsi="Times New Roman" w:eastAsia="宋体" w:cs="Times New Roman"/>
                <w:b w:val="0"/>
                <w:bCs w:val="0"/>
                <w:color w:val="auto"/>
                <w:kern w:val="2"/>
                <w:sz w:val="15"/>
                <w:szCs w:val="15"/>
                <w:lang w:val="en-US" w:eastAsia="zh-CN"/>
              </w:rPr>
              <w:t>24</w:t>
            </w:r>
            <w:r>
              <w:rPr>
                <w:rFonts w:hint="default" w:ascii="Times New Roman" w:hAnsi="Times New Roman" w:eastAsia="宋体" w:cs="Times New Roman"/>
                <w:b w:val="0"/>
                <w:bCs w:val="0"/>
                <w:color w:val="auto"/>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1"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废水治理（万元）</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废气治理（万元）</w:t>
            </w:r>
          </w:p>
        </w:tc>
        <w:tc>
          <w:tcPr>
            <w:tcW w:w="70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127"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噪声治理（万元）</w:t>
            </w: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固体废物治理（万元）</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绿化及生态（万元）</w:t>
            </w:r>
          </w:p>
        </w:tc>
        <w:tc>
          <w:tcPr>
            <w:tcW w:w="589"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其他（万元）</w:t>
            </w:r>
          </w:p>
        </w:tc>
        <w:tc>
          <w:tcPr>
            <w:tcW w:w="738"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9" w:hRule="atLeast"/>
          <w:jc w:val="center"/>
        </w:trPr>
        <w:tc>
          <w:tcPr>
            <w:tcW w:w="430" w:type="dxa"/>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88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新增废水处理设施能力</w:t>
            </w:r>
          </w:p>
        </w:tc>
        <w:tc>
          <w:tcPr>
            <w:tcW w:w="4771" w:type="dxa"/>
            <w:gridSpan w:val="5"/>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923"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新增废气处理设施能力</w:t>
            </w: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年平均工作时</w:t>
            </w:r>
          </w:p>
        </w:tc>
        <w:tc>
          <w:tcPr>
            <w:tcW w:w="2477" w:type="dxa"/>
            <w:gridSpan w:val="5"/>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311" w:hRule="atLeast"/>
          <w:jc w:val="center"/>
        </w:trPr>
        <w:tc>
          <w:tcPr>
            <w:tcW w:w="2312"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运营单位</w:t>
            </w:r>
          </w:p>
        </w:tc>
        <w:tc>
          <w:tcPr>
            <w:tcW w:w="3540" w:type="dxa"/>
            <w:gridSpan w:val="4"/>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eastAsia="zh-CN"/>
              </w:rPr>
            </w:pPr>
            <w:r>
              <w:rPr>
                <w:rFonts w:hint="eastAsia" w:ascii="Times New Roman" w:hAnsi="Times New Roman" w:eastAsia="宋体" w:cs="Times New Roman"/>
                <w:b w:val="0"/>
                <w:bCs w:val="0"/>
                <w:color w:val="auto"/>
                <w:kern w:val="2"/>
                <w:sz w:val="15"/>
                <w:szCs w:val="15"/>
                <w:lang w:val="en-US" w:eastAsia="zh-CN"/>
              </w:rPr>
              <w:t xml:space="preserve">青海省投资集团有限公司    </w:t>
            </w:r>
          </w:p>
        </w:tc>
        <w:tc>
          <w:tcPr>
            <w:tcW w:w="3154" w:type="dxa"/>
            <w:gridSpan w:val="3"/>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运营单位社会统一信用代码（或组织机构代码）</w:t>
            </w:r>
          </w:p>
        </w:tc>
        <w:tc>
          <w:tcPr>
            <w:tcW w:w="2171" w:type="dxa"/>
            <w:noWrap w:val="0"/>
            <w:tcMar>
              <w:left w:w="57" w:type="dxa"/>
              <w:right w:w="57" w:type="dxa"/>
            </w:tcMar>
            <w:vAlign w:val="center"/>
          </w:tcPr>
          <w:p>
            <w:pPr>
              <w:spacing w:after="0" w:afterLines="0"/>
              <w:jc w:val="center"/>
              <w:rPr>
                <w:rFonts w:hint="default" w:ascii="Times New Roman" w:hAnsi="Times New Roman" w:eastAsia="宋体" w:cs="Times New Roman"/>
                <w:b/>
                <w:color w:val="auto"/>
                <w:kern w:val="2"/>
                <w:sz w:val="15"/>
                <w:szCs w:val="15"/>
                <w:lang w:val="en-US" w:eastAsia="zh-CN"/>
              </w:rPr>
            </w:pPr>
            <w:r>
              <w:rPr>
                <w:rFonts w:hint="default" w:ascii="Times New Roman" w:hAnsi="Times New Roman" w:eastAsia="宋体" w:cs="Times New Roman"/>
                <w:b w:val="0"/>
                <w:bCs/>
                <w:color w:val="auto"/>
                <w:kern w:val="2"/>
                <w:sz w:val="15"/>
                <w:szCs w:val="15"/>
                <w:lang w:val="en-US" w:eastAsia="zh-CN"/>
              </w:rPr>
              <w:t>11632126MB0P6009X6</w:t>
            </w:r>
          </w:p>
        </w:tc>
        <w:tc>
          <w:tcPr>
            <w:tcW w:w="189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验收时间</w:t>
            </w:r>
          </w:p>
        </w:tc>
        <w:tc>
          <w:tcPr>
            <w:tcW w:w="2477" w:type="dxa"/>
            <w:gridSpan w:val="5"/>
            <w:noWrap w:val="0"/>
            <w:tcMar>
              <w:left w:w="57" w:type="dxa"/>
              <w:right w:w="57" w:type="dxa"/>
            </w:tcMar>
            <w:vAlign w:val="center"/>
          </w:tcPr>
          <w:p>
            <w:pPr>
              <w:tabs>
                <w:tab w:val="left" w:pos="367"/>
              </w:tabs>
              <w:spacing w:after="0" w:afterLines="0"/>
              <w:jc w:val="center"/>
              <w:rPr>
                <w:rFonts w:hint="default" w:ascii="Times New Roman" w:hAnsi="Times New Roman" w:eastAsia="宋体" w:cs="Times New Roman"/>
                <w:color w:val="auto"/>
                <w:kern w:val="2"/>
                <w:sz w:val="15"/>
                <w:szCs w:val="15"/>
                <w:lang w:val="en-US" w:eastAsia="zh-CN"/>
              </w:rPr>
            </w:pPr>
            <w:r>
              <w:rPr>
                <w:rFonts w:hint="eastAsia" w:ascii="Times New Roman" w:hAnsi="Times New Roman" w:eastAsia="宋体" w:cs="Times New Roman"/>
                <w:color w:val="auto"/>
                <w:kern w:val="2"/>
                <w:sz w:val="15"/>
                <w:szCs w:val="15"/>
                <w:lang w:val="en-US" w:eastAsia="zh-CN"/>
              </w:rPr>
              <w:t>2024.3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425" w:hRule="atLeast"/>
          <w:jc w:val="center"/>
        </w:trPr>
        <w:tc>
          <w:tcPr>
            <w:tcW w:w="955" w:type="dxa"/>
            <w:gridSpan w:val="2"/>
            <w:vMerge w:val="restart"/>
            <w:noWrap w:val="0"/>
            <w:tcMar>
              <w:left w:w="57" w:type="dxa"/>
              <w:right w:w="57" w:type="dxa"/>
            </w:tcMar>
            <w:vAlign w:val="center"/>
          </w:tcPr>
          <w:p>
            <w:pPr>
              <w:spacing w:after="0" w:afterLines="0"/>
              <w:jc w:val="center"/>
              <w:rPr>
                <w:rFonts w:hint="default" w:ascii="Times New Roman" w:hAnsi="Times New Roman" w:eastAsia="黑体" w:cs="Times New Roman"/>
                <w:b/>
                <w:color w:val="auto"/>
                <w:spacing w:val="20"/>
                <w:kern w:val="2"/>
                <w:sz w:val="15"/>
                <w:szCs w:val="15"/>
              </w:rPr>
            </w:pPr>
            <w:r>
              <w:rPr>
                <w:rFonts w:hint="default" w:ascii="Times New Roman" w:hAnsi="Times New Roman" w:eastAsia="黑体" w:cs="Times New Roman"/>
                <w:b/>
                <w:color w:val="auto"/>
                <w:spacing w:val="20"/>
                <w:kern w:val="2"/>
                <w:sz w:val="15"/>
                <w:szCs w:val="15"/>
              </w:rPr>
              <w:t>污染物排放达标与总量控制（工业建设项目详填）</w:t>
            </w:r>
          </w:p>
        </w:tc>
        <w:tc>
          <w:tcPr>
            <w:tcW w:w="1357"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污染物</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原有排</w:t>
            </w:r>
          </w:p>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放量(1)</w:t>
            </w: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本期工程实际排放浓度(2)</w:t>
            </w: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本期工程允许排放浓度(3)</w:t>
            </w: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本期工程产生量(4)</w:t>
            </w: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本期工程自身削减量(5)</w:t>
            </w:r>
          </w:p>
        </w:tc>
        <w:tc>
          <w:tcPr>
            <w:tcW w:w="1132"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本期工程实际排放量(6)</w:t>
            </w: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本期工程核定排放总量(7)</w:t>
            </w: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本期工程“以新带老”削减量(8)</w:t>
            </w: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全厂实际排放总量(9)</w:t>
            </w: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全厂核定排放总量(10)</w:t>
            </w: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区域平衡替代削减量(11)</w:t>
            </w: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62"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r>
              <w:rPr>
                <w:rFonts w:hint="default" w:ascii="Times New Roman" w:hAnsi="Times New Roman" w:cs="Times New Roman"/>
                <w:b/>
                <w:color w:val="auto"/>
                <w:kern w:val="2"/>
                <w:sz w:val="15"/>
                <w:szCs w:val="15"/>
              </w:rPr>
              <w:t>废水</w:t>
            </w:r>
          </w:p>
        </w:tc>
        <w:tc>
          <w:tcPr>
            <w:tcW w:w="696"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896"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32" w:type="dxa"/>
            <w:noWrap w:val="0"/>
            <w:tcMar>
              <w:left w:w="57" w:type="dxa"/>
              <w:right w:w="57" w:type="dxa"/>
            </w:tcMar>
            <w:vAlign w:val="center"/>
          </w:tcPr>
          <w:p>
            <w:pPr>
              <w:spacing w:before="70" w:line="204" w:lineRule="auto"/>
              <w:ind w:firstLine="175" w:firstLineChars="0"/>
              <w:rPr>
                <w:rFonts w:hint="default" w:ascii="Times New Roman" w:hAnsi="Times New Roman" w:eastAsia="宋体" w:cs="Times New Roman"/>
                <w:color w:val="auto"/>
                <w:kern w:val="2"/>
                <w:sz w:val="15"/>
                <w:szCs w:val="15"/>
                <w:lang w:val="en-US" w:eastAsia="zh-CN"/>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34"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化学需氧量</w:t>
            </w:r>
          </w:p>
        </w:tc>
        <w:tc>
          <w:tcPr>
            <w:tcW w:w="696"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239"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132" w:type="dxa"/>
            <w:noWrap w:val="0"/>
            <w:tcMar>
              <w:left w:w="57" w:type="dxa"/>
              <w:right w:w="57" w:type="dxa"/>
            </w:tcMar>
            <w:vAlign w:val="center"/>
          </w:tcPr>
          <w:p>
            <w:pPr>
              <w:spacing w:before="80" w:line="200" w:lineRule="auto"/>
              <w:ind w:firstLine="223" w:firstLineChars="0"/>
              <w:rPr>
                <w:rFonts w:hint="default" w:ascii="Times New Roman" w:hAnsi="Times New Roman" w:cs="Times New Roman"/>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0"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氨氮</w:t>
            </w:r>
          </w:p>
        </w:tc>
        <w:tc>
          <w:tcPr>
            <w:tcW w:w="696"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239"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eastAsia="宋体" w:cs="Times New Roman"/>
                <w:color w:val="auto"/>
                <w:kern w:val="2"/>
                <w:sz w:val="15"/>
                <w:szCs w:val="15"/>
                <w:lang w:val="en-US" w:eastAsia="zh-CN"/>
              </w:rPr>
            </w:pPr>
          </w:p>
        </w:tc>
        <w:tc>
          <w:tcPr>
            <w:tcW w:w="1132" w:type="dxa"/>
            <w:noWrap w:val="0"/>
            <w:tcMar>
              <w:left w:w="57" w:type="dxa"/>
              <w:right w:w="57" w:type="dxa"/>
            </w:tcMar>
            <w:vAlign w:val="center"/>
          </w:tcPr>
          <w:p>
            <w:pPr>
              <w:spacing w:before="90" w:line="184" w:lineRule="auto"/>
              <w:ind w:firstLine="215" w:firstLineChars="0"/>
              <w:rPr>
                <w:rFonts w:hint="default" w:ascii="Times New Roman" w:hAnsi="Times New Roman" w:cs="Times New Roman"/>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34"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石油类</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32" w:type="dxa"/>
            <w:noWrap w:val="0"/>
            <w:tcMar>
              <w:left w:w="57" w:type="dxa"/>
              <w:right w:w="57" w:type="dxa"/>
            </w:tcMar>
            <w:vAlign w:val="center"/>
          </w:tcPr>
          <w:p>
            <w:pPr>
              <w:spacing w:line="209" w:lineRule="exact"/>
              <w:rPr>
                <w:rFonts w:hint="default" w:ascii="Times New Roman" w:hAnsi="Times New Roman" w:cs="Times New Roman"/>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0"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废气</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line="210" w:lineRule="exact"/>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二氧化硫</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before="101" w:line="167" w:lineRule="auto"/>
              <w:ind w:firstLine="185" w:firstLineChars="0"/>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烟尘</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before="91" w:line="198" w:lineRule="auto"/>
              <w:ind w:firstLine="195" w:firstLineChars="0"/>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7"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工业粉尘</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line="210" w:lineRule="exact"/>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6"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氮氧化物</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before="81" w:line="183" w:lineRule="auto"/>
              <w:ind w:firstLine="225" w:firstLineChars="0"/>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工业固体废物</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9"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其他特征污染物</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0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32"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79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171"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395"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9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150"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87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257" w:hRule="atLeast"/>
          <w:jc w:val="center"/>
        </w:trPr>
        <w:tc>
          <w:tcPr>
            <w:tcW w:w="955" w:type="dxa"/>
            <w:gridSpan w:val="2"/>
            <w:vMerge w:val="restart"/>
            <w:noWrap w:val="0"/>
            <w:tcMar>
              <w:left w:w="57" w:type="dxa"/>
              <w:right w:w="57" w:type="dxa"/>
            </w:tcMar>
            <w:vAlign w:val="center"/>
          </w:tcPr>
          <w:p>
            <w:pPr>
              <w:spacing w:after="0" w:afterLines="0"/>
              <w:ind w:left="113" w:right="113"/>
              <w:jc w:val="center"/>
              <w:rPr>
                <w:rFonts w:hint="default" w:ascii="Times New Roman" w:hAnsi="Times New Roman" w:eastAsia="宋体" w:cs="Times New Roman"/>
                <w:b/>
                <w:color w:val="auto"/>
                <w:kern w:val="2"/>
                <w:sz w:val="15"/>
                <w:szCs w:val="15"/>
              </w:rPr>
            </w:pPr>
            <w:r>
              <w:rPr>
                <w:rFonts w:hint="default" w:ascii="Times New Roman" w:hAnsi="Times New Roman" w:eastAsia="宋体" w:cs="Times New Roman"/>
                <w:b/>
                <w:color w:val="auto"/>
                <w:kern w:val="2"/>
                <w:sz w:val="15"/>
                <w:szCs w:val="15"/>
              </w:rPr>
              <w:t>生态影 响及 其</w:t>
            </w:r>
          </w:p>
          <w:p>
            <w:pPr>
              <w:spacing w:after="0" w:afterLines="0"/>
              <w:ind w:left="113" w:right="113"/>
              <w:jc w:val="center"/>
              <w:rPr>
                <w:rFonts w:hint="default" w:ascii="Times New Roman" w:hAnsi="Times New Roman" w:eastAsia="宋体" w:cs="Times New Roman"/>
                <w:b/>
                <w:color w:val="auto"/>
                <w:kern w:val="2"/>
                <w:sz w:val="15"/>
                <w:szCs w:val="15"/>
              </w:rPr>
            </w:pPr>
            <w:r>
              <w:rPr>
                <w:rFonts w:hint="default" w:ascii="Times New Roman" w:hAnsi="Times New Roman" w:eastAsia="宋体" w:cs="Times New Roman"/>
                <w:b/>
                <w:color w:val="auto"/>
                <w:kern w:val="2"/>
                <w:sz w:val="15"/>
                <w:szCs w:val="15"/>
              </w:rPr>
              <w:t>环 境保 护设 施</w:t>
            </w:r>
          </w:p>
          <w:p>
            <w:pPr>
              <w:spacing w:after="0" w:afterLines="0"/>
              <w:ind w:left="113" w:right="113"/>
              <w:jc w:val="center"/>
              <w:rPr>
                <w:rFonts w:hint="default" w:ascii="Times New Roman" w:hAnsi="Times New Roman" w:cs="Times New Roman"/>
                <w:color w:val="0000FF"/>
                <w:kern w:val="2"/>
                <w:sz w:val="15"/>
                <w:szCs w:val="15"/>
              </w:rPr>
            </w:pPr>
            <w:r>
              <w:rPr>
                <w:rFonts w:hint="default" w:ascii="Times New Roman" w:hAnsi="Times New Roman" w:eastAsia="宋体" w:cs="Times New Roman"/>
                <w:b/>
                <w:color w:val="auto"/>
                <w:kern w:val="2"/>
                <w:sz w:val="15"/>
                <w:szCs w:val="15"/>
              </w:rPr>
              <w:t>（生态 类项 目详填）</w:t>
            </w: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主要生态保护目标</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lang w:eastAsia="zh-CN"/>
              </w:rPr>
            </w:pPr>
            <w:r>
              <w:rPr>
                <w:rFonts w:hint="default" w:ascii="Times New Roman" w:hAnsi="Times New Roman" w:cs="Times New Roman"/>
                <w:b/>
                <w:color w:val="auto"/>
                <w:kern w:val="2"/>
                <w:sz w:val="15"/>
                <w:szCs w:val="15"/>
                <w:lang w:eastAsia="zh-CN"/>
              </w:rPr>
              <w:t>名称</w:t>
            </w: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lang w:val="en-US" w:eastAsia="zh-CN"/>
              </w:rPr>
            </w:pPr>
            <w:r>
              <w:rPr>
                <w:rFonts w:hint="default" w:ascii="Times New Roman" w:hAnsi="Times New Roman" w:cs="Times New Roman"/>
                <w:b/>
                <w:color w:val="auto"/>
                <w:kern w:val="2"/>
                <w:sz w:val="15"/>
                <w:szCs w:val="15"/>
                <w:lang w:eastAsia="zh-CN"/>
              </w:rPr>
              <w:t>位置</w:t>
            </w: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lang w:eastAsia="zh-CN"/>
              </w:rPr>
            </w:pPr>
            <w:r>
              <w:rPr>
                <w:rFonts w:hint="default" w:ascii="Times New Roman" w:hAnsi="Times New Roman" w:cs="Times New Roman"/>
                <w:b/>
                <w:color w:val="auto"/>
                <w:kern w:val="2"/>
                <w:sz w:val="15"/>
                <w:szCs w:val="15"/>
                <w:lang w:eastAsia="zh-CN"/>
              </w:rPr>
              <w:t>生态保护要求</w:t>
            </w: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项目生态影响</w:t>
            </w: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生态保护工程和设施  </w:t>
            </w: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生态保护措施</w:t>
            </w: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生态保护</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78"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生态敏感区</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0"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保护生物</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3"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土地资源</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农田</w:t>
            </w: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永久占地面积</w:t>
            </w: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恢复补偿面积 </w:t>
            </w: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恢复补偿形式</w:t>
            </w: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111"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696" w:type="dxa"/>
            <w:noWrap w:val="0"/>
            <w:tcMar>
              <w:left w:w="57" w:type="dxa"/>
              <w:right w:w="57" w:type="dxa"/>
            </w:tcMar>
            <w:vAlign w:val="center"/>
          </w:tcPr>
          <w:p>
            <w:pPr>
              <w:spacing w:after="0" w:afterLines="0"/>
              <w:jc w:val="center"/>
              <w:rPr>
                <w:rFonts w:hint="default" w:ascii="Times New Roman" w:hAnsi="Times New Roman" w:eastAsia="宋体" w:cs="Times New Roman"/>
                <w:b/>
                <w:color w:val="auto"/>
                <w:kern w:val="2"/>
                <w:sz w:val="15"/>
                <w:szCs w:val="15"/>
                <w:lang w:eastAsia="zh-CN"/>
              </w:rPr>
            </w:pPr>
            <w:r>
              <w:rPr>
                <w:rFonts w:hint="default" w:ascii="Times New Roman" w:hAnsi="Times New Roman" w:cs="Times New Roman"/>
                <w:b/>
                <w:color w:val="auto"/>
                <w:kern w:val="2"/>
                <w:sz w:val="15"/>
                <w:szCs w:val="15"/>
              </w:rPr>
              <w:t>草地</w:t>
            </w:r>
            <w:r>
              <w:rPr>
                <w:rFonts w:hint="default" w:ascii="Times New Roman" w:hAnsi="Times New Roman" w:cs="Times New Roman"/>
                <w:b/>
                <w:color w:val="auto"/>
                <w:kern w:val="2"/>
                <w:sz w:val="15"/>
                <w:szCs w:val="15"/>
                <w:lang w:eastAsia="zh-CN"/>
              </w:rPr>
              <w:t>等</w:t>
            </w: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永久占地面积</w:t>
            </w: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恢复补偿面积 </w:t>
            </w: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恢复补偿形式</w:t>
            </w: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0"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生态治理工程  </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工程治理面积</w:t>
            </w: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 xml:space="preserve">生物治理面积 </w:t>
            </w: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水土流失治理率</w:t>
            </w: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wAfter w:w="0" w:type="auto"/>
          <w:cantSplit/>
          <w:trHeight w:val="90" w:hRule="atLeast"/>
          <w:jc w:val="center"/>
        </w:trPr>
        <w:tc>
          <w:tcPr>
            <w:tcW w:w="955" w:type="dxa"/>
            <w:gridSpan w:val="2"/>
            <w:vMerge w:val="continue"/>
            <w:noWrap w:val="0"/>
            <w:tcMar>
              <w:left w:w="57" w:type="dxa"/>
              <w:right w:w="57" w:type="dxa"/>
            </w:tcMar>
            <w:vAlign w:val="center"/>
          </w:tcPr>
          <w:p>
            <w:pPr>
              <w:spacing w:after="0" w:afterLines="0"/>
              <w:jc w:val="center"/>
              <w:rPr>
                <w:rFonts w:hint="default" w:ascii="Times New Roman" w:hAnsi="Times New Roman" w:cs="Times New Roman"/>
                <w:color w:val="0000FF"/>
                <w:kern w:val="2"/>
                <w:sz w:val="15"/>
                <w:szCs w:val="15"/>
              </w:rPr>
            </w:pPr>
          </w:p>
        </w:tc>
        <w:tc>
          <w:tcPr>
            <w:tcW w:w="1357"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r>
              <w:rPr>
                <w:rFonts w:hint="default" w:ascii="Times New Roman" w:hAnsi="Times New Roman" w:cs="Times New Roman"/>
                <w:b/>
                <w:color w:val="auto"/>
                <w:kern w:val="2"/>
                <w:sz w:val="15"/>
                <w:szCs w:val="15"/>
              </w:rPr>
              <w:t>其他生态保护目标</w:t>
            </w:r>
          </w:p>
        </w:tc>
        <w:tc>
          <w:tcPr>
            <w:tcW w:w="696"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239" w:type="dxa"/>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1605"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63"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962" w:type="dxa"/>
            <w:gridSpan w:val="2"/>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345" w:type="dxa"/>
            <w:gridSpan w:val="3"/>
            <w:noWrap w:val="0"/>
            <w:tcMar>
              <w:left w:w="57" w:type="dxa"/>
              <w:right w:w="57" w:type="dxa"/>
            </w:tcMar>
            <w:vAlign w:val="center"/>
          </w:tcPr>
          <w:p>
            <w:pPr>
              <w:spacing w:after="0" w:afterLines="0"/>
              <w:jc w:val="center"/>
              <w:rPr>
                <w:rFonts w:hint="default" w:ascii="Times New Roman" w:hAnsi="Times New Roman" w:cs="Times New Roman"/>
                <w:b/>
                <w:color w:val="auto"/>
                <w:kern w:val="2"/>
                <w:sz w:val="15"/>
                <w:szCs w:val="15"/>
              </w:rPr>
            </w:pPr>
          </w:p>
        </w:tc>
        <w:tc>
          <w:tcPr>
            <w:tcW w:w="2022" w:type="dxa"/>
            <w:gridSpan w:val="4"/>
            <w:noWrap w:val="0"/>
            <w:tcMar>
              <w:left w:w="57" w:type="dxa"/>
              <w:right w:w="57" w:type="dxa"/>
            </w:tcMar>
            <w:vAlign w:val="center"/>
          </w:tcPr>
          <w:p>
            <w:pPr>
              <w:spacing w:after="0" w:afterLines="0"/>
              <w:jc w:val="center"/>
              <w:rPr>
                <w:rFonts w:hint="default" w:ascii="Times New Roman" w:hAnsi="Times New Roman" w:cs="Times New Roman"/>
                <w:color w:val="auto"/>
                <w:kern w:val="2"/>
                <w:sz w:val="15"/>
                <w:szCs w:val="15"/>
              </w:rPr>
            </w:pPr>
          </w:p>
        </w:tc>
      </w:tr>
    </w:tbl>
    <w:p>
      <w:pPr>
        <w:spacing w:after="0" w:afterLines="0"/>
        <w:rPr>
          <w:rFonts w:hint="default" w:ascii="Times New Roman" w:hAnsi="Times New Roman" w:cs="Times New Roman"/>
          <w:color w:val="auto"/>
          <w:sz w:val="13"/>
          <w:szCs w:val="13"/>
        </w:rPr>
        <w:sectPr>
          <w:headerReference r:id="rId14" w:type="default"/>
          <w:footerReference r:id="rId15" w:type="default"/>
          <w:footerReference r:id="rId16" w:type="even"/>
          <w:pgSz w:w="16838" w:h="11905" w:orient="landscape"/>
          <w:pgMar w:top="1474" w:right="1587" w:bottom="1361" w:left="1474" w:header="850" w:footer="1077" w:gutter="0"/>
          <w:paperSrc/>
          <w:pgBorders>
            <w:top w:val="none" w:sz="0" w:space="0"/>
            <w:left w:val="none" w:sz="0" w:space="0"/>
            <w:bottom w:val="none" w:sz="0" w:space="0"/>
            <w:right w:val="none" w:sz="0" w:space="0"/>
          </w:pgBorders>
          <w:pgNumType w:fmt="decimal"/>
          <w:cols w:space="720" w:num="1"/>
          <w:rtlGutter w:val="0"/>
          <w:docGrid w:linePitch="285" w:charSpace="0"/>
        </w:sectPr>
      </w:pPr>
      <w:r>
        <w:rPr>
          <w:rFonts w:hint="default" w:ascii="Times New Roman" w:hAnsi="Times New Roman" w:cs="Times New Roman"/>
          <w:b/>
          <w:color w:val="auto"/>
          <w:sz w:val="13"/>
          <w:szCs w:val="13"/>
        </w:rPr>
        <w:t>注</w:t>
      </w:r>
      <w:r>
        <w:rPr>
          <w:rFonts w:hint="default" w:ascii="Times New Roman" w:hAnsi="Times New Roman" w:cs="Times New Roman"/>
          <w:color w:val="auto"/>
          <w:sz w:val="13"/>
          <w:szCs w:val="13"/>
        </w:rPr>
        <w:t>：1、</w:t>
      </w:r>
      <w:r>
        <w:rPr>
          <w:rFonts w:hint="default" w:ascii="Times New Roman" w:hAnsi="Times New Roman" w:cs="Times New Roman"/>
          <w:color w:val="auto"/>
          <w:spacing w:val="-4"/>
          <w:sz w:val="13"/>
          <w:szCs w:val="13"/>
        </w:rPr>
        <w:t>排放增减量：（+）表示增加，（-）表示减少。2、(12)=(6)-(8)-(11)，（9）= (4)-(5)-(8)- (11) +（1）。3、计量单位：废水排放量——万吨/年；废气排放量——万标立方米/年；工业固体废物排放</w:t>
      </w:r>
      <w:r>
        <w:rPr>
          <w:rFonts w:hint="default" w:ascii="Times New Roman" w:hAnsi="Times New Roman" w:cs="Times New Roman"/>
          <w:color w:val="auto"/>
          <w:sz w:val="13"/>
          <w:szCs w:val="13"/>
        </w:rPr>
        <w:t>量——万吨/年；</w:t>
      </w:r>
    </w:p>
    <w:bookmarkEnd w:id="10"/>
    <w:bookmarkEnd w:id="11"/>
    <w:bookmarkEnd w:id="12"/>
    <w:bookmarkEnd w:id="13"/>
    <w:bookmarkEnd w:id="14"/>
    <w:p>
      <w:pPr>
        <w:pStyle w:val="43"/>
        <w:ind w:left="0" w:leftChars="0" w:firstLine="0" w:firstLineChars="0"/>
        <w:rPr>
          <w:rFonts w:hint="eastAsia" w:ascii="Times New Roman" w:hAnsi="Times New Roman" w:eastAsia="宋体" w:cs="Times New Roman"/>
          <w:lang w:val="en-US" w:eastAsia="zh-CN"/>
        </w:rPr>
      </w:pPr>
    </w:p>
    <w:sectPr>
      <w:headerReference r:id="rId17" w:type="default"/>
      <w:footerReference r:id="rId18" w:type="default"/>
      <w:pgSz w:w="11905" w:h="16838"/>
      <w:pgMar w:top="1587" w:right="1361" w:bottom="1474" w:left="1474" w:header="850" w:footer="1077" w:gutter="0"/>
      <w:paperSrc/>
      <w:pgBorders>
        <w:top w:val="none" w:sz="0" w:space="0"/>
        <w:left w:val="none" w:sz="0" w:space="0"/>
        <w:bottom w:val="none" w:sz="0" w:space="0"/>
        <w:right w:val="none" w:sz="0" w:space="0"/>
      </w:pgBorders>
      <w:pgNumType w:fmt="decimal"/>
      <w:cols w:space="72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FFF1F9E-492C-492B-9564-D0DE46D5CE0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auto"/>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TimesNewRomanPSMT">
    <w:altName w:val="Times New Roman"/>
    <w:panose1 w:val="00000000000000000000"/>
    <w:charset w:val="00"/>
    <w:family w:val="auto"/>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Sim Sun+ 2">
    <w:altName w:val="宋体"/>
    <w:panose1 w:val="00000000000000000000"/>
    <w:charset w:val="86"/>
    <w:family w:val="swiss"/>
    <w:pitch w:val="default"/>
    <w:sig w:usb0="00000001" w:usb1="080E0000" w:usb2="00000010" w:usb3="00000000" w:csb0="00040000" w:csb1="00000000"/>
  </w:font>
  <w:font w:name="行书体">
    <w:altName w:val="宋体"/>
    <w:panose1 w:val="02010609000101010101"/>
    <w:charset w:val="86"/>
    <w:family w:val="modern"/>
    <w:pitch w:val="default"/>
    <w:sig w:usb0="00000001" w:usb1="080E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2" w:fontKey="{20E34EA1-302A-42C5-B7F8-1C0955E212BA}"/>
  </w:font>
  <w:font w:name="Wingdings 2">
    <w:panose1 w:val="05020102010507070707"/>
    <w:charset w:val="02"/>
    <w:family w:val="auto"/>
    <w:pitch w:val="default"/>
    <w:sig w:usb0="00000000" w:usb1="00000000" w:usb2="00000000" w:usb3="00000000" w:csb0="80000000" w:csb1="00000000"/>
    <w:embedRegular r:id="rId3" w:fontKey="{CFDA5131-84AE-4AE5-9E06-9CE4327CD04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hAnsi="Times New Roman"/>
      </w:rPr>
    </w:pPr>
  </w:p>
  <w:p>
    <w:pPr>
      <w:pStyle w:val="29"/>
      <w:jc w:val="both"/>
      <w:rPr>
        <w:rFonts w:ascii="Times New Roman" w:hAns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both"/>
                          </w:pP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gW3MPLAQAAnAMAAA4AAAAAAAAAAQAgAAAAHgEAAGRycy9lMm9E&#10;b2MueG1sUEsFBgAAAAAGAAYAWQEAAFsFAAAAAA==&#10;">
              <v:fill on="f" focussize="0,0"/>
              <v:stroke on="f"/>
              <v:imagedata o:title=""/>
              <o:lock v:ext="edit" aspectratio="f"/>
              <v:textbox inset="0mm,0mm,0mm,0mm" style="mso-fit-shape-to-text:t;">
                <w:txbxContent>
                  <w:p>
                    <w:pPr>
                      <w:pStyle w:val="29"/>
                      <w:jc w:val="both"/>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rPr>
        <w:rFonts w:ascii="Times New Roman" w:hAnsi="Times New Roman"/>
      </w:rPr>
    </w:pPr>
  </w:p>
  <w:p>
    <w:pPr>
      <w:pStyle w:val="29"/>
      <w:jc w:val="both"/>
      <w:rPr>
        <w:rFonts w:ascii="Times New Roman" w:hAns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both"/>
                          </w:pP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NeFG7LAQAAnAMAAA4AAAAAAAAAAQAgAAAAHgEAAGRycy9lMm9E&#10;b2MueG1sUEsFBgAAAAAGAAYAWQEAAFsFAAAAAA==&#10;">
              <v:fill on="f" focussize="0,0"/>
              <v:stroke on="f"/>
              <v:imagedata o:title=""/>
              <o:lock v:ext="edit" aspectratio="f"/>
              <v:textbox inset="0mm,0mm,0mm,0mm" style="mso-fit-shape-to-text:t;">
                <w:txbxContent>
                  <w:p>
                    <w:pPr>
                      <w:pStyle w:val="29"/>
                      <w:jc w:val="both"/>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tabs>
        <w:tab w:val="center" w:pos="4595"/>
        <w:tab w:val="left" w:pos="5679"/>
      </w:tabs>
      <w:jc w:val="left"/>
      <w:rPr>
        <w:rFonts w:ascii="Times New Roman" w:hAns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G+KZN8BAAC/AwAADgAAAAAA&#10;AAABACAAAAAeAQAAZHJzL2Uyb0RvYy54bWxQSwUGAAAAAAYABgBZAQAAbw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jc w:val="both"/>
                          </w:pPr>
                        </w:p>
                      </w:txbxContent>
                    </wps:txbx>
                    <wps:bodyPr wrap="none" lIns="0" tIns="0" rIns="0" bIns="0" upright="0">
                      <a:spAutoFit/>
                    </wps:bodyPr>
                  </wps:wsp>
                </a:graphicData>
              </a:graphic>
            </wp:anchor>
          </w:drawing>
        </mc:Choice>
        <mc:Fallback>
          <w:pict>
            <v:shape id="文本框 205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HCoj5nLAQAAnAMAAA4AAAAAAAAAAQAgAAAAHgEAAGRycy9lMm9E&#10;b2MueG1sUEsFBgAAAAAGAAYAWQEAAFsFAAAAAA==&#10;">
              <v:fill on="f" focussize="0,0"/>
              <v:stroke on="f"/>
              <v:imagedata o:title=""/>
              <o:lock v:ext="edit" aspectratio="f"/>
              <v:textbox inset="0mm,0mm,0mm,0mm" style="mso-fit-shape-to-text:t;">
                <w:txbxContent>
                  <w:p>
                    <w:pPr>
                      <w:pStyle w:val="29"/>
                      <w:jc w:val="both"/>
                    </w:pPr>
                  </w:p>
                </w:txbxContent>
              </v:textbox>
            </v:shape>
          </w:pict>
        </mc:Fallback>
      </mc:AlternateContent>
    </w:r>
    <w:r>
      <w:rPr>
        <w:rFonts w:hint="eastAsia"/>
        <w:sz w:val="18"/>
        <w:lang w:eastAsia="zh-CN"/>
      </w:rPr>
      <w:tab/>
    </w:r>
    <w:r>
      <w:rPr>
        <w:rFonts w:hint="eastAsia"/>
        <w:sz w:val="18"/>
        <w:lang w:eastAsia="zh-CN"/>
      </w:rPr>
      <w:tab/>
    </w:r>
    <w:r>
      <w:rPr>
        <w:rFonts w:hint="eastAsia" w:ascii="Times New Roman" w:hAnsi="Times New Roman"/>
        <w:lang w:eastAsia="zh-CN"/>
      </w:rPr>
      <w:tab/>
    </w:r>
    <w:r>
      <w:rPr>
        <w:rFonts w:hint="eastAsia" w:ascii="Times New Roman" w:hAnsi="Times New Roman"/>
        <w:lang w:eastAsia="zh-CN"/>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ind w:left="700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23</w:t>
                          </w:r>
                          <w:r>
                            <w:fldChar w:fldCharType="end"/>
                          </w: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Y7kBt8BAAC/AwAADgAAAAAA&#10;AAABACAAAAAeAQAAZHJzL2Uyb0RvYy54bWxQSwUGAAAAAAYABgBZAQAAbwU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6" w:lineRule="auto"/>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33</w:t>
                          </w:r>
                          <w:r>
                            <w:fldChar w:fldCharType="end"/>
                          </w:r>
                        </w:p>
                      </w:txbxContent>
                    </wps:txbx>
                    <wps:bodyPr vert="horz" wrap="none" lIns="0" tIns="0" rIns="0" bIns="0" anchor="t" anchorCtr="0" upright="0">
                      <a:spAutoFit/>
                    </wps:bodyPr>
                  </wps:wsp>
                </a:graphicData>
              </a:graphic>
            </wp:anchor>
          </w:drawing>
        </mc:Choice>
        <mc:Fallback>
          <w:pict>
            <v:shape id="文本框 5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a0T4n3gEAAL8DAAAOAAAAAAAA&#10;AAEAIAAAAB4BAABkcnMvZTJvRG9jLnhtbFBLBQYAAAAABgAGAFkBAABuBQ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fldChar w:fldCharType="begin"/>
                          </w:r>
                          <w:r>
                            <w:instrText xml:space="preserve"> PAGE  \* MERGEFORMAT </w:instrText>
                          </w:r>
                          <w:r>
                            <w:fldChar w:fldCharType="separate"/>
                          </w:r>
                          <w:r>
                            <w:t>35</w:t>
                          </w:r>
                          <w:r>
                            <w:fldChar w:fldCharType="end"/>
                          </w:r>
                        </w:p>
                      </w:txbxContent>
                    </wps:txbx>
                    <wps:bodyPr vert="horz" wrap="none" lIns="0" tIns="0" rIns="0" bIns="0" anchor="t" anchorCtr="0" upright="0">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wEhSC3gEAAL8DAAAOAAAAAAAA&#10;AAEAIAAAAB4BAABkcnMvZTJvRG9jLnhtbFBLBQYAAAAABgAGAFkBAABuBQAAAAA=&#10;">
              <v:fill on="f" focussize="0,0"/>
              <v:stroke on="f"/>
              <v:imagedata o:title=""/>
              <o:lock v:ext="edit" aspectratio="f"/>
              <v:textbox inset="0mm,0mm,0mm,0mm" style="mso-fit-shape-to-text:t;">
                <w:txbxContent>
                  <w:p>
                    <w:pPr>
                      <w:pStyle w:val="29"/>
                    </w:pPr>
                    <w:r>
                      <w:fldChar w:fldCharType="begin"/>
                    </w:r>
                    <w:r>
                      <w:instrText xml:space="preserve"> PAGE  \* MERGEFORMAT </w:instrText>
                    </w:r>
                    <w:r>
                      <w:fldChar w:fldCharType="separate"/>
                    </w:r>
                    <w:r>
                      <w:t>35</w:t>
                    </w:r>
                    <w:r>
                      <w:fldChar w:fldCharType="end"/>
                    </w:r>
                  </w:p>
                </w:txbxContent>
              </v:textbox>
            </v:shape>
          </w:pict>
        </mc:Fallback>
      </mc:AlternateContent>
    </w:r>
    <w:r>
      <w:rPr>
        <w:rFonts w:hint="eastAsia"/>
      </w:rPr>
      <w:t xml:space="preserve">                                              </w:t>
    </w:r>
    <w:r>
      <w:rPr>
        <w:rFonts w:hint="eastAsia"/>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spacing w:after="0" w:afterLines="0"/>
      <w:jc w:val="center"/>
      <w:rPr>
        <w:rFonts w:hint="eastAsia" w:ascii="宋体" w:hAnsi="宋体" w:eastAsia="宋体"/>
        <w:sz w:val="28"/>
        <w:szCs w:val="2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outside" w:y="1"/>
      <w:rPr>
        <w:rStyle w:val="89"/>
      </w:rPr>
    </w:pPr>
    <w:r>
      <w:fldChar w:fldCharType="begin"/>
    </w:r>
    <w:r>
      <w:rPr>
        <w:rStyle w:val="89"/>
      </w:rPr>
      <w:instrText xml:space="preserve">PAGE  </w:instrText>
    </w:r>
    <w:r>
      <w:fldChar w:fldCharType="separate"/>
    </w:r>
    <w:r>
      <w:rPr>
        <w:rStyle w:val="89"/>
      </w:rPr>
      <w:t>36</w:t>
    </w:r>
    <w:r>
      <w:fldChar w:fldCharType="end"/>
    </w:r>
  </w:p>
  <w:p>
    <w:pPr>
      <w:pStyle w:val="29"/>
      <w:ind w:right="360" w:firstLine="36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 xml:space="preserve">                                              </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tabs>
        <w:tab w:val="left" w:pos="1599"/>
        <w:tab w:val="center" w:pos="4595"/>
      </w:tabs>
      <w:jc w:val="center"/>
    </w:pPr>
    <w:r>
      <w:rPr>
        <w:rFonts w:hint="eastAsia"/>
        <w:lang w:eastAsia="zh-CN"/>
      </w:rPr>
      <w:t>青海省格尔木市拉宁灶火多金属矿普查项目</w:t>
    </w:r>
    <w:r>
      <w:rPr>
        <w:rFonts w:hint="eastAsia"/>
      </w:rPr>
      <w:t>竣工环境保护验收调查表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0"/>
      </w:pBdr>
      <w:jc w:val="center"/>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青海省格尔木市拉宁灶火多金属矿普查项目竣工环境保护验收调查表</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rPr>
        <w:rFonts w:hint="eastAsia"/>
        <w:u w:val="non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A08DA6"/>
    <w:multiLevelType w:val="singleLevel"/>
    <w:tmpl w:val="99A08DA6"/>
    <w:lvl w:ilvl="0" w:tentative="0">
      <w:start w:val="1"/>
      <w:numFmt w:val="decimal"/>
      <w:suff w:val="nothing"/>
      <w:lvlText w:val="（%1）"/>
      <w:lvlJc w:val="left"/>
    </w:lvl>
  </w:abstractNum>
  <w:abstractNum w:abstractNumId="1">
    <w:nsid w:val="BF4283C8"/>
    <w:multiLevelType w:val="singleLevel"/>
    <w:tmpl w:val="BF4283C8"/>
    <w:lvl w:ilvl="0" w:tentative="0">
      <w:start w:val="3"/>
      <w:numFmt w:val="decimal"/>
      <w:suff w:val="nothing"/>
      <w:lvlText w:val="%1、"/>
      <w:lvlJc w:val="left"/>
    </w:lvl>
  </w:abstractNum>
  <w:abstractNum w:abstractNumId="2">
    <w:nsid w:val="FFFFFF7F"/>
    <w:multiLevelType w:val="singleLevel"/>
    <w:tmpl w:val="FFFFFF7F"/>
    <w:lvl w:ilvl="0" w:tentative="0">
      <w:start w:val="1"/>
      <w:numFmt w:val="decimal"/>
      <w:pStyle w:val="15"/>
      <w:lvlText w:val="%1."/>
      <w:lvlJc w:val="left"/>
      <w:pPr>
        <w:tabs>
          <w:tab w:val="left" w:pos="780"/>
        </w:tabs>
        <w:ind w:left="780" w:hanging="360"/>
      </w:pPr>
    </w:lvl>
  </w:abstractNum>
  <w:abstractNum w:abstractNumId="3">
    <w:nsid w:val="FFFFFF88"/>
    <w:multiLevelType w:val="singleLevel"/>
    <w:tmpl w:val="FFFFFF88"/>
    <w:lvl w:ilvl="0" w:tentative="0">
      <w:start w:val="1"/>
      <w:numFmt w:val="decimal"/>
      <w:pStyle w:val="16"/>
      <w:lvlText w:val="%1."/>
      <w:lvlJc w:val="left"/>
      <w:pPr>
        <w:tabs>
          <w:tab w:val="left" w:pos="360"/>
        </w:tabs>
        <w:ind w:left="360" w:hanging="360"/>
      </w:pPr>
    </w:lvl>
  </w:abstractNum>
  <w:abstractNum w:abstractNumId="4">
    <w:nsid w:val="073680B5"/>
    <w:multiLevelType w:val="singleLevel"/>
    <w:tmpl w:val="073680B5"/>
    <w:lvl w:ilvl="0" w:tentative="0">
      <w:start w:val="1"/>
      <w:numFmt w:val="decimal"/>
      <w:suff w:val="nothing"/>
      <w:lvlText w:val="（%1）"/>
      <w:lvlJc w:val="left"/>
    </w:lvl>
  </w:abstractNum>
  <w:abstractNum w:abstractNumId="5">
    <w:nsid w:val="1E277968"/>
    <w:multiLevelType w:val="multilevel"/>
    <w:tmpl w:val="1E277968"/>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lvl>
    <w:lvl w:ilvl="2" w:tentative="0">
      <w:start w:val="1"/>
      <w:numFmt w:val="decimal"/>
      <w:pStyle w:val="4"/>
      <w:lvlText w:val="%1.%2.%3"/>
      <w:lvlJc w:val="left"/>
      <w:pPr>
        <w:ind w:left="720" w:hanging="720"/>
      </w:pPr>
      <w:rPr>
        <w:rFonts w:hint="default" w:ascii="Times New Roman" w:hAnsi="Times New Roman" w:cs="Times New Roman"/>
      </w:rPr>
    </w:lvl>
    <w:lvl w:ilvl="3" w:tentative="0">
      <w:start w:val="1"/>
      <w:numFmt w:val="decimal"/>
      <w:pStyle w:val="5"/>
      <w:lvlText w:val="%1.%2.%3.%4"/>
      <w:lvlJc w:val="left"/>
      <w:pPr>
        <w:ind w:left="864" w:hanging="864"/>
      </w:pPr>
    </w:lvl>
    <w:lvl w:ilvl="4" w:tentative="0">
      <w:start w:val="1"/>
      <w:numFmt w:val="decimal"/>
      <w:pStyle w:val="9"/>
      <w:lvlText w:val="%1.%2.%3.%4.%5"/>
      <w:lvlJc w:val="left"/>
      <w:pPr>
        <w:ind w:left="1008" w:hanging="1008"/>
      </w:pPr>
    </w:lvl>
    <w:lvl w:ilvl="5" w:tentative="0">
      <w:start w:val="1"/>
      <w:numFmt w:val="decimal"/>
      <w:pStyle w:val="10"/>
      <w:lvlText w:val="%1.%2.%3.%4.%5.%6"/>
      <w:lvlJc w:val="left"/>
      <w:pPr>
        <w:ind w:left="1152" w:hanging="1152"/>
      </w:pPr>
    </w:lvl>
    <w:lvl w:ilvl="6" w:tentative="0">
      <w:start w:val="1"/>
      <w:numFmt w:val="decimal"/>
      <w:pStyle w:val="11"/>
      <w:lvlText w:val="%1.%2.%3.%4.%5.%6.%7"/>
      <w:lvlJc w:val="left"/>
      <w:pPr>
        <w:ind w:left="1296" w:hanging="1296"/>
      </w:pPr>
    </w:lvl>
    <w:lvl w:ilvl="7" w:tentative="0">
      <w:start w:val="1"/>
      <w:numFmt w:val="decimal"/>
      <w:pStyle w:val="12"/>
      <w:lvlText w:val="%1.%2.%3.%4.%5.%6.%7.%8"/>
      <w:lvlJc w:val="left"/>
      <w:pPr>
        <w:ind w:left="1440" w:hanging="1440"/>
      </w:pPr>
    </w:lvl>
    <w:lvl w:ilvl="8" w:tentative="0">
      <w:start w:val="1"/>
      <w:numFmt w:val="decimal"/>
      <w:pStyle w:val="13"/>
      <w:lvlText w:val="%1.%2.%3.%4.%5.%6.%7.%8.%9"/>
      <w:lvlJc w:val="left"/>
      <w:pPr>
        <w:ind w:left="1584" w:hanging="1584"/>
      </w:pPr>
    </w:lvl>
  </w:abstractNum>
  <w:abstractNum w:abstractNumId="6">
    <w:nsid w:val="56AD4CAC"/>
    <w:multiLevelType w:val="singleLevel"/>
    <w:tmpl w:val="56AD4CAC"/>
    <w:lvl w:ilvl="0" w:tentative="0">
      <w:start w:val="2"/>
      <w:numFmt w:val="decimal"/>
      <w:suff w:val="nothing"/>
      <w:lvlText w:val="%1、"/>
      <w:lvlJc w:val="left"/>
    </w:lvl>
  </w:abstractNum>
  <w:abstractNum w:abstractNumId="7">
    <w:nsid w:val="716B25D4"/>
    <w:multiLevelType w:val="singleLevel"/>
    <w:tmpl w:val="716B25D4"/>
    <w:lvl w:ilvl="0" w:tentative="0">
      <w:start w:val="1"/>
      <w:numFmt w:val="decimal"/>
      <w:suff w:val="nothing"/>
      <w:lvlText w:val="%1、"/>
      <w:lvlJc w:val="left"/>
    </w:lvl>
  </w:abstractNum>
  <w:num w:numId="1">
    <w:abstractNumId w:val="5"/>
  </w:num>
  <w:num w:numId="2">
    <w:abstractNumId w:val="2"/>
  </w:num>
  <w:num w:numId="3">
    <w:abstractNumId w:val="3"/>
  </w:num>
  <w:num w:numId="4">
    <w:abstractNumId w:val="0"/>
  </w:num>
  <w:num w:numId="5">
    <w:abstractNumId w:val="7"/>
  </w:num>
  <w:num w:numId="6">
    <w:abstractNumId w:val="4"/>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0NTgzYmYzZWMyYzk4MjJjNDQ1MzhiZTM1YTQ5OWIifQ=="/>
  </w:docVars>
  <w:rsids>
    <w:rsidRoot w:val="007C1AAB"/>
    <w:rsid w:val="000003D5"/>
    <w:rsid w:val="00000668"/>
    <w:rsid w:val="000011CE"/>
    <w:rsid w:val="00001803"/>
    <w:rsid w:val="00001D9C"/>
    <w:rsid w:val="0000286E"/>
    <w:rsid w:val="00002A94"/>
    <w:rsid w:val="0000311A"/>
    <w:rsid w:val="000038DA"/>
    <w:rsid w:val="00003D4A"/>
    <w:rsid w:val="00007748"/>
    <w:rsid w:val="00010CA5"/>
    <w:rsid w:val="00011AF1"/>
    <w:rsid w:val="00011E93"/>
    <w:rsid w:val="00012CF1"/>
    <w:rsid w:val="0001450E"/>
    <w:rsid w:val="00014580"/>
    <w:rsid w:val="000147DC"/>
    <w:rsid w:val="00014EF9"/>
    <w:rsid w:val="00014F26"/>
    <w:rsid w:val="000152CB"/>
    <w:rsid w:val="00015407"/>
    <w:rsid w:val="00015449"/>
    <w:rsid w:val="000154EB"/>
    <w:rsid w:val="00015AC2"/>
    <w:rsid w:val="00015C49"/>
    <w:rsid w:val="00016C46"/>
    <w:rsid w:val="00016F04"/>
    <w:rsid w:val="000170B3"/>
    <w:rsid w:val="00020BEC"/>
    <w:rsid w:val="00022F60"/>
    <w:rsid w:val="000233E6"/>
    <w:rsid w:val="00023BE4"/>
    <w:rsid w:val="00024D72"/>
    <w:rsid w:val="00025E84"/>
    <w:rsid w:val="000261A1"/>
    <w:rsid w:val="00026307"/>
    <w:rsid w:val="000279EB"/>
    <w:rsid w:val="000307DB"/>
    <w:rsid w:val="00031108"/>
    <w:rsid w:val="0003198C"/>
    <w:rsid w:val="00032142"/>
    <w:rsid w:val="000329BA"/>
    <w:rsid w:val="000339EA"/>
    <w:rsid w:val="00034EFA"/>
    <w:rsid w:val="00034F10"/>
    <w:rsid w:val="000367F9"/>
    <w:rsid w:val="00036C60"/>
    <w:rsid w:val="0003729A"/>
    <w:rsid w:val="00037793"/>
    <w:rsid w:val="00040AF3"/>
    <w:rsid w:val="0004193C"/>
    <w:rsid w:val="00041D00"/>
    <w:rsid w:val="00041D2B"/>
    <w:rsid w:val="0004204F"/>
    <w:rsid w:val="00042D5C"/>
    <w:rsid w:val="00042ED6"/>
    <w:rsid w:val="000446F7"/>
    <w:rsid w:val="00044954"/>
    <w:rsid w:val="000452F6"/>
    <w:rsid w:val="00045662"/>
    <w:rsid w:val="00045893"/>
    <w:rsid w:val="0004611F"/>
    <w:rsid w:val="000461CB"/>
    <w:rsid w:val="00047900"/>
    <w:rsid w:val="000504A5"/>
    <w:rsid w:val="000559B8"/>
    <w:rsid w:val="00055CDC"/>
    <w:rsid w:val="00055FFF"/>
    <w:rsid w:val="0005613E"/>
    <w:rsid w:val="00056176"/>
    <w:rsid w:val="0005656A"/>
    <w:rsid w:val="00056B7A"/>
    <w:rsid w:val="00056E28"/>
    <w:rsid w:val="00056EDD"/>
    <w:rsid w:val="00062468"/>
    <w:rsid w:val="000625B8"/>
    <w:rsid w:val="00063365"/>
    <w:rsid w:val="00064834"/>
    <w:rsid w:val="000658AA"/>
    <w:rsid w:val="00066293"/>
    <w:rsid w:val="00066C05"/>
    <w:rsid w:val="00066CDC"/>
    <w:rsid w:val="00066FCC"/>
    <w:rsid w:val="00067A51"/>
    <w:rsid w:val="000709E1"/>
    <w:rsid w:val="00071DAE"/>
    <w:rsid w:val="000730FB"/>
    <w:rsid w:val="000739E5"/>
    <w:rsid w:val="00073A86"/>
    <w:rsid w:val="00074F66"/>
    <w:rsid w:val="00076A52"/>
    <w:rsid w:val="0007765D"/>
    <w:rsid w:val="000777D6"/>
    <w:rsid w:val="00077977"/>
    <w:rsid w:val="00080734"/>
    <w:rsid w:val="000812B1"/>
    <w:rsid w:val="00081D9A"/>
    <w:rsid w:val="0008292A"/>
    <w:rsid w:val="0008382F"/>
    <w:rsid w:val="0008453C"/>
    <w:rsid w:val="00084B05"/>
    <w:rsid w:val="00084FDA"/>
    <w:rsid w:val="00085088"/>
    <w:rsid w:val="00085757"/>
    <w:rsid w:val="000858F2"/>
    <w:rsid w:val="00085D04"/>
    <w:rsid w:val="000862A8"/>
    <w:rsid w:val="00086763"/>
    <w:rsid w:val="000876F3"/>
    <w:rsid w:val="00090143"/>
    <w:rsid w:val="000904C9"/>
    <w:rsid w:val="00090A11"/>
    <w:rsid w:val="00090BDA"/>
    <w:rsid w:val="00090D4E"/>
    <w:rsid w:val="00090E08"/>
    <w:rsid w:val="00091433"/>
    <w:rsid w:val="00092EEB"/>
    <w:rsid w:val="00093710"/>
    <w:rsid w:val="000939F1"/>
    <w:rsid w:val="0009475B"/>
    <w:rsid w:val="00094C65"/>
    <w:rsid w:val="0009611A"/>
    <w:rsid w:val="00096E44"/>
    <w:rsid w:val="000A0125"/>
    <w:rsid w:val="000A068C"/>
    <w:rsid w:val="000A0A16"/>
    <w:rsid w:val="000A142A"/>
    <w:rsid w:val="000A1FA3"/>
    <w:rsid w:val="000A2266"/>
    <w:rsid w:val="000A345C"/>
    <w:rsid w:val="000A3ACD"/>
    <w:rsid w:val="000A43E2"/>
    <w:rsid w:val="000A4425"/>
    <w:rsid w:val="000A4929"/>
    <w:rsid w:val="000A56E5"/>
    <w:rsid w:val="000A5A49"/>
    <w:rsid w:val="000A6437"/>
    <w:rsid w:val="000A65EE"/>
    <w:rsid w:val="000A68E1"/>
    <w:rsid w:val="000A778F"/>
    <w:rsid w:val="000B02BE"/>
    <w:rsid w:val="000B0B56"/>
    <w:rsid w:val="000B114A"/>
    <w:rsid w:val="000B12B3"/>
    <w:rsid w:val="000B21DD"/>
    <w:rsid w:val="000B235E"/>
    <w:rsid w:val="000B457F"/>
    <w:rsid w:val="000B49A9"/>
    <w:rsid w:val="000B5D49"/>
    <w:rsid w:val="000B5DA2"/>
    <w:rsid w:val="000B5FB0"/>
    <w:rsid w:val="000B601D"/>
    <w:rsid w:val="000B60A6"/>
    <w:rsid w:val="000B7838"/>
    <w:rsid w:val="000C004D"/>
    <w:rsid w:val="000C08F3"/>
    <w:rsid w:val="000C0B7C"/>
    <w:rsid w:val="000C0CEC"/>
    <w:rsid w:val="000C0E6E"/>
    <w:rsid w:val="000C15BF"/>
    <w:rsid w:val="000C248C"/>
    <w:rsid w:val="000C251B"/>
    <w:rsid w:val="000C38E2"/>
    <w:rsid w:val="000C489E"/>
    <w:rsid w:val="000C553F"/>
    <w:rsid w:val="000C5A88"/>
    <w:rsid w:val="000C5F63"/>
    <w:rsid w:val="000C5FE5"/>
    <w:rsid w:val="000C62B7"/>
    <w:rsid w:val="000C6F0C"/>
    <w:rsid w:val="000C7131"/>
    <w:rsid w:val="000C7EF2"/>
    <w:rsid w:val="000D06D5"/>
    <w:rsid w:val="000D5273"/>
    <w:rsid w:val="000D6731"/>
    <w:rsid w:val="000D67E3"/>
    <w:rsid w:val="000D6BF7"/>
    <w:rsid w:val="000D7A24"/>
    <w:rsid w:val="000E0A86"/>
    <w:rsid w:val="000E0B49"/>
    <w:rsid w:val="000E0EF6"/>
    <w:rsid w:val="000E187C"/>
    <w:rsid w:val="000E3E2C"/>
    <w:rsid w:val="000E41CE"/>
    <w:rsid w:val="000E47E7"/>
    <w:rsid w:val="000E483E"/>
    <w:rsid w:val="000E518B"/>
    <w:rsid w:val="000E5BB5"/>
    <w:rsid w:val="000E63C8"/>
    <w:rsid w:val="000E6AE1"/>
    <w:rsid w:val="000E6BF6"/>
    <w:rsid w:val="000F1145"/>
    <w:rsid w:val="000F1E3F"/>
    <w:rsid w:val="000F33B9"/>
    <w:rsid w:val="000F36C0"/>
    <w:rsid w:val="000F383A"/>
    <w:rsid w:val="000F4F26"/>
    <w:rsid w:val="000F67C4"/>
    <w:rsid w:val="000F6B34"/>
    <w:rsid w:val="000F70C9"/>
    <w:rsid w:val="000F7A46"/>
    <w:rsid w:val="00100BB0"/>
    <w:rsid w:val="00102C13"/>
    <w:rsid w:val="00102E3C"/>
    <w:rsid w:val="00103113"/>
    <w:rsid w:val="001034D8"/>
    <w:rsid w:val="0010407C"/>
    <w:rsid w:val="00104418"/>
    <w:rsid w:val="001046B3"/>
    <w:rsid w:val="00105864"/>
    <w:rsid w:val="001058CD"/>
    <w:rsid w:val="00105B17"/>
    <w:rsid w:val="0010630B"/>
    <w:rsid w:val="001068CE"/>
    <w:rsid w:val="00106B6F"/>
    <w:rsid w:val="001073A2"/>
    <w:rsid w:val="00107BB4"/>
    <w:rsid w:val="00111A0C"/>
    <w:rsid w:val="00111A66"/>
    <w:rsid w:val="00112E2C"/>
    <w:rsid w:val="00114EBC"/>
    <w:rsid w:val="00116206"/>
    <w:rsid w:val="001205E0"/>
    <w:rsid w:val="00120D5E"/>
    <w:rsid w:val="00121661"/>
    <w:rsid w:val="00121AFD"/>
    <w:rsid w:val="00121D50"/>
    <w:rsid w:val="00121D97"/>
    <w:rsid w:val="00123068"/>
    <w:rsid w:val="0012319C"/>
    <w:rsid w:val="001237F0"/>
    <w:rsid w:val="001266B8"/>
    <w:rsid w:val="001273B6"/>
    <w:rsid w:val="0013051A"/>
    <w:rsid w:val="00130675"/>
    <w:rsid w:val="00130814"/>
    <w:rsid w:val="00130B80"/>
    <w:rsid w:val="00130FDF"/>
    <w:rsid w:val="00131338"/>
    <w:rsid w:val="00133B69"/>
    <w:rsid w:val="00134FC6"/>
    <w:rsid w:val="00135264"/>
    <w:rsid w:val="00135671"/>
    <w:rsid w:val="001357CC"/>
    <w:rsid w:val="00136840"/>
    <w:rsid w:val="001378B4"/>
    <w:rsid w:val="0014004B"/>
    <w:rsid w:val="001402D6"/>
    <w:rsid w:val="0014056E"/>
    <w:rsid w:val="001408F2"/>
    <w:rsid w:val="00140A45"/>
    <w:rsid w:val="00141007"/>
    <w:rsid w:val="00142B7D"/>
    <w:rsid w:val="00142BC5"/>
    <w:rsid w:val="00142E6E"/>
    <w:rsid w:val="00145275"/>
    <w:rsid w:val="00145CEB"/>
    <w:rsid w:val="0014602D"/>
    <w:rsid w:val="001463A4"/>
    <w:rsid w:val="00147F31"/>
    <w:rsid w:val="00150D9C"/>
    <w:rsid w:val="00151739"/>
    <w:rsid w:val="00152A68"/>
    <w:rsid w:val="00153CAC"/>
    <w:rsid w:val="00153CAF"/>
    <w:rsid w:val="001554B8"/>
    <w:rsid w:val="00155797"/>
    <w:rsid w:val="00155D88"/>
    <w:rsid w:val="00156236"/>
    <w:rsid w:val="00156FCB"/>
    <w:rsid w:val="0015780F"/>
    <w:rsid w:val="001613AB"/>
    <w:rsid w:val="0016246D"/>
    <w:rsid w:val="00162BFE"/>
    <w:rsid w:val="00162F85"/>
    <w:rsid w:val="0016582D"/>
    <w:rsid w:val="00165D5C"/>
    <w:rsid w:val="00166207"/>
    <w:rsid w:val="001663A9"/>
    <w:rsid w:val="001668E3"/>
    <w:rsid w:val="00167126"/>
    <w:rsid w:val="00167EAB"/>
    <w:rsid w:val="001700AB"/>
    <w:rsid w:val="00170271"/>
    <w:rsid w:val="001702DF"/>
    <w:rsid w:val="0017063C"/>
    <w:rsid w:val="001709E9"/>
    <w:rsid w:val="00170F50"/>
    <w:rsid w:val="00171AAD"/>
    <w:rsid w:val="0017308C"/>
    <w:rsid w:val="00175358"/>
    <w:rsid w:val="001755B6"/>
    <w:rsid w:val="00176376"/>
    <w:rsid w:val="0017641C"/>
    <w:rsid w:val="001768F3"/>
    <w:rsid w:val="0018013C"/>
    <w:rsid w:val="001811ED"/>
    <w:rsid w:val="00183DD3"/>
    <w:rsid w:val="00184833"/>
    <w:rsid w:val="00184BF9"/>
    <w:rsid w:val="00185231"/>
    <w:rsid w:val="00185D81"/>
    <w:rsid w:val="0018601C"/>
    <w:rsid w:val="001860A4"/>
    <w:rsid w:val="00186240"/>
    <w:rsid w:val="0018660E"/>
    <w:rsid w:val="00187034"/>
    <w:rsid w:val="0018719B"/>
    <w:rsid w:val="00187379"/>
    <w:rsid w:val="001901B6"/>
    <w:rsid w:val="00190735"/>
    <w:rsid w:val="00190990"/>
    <w:rsid w:val="00191252"/>
    <w:rsid w:val="00191326"/>
    <w:rsid w:val="00192FB0"/>
    <w:rsid w:val="001932DB"/>
    <w:rsid w:val="00193D52"/>
    <w:rsid w:val="00193EDE"/>
    <w:rsid w:val="001941FE"/>
    <w:rsid w:val="00194765"/>
    <w:rsid w:val="00194D34"/>
    <w:rsid w:val="00195072"/>
    <w:rsid w:val="00196880"/>
    <w:rsid w:val="00196D21"/>
    <w:rsid w:val="00197990"/>
    <w:rsid w:val="001A0771"/>
    <w:rsid w:val="001A088A"/>
    <w:rsid w:val="001A182F"/>
    <w:rsid w:val="001A1966"/>
    <w:rsid w:val="001A210F"/>
    <w:rsid w:val="001A3068"/>
    <w:rsid w:val="001A339B"/>
    <w:rsid w:val="001A5271"/>
    <w:rsid w:val="001A5AE5"/>
    <w:rsid w:val="001A5B39"/>
    <w:rsid w:val="001A5B72"/>
    <w:rsid w:val="001A5F94"/>
    <w:rsid w:val="001A60AC"/>
    <w:rsid w:val="001A62E4"/>
    <w:rsid w:val="001A7376"/>
    <w:rsid w:val="001B0D8F"/>
    <w:rsid w:val="001B18C4"/>
    <w:rsid w:val="001B1A78"/>
    <w:rsid w:val="001B2585"/>
    <w:rsid w:val="001B287C"/>
    <w:rsid w:val="001B2A8F"/>
    <w:rsid w:val="001B305A"/>
    <w:rsid w:val="001B4185"/>
    <w:rsid w:val="001B424D"/>
    <w:rsid w:val="001B481B"/>
    <w:rsid w:val="001B5348"/>
    <w:rsid w:val="001B57A9"/>
    <w:rsid w:val="001B5A04"/>
    <w:rsid w:val="001B5A21"/>
    <w:rsid w:val="001B60B5"/>
    <w:rsid w:val="001B61F6"/>
    <w:rsid w:val="001B67D9"/>
    <w:rsid w:val="001B69E1"/>
    <w:rsid w:val="001B74A7"/>
    <w:rsid w:val="001C1422"/>
    <w:rsid w:val="001C161B"/>
    <w:rsid w:val="001C1ADB"/>
    <w:rsid w:val="001C2460"/>
    <w:rsid w:val="001C40C7"/>
    <w:rsid w:val="001C4481"/>
    <w:rsid w:val="001C4539"/>
    <w:rsid w:val="001C4E87"/>
    <w:rsid w:val="001C50C1"/>
    <w:rsid w:val="001C5CD7"/>
    <w:rsid w:val="001C5D13"/>
    <w:rsid w:val="001C62E9"/>
    <w:rsid w:val="001C67F8"/>
    <w:rsid w:val="001C70A2"/>
    <w:rsid w:val="001C7F69"/>
    <w:rsid w:val="001D0863"/>
    <w:rsid w:val="001D316A"/>
    <w:rsid w:val="001D3432"/>
    <w:rsid w:val="001D34D7"/>
    <w:rsid w:val="001D424F"/>
    <w:rsid w:val="001D4EB3"/>
    <w:rsid w:val="001D50DE"/>
    <w:rsid w:val="001D5660"/>
    <w:rsid w:val="001D611A"/>
    <w:rsid w:val="001D61EB"/>
    <w:rsid w:val="001D686B"/>
    <w:rsid w:val="001D692B"/>
    <w:rsid w:val="001D7083"/>
    <w:rsid w:val="001E0226"/>
    <w:rsid w:val="001E03F5"/>
    <w:rsid w:val="001E1DC3"/>
    <w:rsid w:val="001E25FD"/>
    <w:rsid w:val="001E28A9"/>
    <w:rsid w:val="001E2AD5"/>
    <w:rsid w:val="001E38D7"/>
    <w:rsid w:val="001E3C5E"/>
    <w:rsid w:val="001E6555"/>
    <w:rsid w:val="001E65E5"/>
    <w:rsid w:val="001E7D98"/>
    <w:rsid w:val="001F06F6"/>
    <w:rsid w:val="001F074B"/>
    <w:rsid w:val="001F2FB2"/>
    <w:rsid w:val="001F351F"/>
    <w:rsid w:val="001F3550"/>
    <w:rsid w:val="001F36E5"/>
    <w:rsid w:val="001F3E57"/>
    <w:rsid w:val="001F3EED"/>
    <w:rsid w:val="001F4C6C"/>
    <w:rsid w:val="00200651"/>
    <w:rsid w:val="00200FE9"/>
    <w:rsid w:val="002022A5"/>
    <w:rsid w:val="002033F3"/>
    <w:rsid w:val="00203787"/>
    <w:rsid w:val="0020401D"/>
    <w:rsid w:val="00204CB7"/>
    <w:rsid w:val="0020517E"/>
    <w:rsid w:val="002051DA"/>
    <w:rsid w:val="0020785A"/>
    <w:rsid w:val="00210367"/>
    <w:rsid w:val="002126F2"/>
    <w:rsid w:val="00212C1E"/>
    <w:rsid w:val="00212F69"/>
    <w:rsid w:val="002132D1"/>
    <w:rsid w:val="00213A01"/>
    <w:rsid w:val="00215EF3"/>
    <w:rsid w:val="00216604"/>
    <w:rsid w:val="00216E44"/>
    <w:rsid w:val="00216ED4"/>
    <w:rsid w:val="0021702A"/>
    <w:rsid w:val="002172DC"/>
    <w:rsid w:val="002178DF"/>
    <w:rsid w:val="00217D61"/>
    <w:rsid w:val="002204A1"/>
    <w:rsid w:val="002205AD"/>
    <w:rsid w:val="00220D5B"/>
    <w:rsid w:val="00221203"/>
    <w:rsid w:val="0022332A"/>
    <w:rsid w:val="0022629F"/>
    <w:rsid w:val="00226933"/>
    <w:rsid w:val="00227347"/>
    <w:rsid w:val="00227C0F"/>
    <w:rsid w:val="00227F98"/>
    <w:rsid w:val="0023092B"/>
    <w:rsid w:val="00230EFA"/>
    <w:rsid w:val="00230FAF"/>
    <w:rsid w:val="00231CC6"/>
    <w:rsid w:val="00232145"/>
    <w:rsid w:val="00232A12"/>
    <w:rsid w:val="00232E1C"/>
    <w:rsid w:val="00232F88"/>
    <w:rsid w:val="00232FB4"/>
    <w:rsid w:val="00232FCB"/>
    <w:rsid w:val="002338D6"/>
    <w:rsid w:val="00233997"/>
    <w:rsid w:val="00233A6B"/>
    <w:rsid w:val="00233E71"/>
    <w:rsid w:val="0023406B"/>
    <w:rsid w:val="00234621"/>
    <w:rsid w:val="00234FF3"/>
    <w:rsid w:val="002355BB"/>
    <w:rsid w:val="00235802"/>
    <w:rsid w:val="00235FB2"/>
    <w:rsid w:val="0023735E"/>
    <w:rsid w:val="002400DD"/>
    <w:rsid w:val="00241605"/>
    <w:rsid w:val="00241832"/>
    <w:rsid w:val="00242799"/>
    <w:rsid w:val="002427D1"/>
    <w:rsid w:val="00243275"/>
    <w:rsid w:val="002432D6"/>
    <w:rsid w:val="0024335A"/>
    <w:rsid w:val="00243B28"/>
    <w:rsid w:val="00243F18"/>
    <w:rsid w:val="0024449C"/>
    <w:rsid w:val="00244EB5"/>
    <w:rsid w:val="002458E5"/>
    <w:rsid w:val="00246BA5"/>
    <w:rsid w:val="00247688"/>
    <w:rsid w:val="0024785D"/>
    <w:rsid w:val="00247B5F"/>
    <w:rsid w:val="00250D03"/>
    <w:rsid w:val="0025116C"/>
    <w:rsid w:val="00251C47"/>
    <w:rsid w:val="00251EDD"/>
    <w:rsid w:val="00252296"/>
    <w:rsid w:val="00252809"/>
    <w:rsid w:val="00254EA5"/>
    <w:rsid w:val="00254EB4"/>
    <w:rsid w:val="00256134"/>
    <w:rsid w:val="0025757C"/>
    <w:rsid w:val="0026027B"/>
    <w:rsid w:val="0026062B"/>
    <w:rsid w:val="002607CC"/>
    <w:rsid w:val="002608AB"/>
    <w:rsid w:val="00260E7B"/>
    <w:rsid w:val="002615F8"/>
    <w:rsid w:val="002622F2"/>
    <w:rsid w:val="0026368C"/>
    <w:rsid w:val="0026384A"/>
    <w:rsid w:val="00264E6F"/>
    <w:rsid w:val="00265009"/>
    <w:rsid w:val="002651F3"/>
    <w:rsid w:val="002657C9"/>
    <w:rsid w:val="00266504"/>
    <w:rsid w:val="00266C95"/>
    <w:rsid w:val="002678BF"/>
    <w:rsid w:val="00267BC9"/>
    <w:rsid w:val="00270FB1"/>
    <w:rsid w:val="002714A6"/>
    <w:rsid w:val="00272166"/>
    <w:rsid w:val="0027267C"/>
    <w:rsid w:val="00272DE1"/>
    <w:rsid w:val="00272E98"/>
    <w:rsid w:val="002738F6"/>
    <w:rsid w:val="002739F3"/>
    <w:rsid w:val="00274137"/>
    <w:rsid w:val="00275519"/>
    <w:rsid w:val="00276A7E"/>
    <w:rsid w:val="002801A0"/>
    <w:rsid w:val="00280839"/>
    <w:rsid w:val="00280B94"/>
    <w:rsid w:val="002810A4"/>
    <w:rsid w:val="00281DF4"/>
    <w:rsid w:val="00282083"/>
    <w:rsid w:val="002837F9"/>
    <w:rsid w:val="00283844"/>
    <w:rsid w:val="002850A0"/>
    <w:rsid w:val="00285512"/>
    <w:rsid w:val="00285BD4"/>
    <w:rsid w:val="00285F38"/>
    <w:rsid w:val="00286189"/>
    <w:rsid w:val="00286349"/>
    <w:rsid w:val="00286E7F"/>
    <w:rsid w:val="002873BA"/>
    <w:rsid w:val="00287613"/>
    <w:rsid w:val="00287E03"/>
    <w:rsid w:val="002901F5"/>
    <w:rsid w:val="002904B1"/>
    <w:rsid w:val="00290762"/>
    <w:rsid w:val="00290967"/>
    <w:rsid w:val="00291FB6"/>
    <w:rsid w:val="002921E8"/>
    <w:rsid w:val="00293058"/>
    <w:rsid w:val="002930AC"/>
    <w:rsid w:val="0029349A"/>
    <w:rsid w:val="00294B27"/>
    <w:rsid w:val="00294D9A"/>
    <w:rsid w:val="0029569B"/>
    <w:rsid w:val="00295D42"/>
    <w:rsid w:val="00296E17"/>
    <w:rsid w:val="0029702B"/>
    <w:rsid w:val="002970B3"/>
    <w:rsid w:val="002A22E3"/>
    <w:rsid w:val="002A2F8C"/>
    <w:rsid w:val="002A3155"/>
    <w:rsid w:val="002A5A0D"/>
    <w:rsid w:val="002A5FD4"/>
    <w:rsid w:val="002A61E1"/>
    <w:rsid w:val="002A6491"/>
    <w:rsid w:val="002A65B6"/>
    <w:rsid w:val="002A667A"/>
    <w:rsid w:val="002A72E0"/>
    <w:rsid w:val="002A7CBE"/>
    <w:rsid w:val="002B00EC"/>
    <w:rsid w:val="002B03E9"/>
    <w:rsid w:val="002B28E3"/>
    <w:rsid w:val="002B296B"/>
    <w:rsid w:val="002B2C3C"/>
    <w:rsid w:val="002B4250"/>
    <w:rsid w:val="002B4371"/>
    <w:rsid w:val="002B4476"/>
    <w:rsid w:val="002B4678"/>
    <w:rsid w:val="002B4776"/>
    <w:rsid w:val="002B4AA8"/>
    <w:rsid w:val="002B7659"/>
    <w:rsid w:val="002C052D"/>
    <w:rsid w:val="002C079F"/>
    <w:rsid w:val="002C0AD8"/>
    <w:rsid w:val="002C0B2E"/>
    <w:rsid w:val="002C1A9B"/>
    <w:rsid w:val="002C22A8"/>
    <w:rsid w:val="002C2473"/>
    <w:rsid w:val="002C2748"/>
    <w:rsid w:val="002C2EFD"/>
    <w:rsid w:val="002C3D4F"/>
    <w:rsid w:val="002C4629"/>
    <w:rsid w:val="002C4BB8"/>
    <w:rsid w:val="002C50A8"/>
    <w:rsid w:val="002C5256"/>
    <w:rsid w:val="002C5337"/>
    <w:rsid w:val="002C56CD"/>
    <w:rsid w:val="002C6DBC"/>
    <w:rsid w:val="002C7FC1"/>
    <w:rsid w:val="002C7FF9"/>
    <w:rsid w:val="002D0161"/>
    <w:rsid w:val="002D106C"/>
    <w:rsid w:val="002D1771"/>
    <w:rsid w:val="002D1AA7"/>
    <w:rsid w:val="002D1E24"/>
    <w:rsid w:val="002D231E"/>
    <w:rsid w:val="002D23A0"/>
    <w:rsid w:val="002D291B"/>
    <w:rsid w:val="002D368F"/>
    <w:rsid w:val="002D407A"/>
    <w:rsid w:val="002D60A0"/>
    <w:rsid w:val="002D622C"/>
    <w:rsid w:val="002D75D7"/>
    <w:rsid w:val="002D761D"/>
    <w:rsid w:val="002E163B"/>
    <w:rsid w:val="002E1DB3"/>
    <w:rsid w:val="002E29B4"/>
    <w:rsid w:val="002E2DA3"/>
    <w:rsid w:val="002E440A"/>
    <w:rsid w:val="002E49FF"/>
    <w:rsid w:val="002E4FF9"/>
    <w:rsid w:val="002E60A3"/>
    <w:rsid w:val="002E6D1B"/>
    <w:rsid w:val="002E7181"/>
    <w:rsid w:val="002E7327"/>
    <w:rsid w:val="002F015E"/>
    <w:rsid w:val="002F09C6"/>
    <w:rsid w:val="002F1512"/>
    <w:rsid w:val="002F299B"/>
    <w:rsid w:val="002F2AEA"/>
    <w:rsid w:val="002F2D32"/>
    <w:rsid w:val="002F2FFD"/>
    <w:rsid w:val="002F33F6"/>
    <w:rsid w:val="002F39E4"/>
    <w:rsid w:val="002F4CA9"/>
    <w:rsid w:val="002F4F56"/>
    <w:rsid w:val="002F682D"/>
    <w:rsid w:val="002F69BA"/>
    <w:rsid w:val="002F7354"/>
    <w:rsid w:val="002F79FF"/>
    <w:rsid w:val="00300D36"/>
    <w:rsid w:val="0030114D"/>
    <w:rsid w:val="0030145F"/>
    <w:rsid w:val="003024E6"/>
    <w:rsid w:val="00303EF2"/>
    <w:rsid w:val="00303FB2"/>
    <w:rsid w:val="00304DA1"/>
    <w:rsid w:val="0030601E"/>
    <w:rsid w:val="003107A7"/>
    <w:rsid w:val="0031097D"/>
    <w:rsid w:val="00310B77"/>
    <w:rsid w:val="00310EAE"/>
    <w:rsid w:val="00311746"/>
    <w:rsid w:val="00311D79"/>
    <w:rsid w:val="00312829"/>
    <w:rsid w:val="00312D12"/>
    <w:rsid w:val="00312DAD"/>
    <w:rsid w:val="00314323"/>
    <w:rsid w:val="00314930"/>
    <w:rsid w:val="00314A17"/>
    <w:rsid w:val="00314AD2"/>
    <w:rsid w:val="0031539C"/>
    <w:rsid w:val="00315471"/>
    <w:rsid w:val="00315734"/>
    <w:rsid w:val="0031599F"/>
    <w:rsid w:val="00315D00"/>
    <w:rsid w:val="003175BD"/>
    <w:rsid w:val="00317699"/>
    <w:rsid w:val="003219FF"/>
    <w:rsid w:val="00321FED"/>
    <w:rsid w:val="00323158"/>
    <w:rsid w:val="00323DCC"/>
    <w:rsid w:val="00323EC3"/>
    <w:rsid w:val="00324A20"/>
    <w:rsid w:val="00324B3F"/>
    <w:rsid w:val="00324C66"/>
    <w:rsid w:val="00325510"/>
    <w:rsid w:val="003262FD"/>
    <w:rsid w:val="00326399"/>
    <w:rsid w:val="003264EF"/>
    <w:rsid w:val="00326B34"/>
    <w:rsid w:val="00326FC9"/>
    <w:rsid w:val="00327B5B"/>
    <w:rsid w:val="00330341"/>
    <w:rsid w:val="00330725"/>
    <w:rsid w:val="003315CC"/>
    <w:rsid w:val="00331669"/>
    <w:rsid w:val="00331E43"/>
    <w:rsid w:val="00332A43"/>
    <w:rsid w:val="00333056"/>
    <w:rsid w:val="003332DA"/>
    <w:rsid w:val="003339F8"/>
    <w:rsid w:val="00334813"/>
    <w:rsid w:val="00334DD5"/>
    <w:rsid w:val="00335835"/>
    <w:rsid w:val="00335ED8"/>
    <w:rsid w:val="00335EE3"/>
    <w:rsid w:val="00336994"/>
    <w:rsid w:val="003379AD"/>
    <w:rsid w:val="00337CFB"/>
    <w:rsid w:val="00340003"/>
    <w:rsid w:val="00340A89"/>
    <w:rsid w:val="003418AD"/>
    <w:rsid w:val="0034394C"/>
    <w:rsid w:val="00343A08"/>
    <w:rsid w:val="00343B20"/>
    <w:rsid w:val="00343E42"/>
    <w:rsid w:val="00343EDB"/>
    <w:rsid w:val="003456A0"/>
    <w:rsid w:val="00346C39"/>
    <w:rsid w:val="00347A70"/>
    <w:rsid w:val="00347F27"/>
    <w:rsid w:val="003505B5"/>
    <w:rsid w:val="00350ACB"/>
    <w:rsid w:val="00351A5D"/>
    <w:rsid w:val="00354321"/>
    <w:rsid w:val="00354B38"/>
    <w:rsid w:val="00355FF8"/>
    <w:rsid w:val="003561C6"/>
    <w:rsid w:val="003578EC"/>
    <w:rsid w:val="00360157"/>
    <w:rsid w:val="00361A53"/>
    <w:rsid w:val="00362957"/>
    <w:rsid w:val="00362A5D"/>
    <w:rsid w:val="00362A86"/>
    <w:rsid w:val="003662F4"/>
    <w:rsid w:val="00366669"/>
    <w:rsid w:val="00366FA0"/>
    <w:rsid w:val="0036720F"/>
    <w:rsid w:val="00367C57"/>
    <w:rsid w:val="00370561"/>
    <w:rsid w:val="003708CC"/>
    <w:rsid w:val="0037129B"/>
    <w:rsid w:val="0037148D"/>
    <w:rsid w:val="00372A28"/>
    <w:rsid w:val="003731D8"/>
    <w:rsid w:val="0037607D"/>
    <w:rsid w:val="0037609E"/>
    <w:rsid w:val="00376D5B"/>
    <w:rsid w:val="00380481"/>
    <w:rsid w:val="00380CCC"/>
    <w:rsid w:val="003814E0"/>
    <w:rsid w:val="003828B0"/>
    <w:rsid w:val="00382B1B"/>
    <w:rsid w:val="003831EB"/>
    <w:rsid w:val="00383FE6"/>
    <w:rsid w:val="003849A2"/>
    <w:rsid w:val="003859B2"/>
    <w:rsid w:val="003862BE"/>
    <w:rsid w:val="00386381"/>
    <w:rsid w:val="0038664D"/>
    <w:rsid w:val="0039023E"/>
    <w:rsid w:val="0039024C"/>
    <w:rsid w:val="003906F3"/>
    <w:rsid w:val="00390D7F"/>
    <w:rsid w:val="00390E6A"/>
    <w:rsid w:val="003915C9"/>
    <w:rsid w:val="00391B45"/>
    <w:rsid w:val="00392384"/>
    <w:rsid w:val="00392DDE"/>
    <w:rsid w:val="00392ED3"/>
    <w:rsid w:val="00393097"/>
    <w:rsid w:val="00393171"/>
    <w:rsid w:val="0039418E"/>
    <w:rsid w:val="00394B35"/>
    <w:rsid w:val="00394BAC"/>
    <w:rsid w:val="00394F52"/>
    <w:rsid w:val="00395A57"/>
    <w:rsid w:val="00396599"/>
    <w:rsid w:val="00397182"/>
    <w:rsid w:val="003972EA"/>
    <w:rsid w:val="003A0B0A"/>
    <w:rsid w:val="003A25A7"/>
    <w:rsid w:val="003A25E4"/>
    <w:rsid w:val="003A2ABD"/>
    <w:rsid w:val="003A2B73"/>
    <w:rsid w:val="003A38B6"/>
    <w:rsid w:val="003A4528"/>
    <w:rsid w:val="003A4951"/>
    <w:rsid w:val="003A4B9A"/>
    <w:rsid w:val="003A4F31"/>
    <w:rsid w:val="003A52A4"/>
    <w:rsid w:val="003A5627"/>
    <w:rsid w:val="003A5FFF"/>
    <w:rsid w:val="003A610A"/>
    <w:rsid w:val="003A61D8"/>
    <w:rsid w:val="003A63DE"/>
    <w:rsid w:val="003A6E03"/>
    <w:rsid w:val="003A6FD1"/>
    <w:rsid w:val="003A7674"/>
    <w:rsid w:val="003B0A50"/>
    <w:rsid w:val="003B13FB"/>
    <w:rsid w:val="003B1680"/>
    <w:rsid w:val="003B3419"/>
    <w:rsid w:val="003B3880"/>
    <w:rsid w:val="003B51A8"/>
    <w:rsid w:val="003B5B47"/>
    <w:rsid w:val="003B620F"/>
    <w:rsid w:val="003B66E8"/>
    <w:rsid w:val="003B7060"/>
    <w:rsid w:val="003B7F67"/>
    <w:rsid w:val="003C02C4"/>
    <w:rsid w:val="003C03FD"/>
    <w:rsid w:val="003C042B"/>
    <w:rsid w:val="003C0456"/>
    <w:rsid w:val="003C1C5A"/>
    <w:rsid w:val="003C1E1D"/>
    <w:rsid w:val="003C3193"/>
    <w:rsid w:val="003C397D"/>
    <w:rsid w:val="003C49DB"/>
    <w:rsid w:val="003C4DBB"/>
    <w:rsid w:val="003C4E0B"/>
    <w:rsid w:val="003C5125"/>
    <w:rsid w:val="003C5729"/>
    <w:rsid w:val="003C6076"/>
    <w:rsid w:val="003C6667"/>
    <w:rsid w:val="003D0715"/>
    <w:rsid w:val="003D0FEC"/>
    <w:rsid w:val="003D15C3"/>
    <w:rsid w:val="003D1B46"/>
    <w:rsid w:val="003D1B89"/>
    <w:rsid w:val="003D2922"/>
    <w:rsid w:val="003D2D2A"/>
    <w:rsid w:val="003D469A"/>
    <w:rsid w:val="003D47F3"/>
    <w:rsid w:val="003D4863"/>
    <w:rsid w:val="003D4954"/>
    <w:rsid w:val="003D5B2F"/>
    <w:rsid w:val="003D63DD"/>
    <w:rsid w:val="003D6522"/>
    <w:rsid w:val="003E03F8"/>
    <w:rsid w:val="003E1184"/>
    <w:rsid w:val="003E1628"/>
    <w:rsid w:val="003E1917"/>
    <w:rsid w:val="003E193F"/>
    <w:rsid w:val="003E2FD9"/>
    <w:rsid w:val="003E31B7"/>
    <w:rsid w:val="003E3B00"/>
    <w:rsid w:val="003E76FC"/>
    <w:rsid w:val="003E7A5E"/>
    <w:rsid w:val="003E7AC0"/>
    <w:rsid w:val="003F0013"/>
    <w:rsid w:val="003F0153"/>
    <w:rsid w:val="003F1382"/>
    <w:rsid w:val="003F15B3"/>
    <w:rsid w:val="003F1820"/>
    <w:rsid w:val="003F21D6"/>
    <w:rsid w:val="003F3EF8"/>
    <w:rsid w:val="003F43B1"/>
    <w:rsid w:val="003F4734"/>
    <w:rsid w:val="003F520F"/>
    <w:rsid w:val="003F6567"/>
    <w:rsid w:val="003F6C77"/>
    <w:rsid w:val="003F6F36"/>
    <w:rsid w:val="003F72AF"/>
    <w:rsid w:val="003F74F7"/>
    <w:rsid w:val="004007A9"/>
    <w:rsid w:val="00400B71"/>
    <w:rsid w:val="00401717"/>
    <w:rsid w:val="00402A21"/>
    <w:rsid w:val="00404336"/>
    <w:rsid w:val="0040434A"/>
    <w:rsid w:val="00404899"/>
    <w:rsid w:val="00407A93"/>
    <w:rsid w:val="00407E42"/>
    <w:rsid w:val="0041047F"/>
    <w:rsid w:val="00410A81"/>
    <w:rsid w:val="00410F73"/>
    <w:rsid w:val="0041126E"/>
    <w:rsid w:val="004127AE"/>
    <w:rsid w:val="00412B15"/>
    <w:rsid w:val="00412B4B"/>
    <w:rsid w:val="00412C2C"/>
    <w:rsid w:val="00413383"/>
    <w:rsid w:val="0041390B"/>
    <w:rsid w:val="00413BC1"/>
    <w:rsid w:val="00414461"/>
    <w:rsid w:val="004146E4"/>
    <w:rsid w:val="00415F21"/>
    <w:rsid w:val="004169D9"/>
    <w:rsid w:val="00416D7F"/>
    <w:rsid w:val="004170E0"/>
    <w:rsid w:val="004171D2"/>
    <w:rsid w:val="00417481"/>
    <w:rsid w:val="00420A7C"/>
    <w:rsid w:val="00420BD7"/>
    <w:rsid w:val="00420FF0"/>
    <w:rsid w:val="00421929"/>
    <w:rsid w:val="00422AA0"/>
    <w:rsid w:val="00422E37"/>
    <w:rsid w:val="0042427C"/>
    <w:rsid w:val="00424ECD"/>
    <w:rsid w:val="004266D5"/>
    <w:rsid w:val="004279FA"/>
    <w:rsid w:val="0043037B"/>
    <w:rsid w:val="004309D9"/>
    <w:rsid w:val="00431428"/>
    <w:rsid w:val="004317D7"/>
    <w:rsid w:val="00432063"/>
    <w:rsid w:val="00432A5A"/>
    <w:rsid w:val="00433257"/>
    <w:rsid w:val="004333D0"/>
    <w:rsid w:val="004337DF"/>
    <w:rsid w:val="00433BD8"/>
    <w:rsid w:val="00437E32"/>
    <w:rsid w:val="004401DD"/>
    <w:rsid w:val="00441CBC"/>
    <w:rsid w:val="004428F3"/>
    <w:rsid w:val="00442B05"/>
    <w:rsid w:val="00443399"/>
    <w:rsid w:val="004449F6"/>
    <w:rsid w:val="00444C78"/>
    <w:rsid w:val="00445EF5"/>
    <w:rsid w:val="004470DC"/>
    <w:rsid w:val="004475BE"/>
    <w:rsid w:val="00447DEC"/>
    <w:rsid w:val="00447E3F"/>
    <w:rsid w:val="00450C6F"/>
    <w:rsid w:val="00450C7C"/>
    <w:rsid w:val="004510A4"/>
    <w:rsid w:val="0045146B"/>
    <w:rsid w:val="00452AE6"/>
    <w:rsid w:val="004533C6"/>
    <w:rsid w:val="004534C9"/>
    <w:rsid w:val="00453AC0"/>
    <w:rsid w:val="004549F5"/>
    <w:rsid w:val="00456835"/>
    <w:rsid w:val="00456E01"/>
    <w:rsid w:val="0046044B"/>
    <w:rsid w:val="00460D99"/>
    <w:rsid w:val="00460FFB"/>
    <w:rsid w:val="0046143F"/>
    <w:rsid w:val="00461E60"/>
    <w:rsid w:val="00461E93"/>
    <w:rsid w:val="00461F09"/>
    <w:rsid w:val="0046254E"/>
    <w:rsid w:val="00462D1C"/>
    <w:rsid w:val="00462E24"/>
    <w:rsid w:val="00463296"/>
    <w:rsid w:val="0046575C"/>
    <w:rsid w:val="00467133"/>
    <w:rsid w:val="0046742C"/>
    <w:rsid w:val="004707EA"/>
    <w:rsid w:val="00470AED"/>
    <w:rsid w:val="00470AFB"/>
    <w:rsid w:val="00472373"/>
    <w:rsid w:val="00472B5C"/>
    <w:rsid w:val="004737B8"/>
    <w:rsid w:val="00474578"/>
    <w:rsid w:val="00475BE8"/>
    <w:rsid w:val="00475CB0"/>
    <w:rsid w:val="004778F2"/>
    <w:rsid w:val="00481129"/>
    <w:rsid w:val="00481461"/>
    <w:rsid w:val="00483BD5"/>
    <w:rsid w:val="0048401E"/>
    <w:rsid w:val="0048550A"/>
    <w:rsid w:val="00485EF5"/>
    <w:rsid w:val="00486C27"/>
    <w:rsid w:val="00486F51"/>
    <w:rsid w:val="004875E3"/>
    <w:rsid w:val="004877BD"/>
    <w:rsid w:val="00490043"/>
    <w:rsid w:val="00490482"/>
    <w:rsid w:val="0049051E"/>
    <w:rsid w:val="00490803"/>
    <w:rsid w:val="0049187D"/>
    <w:rsid w:val="00492DBF"/>
    <w:rsid w:val="00492E1E"/>
    <w:rsid w:val="004931DB"/>
    <w:rsid w:val="00493B74"/>
    <w:rsid w:val="004969D9"/>
    <w:rsid w:val="00496A5C"/>
    <w:rsid w:val="0049708D"/>
    <w:rsid w:val="00497167"/>
    <w:rsid w:val="004978A7"/>
    <w:rsid w:val="004A1110"/>
    <w:rsid w:val="004A2460"/>
    <w:rsid w:val="004A2D32"/>
    <w:rsid w:val="004A3D71"/>
    <w:rsid w:val="004A50CB"/>
    <w:rsid w:val="004A5B4F"/>
    <w:rsid w:val="004A658D"/>
    <w:rsid w:val="004A6A2E"/>
    <w:rsid w:val="004A716A"/>
    <w:rsid w:val="004A730E"/>
    <w:rsid w:val="004A7692"/>
    <w:rsid w:val="004A7A19"/>
    <w:rsid w:val="004B0647"/>
    <w:rsid w:val="004B14B2"/>
    <w:rsid w:val="004B2070"/>
    <w:rsid w:val="004B2209"/>
    <w:rsid w:val="004B2A08"/>
    <w:rsid w:val="004B2A44"/>
    <w:rsid w:val="004B3F07"/>
    <w:rsid w:val="004B45D7"/>
    <w:rsid w:val="004B50F7"/>
    <w:rsid w:val="004B693B"/>
    <w:rsid w:val="004B6974"/>
    <w:rsid w:val="004B73E7"/>
    <w:rsid w:val="004B74CB"/>
    <w:rsid w:val="004B7C17"/>
    <w:rsid w:val="004B7DE0"/>
    <w:rsid w:val="004C0318"/>
    <w:rsid w:val="004C0D4A"/>
    <w:rsid w:val="004C10D4"/>
    <w:rsid w:val="004C26F9"/>
    <w:rsid w:val="004C4051"/>
    <w:rsid w:val="004C4367"/>
    <w:rsid w:val="004C43D6"/>
    <w:rsid w:val="004C515C"/>
    <w:rsid w:val="004C53A3"/>
    <w:rsid w:val="004C60DC"/>
    <w:rsid w:val="004C6401"/>
    <w:rsid w:val="004C6B61"/>
    <w:rsid w:val="004C6D2A"/>
    <w:rsid w:val="004D0823"/>
    <w:rsid w:val="004D1BCB"/>
    <w:rsid w:val="004D26EA"/>
    <w:rsid w:val="004D3B27"/>
    <w:rsid w:val="004D3D7D"/>
    <w:rsid w:val="004D4C56"/>
    <w:rsid w:val="004D53DE"/>
    <w:rsid w:val="004D5A1B"/>
    <w:rsid w:val="004D5D8F"/>
    <w:rsid w:val="004D5DDC"/>
    <w:rsid w:val="004D67B7"/>
    <w:rsid w:val="004D6D72"/>
    <w:rsid w:val="004D7119"/>
    <w:rsid w:val="004E0118"/>
    <w:rsid w:val="004E0F31"/>
    <w:rsid w:val="004E1574"/>
    <w:rsid w:val="004E1A8C"/>
    <w:rsid w:val="004E1B65"/>
    <w:rsid w:val="004E29BF"/>
    <w:rsid w:val="004E2DFB"/>
    <w:rsid w:val="004E346A"/>
    <w:rsid w:val="004E3831"/>
    <w:rsid w:val="004E3A38"/>
    <w:rsid w:val="004E473C"/>
    <w:rsid w:val="004E501C"/>
    <w:rsid w:val="004E530C"/>
    <w:rsid w:val="004E5495"/>
    <w:rsid w:val="004E73A1"/>
    <w:rsid w:val="004F04E4"/>
    <w:rsid w:val="004F057F"/>
    <w:rsid w:val="004F0E26"/>
    <w:rsid w:val="004F120D"/>
    <w:rsid w:val="004F2A2E"/>
    <w:rsid w:val="004F4BA0"/>
    <w:rsid w:val="004F4BB4"/>
    <w:rsid w:val="004F4D81"/>
    <w:rsid w:val="004F4FBF"/>
    <w:rsid w:val="004F5190"/>
    <w:rsid w:val="004F54B2"/>
    <w:rsid w:val="004F5DCF"/>
    <w:rsid w:val="004F727C"/>
    <w:rsid w:val="004F785D"/>
    <w:rsid w:val="004F7C52"/>
    <w:rsid w:val="005010B5"/>
    <w:rsid w:val="00502059"/>
    <w:rsid w:val="00502371"/>
    <w:rsid w:val="005026E6"/>
    <w:rsid w:val="00502F78"/>
    <w:rsid w:val="00504C2B"/>
    <w:rsid w:val="00504E7F"/>
    <w:rsid w:val="00504EDB"/>
    <w:rsid w:val="00505473"/>
    <w:rsid w:val="0050561B"/>
    <w:rsid w:val="00505EC7"/>
    <w:rsid w:val="0050601C"/>
    <w:rsid w:val="005066F0"/>
    <w:rsid w:val="00506A32"/>
    <w:rsid w:val="00506CF9"/>
    <w:rsid w:val="00506F4B"/>
    <w:rsid w:val="00510833"/>
    <w:rsid w:val="005116E2"/>
    <w:rsid w:val="00511C59"/>
    <w:rsid w:val="00512120"/>
    <w:rsid w:val="00512E23"/>
    <w:rsid w:val="00513597"/>
    <w:rsid w:val="00513EA3"/>
    <w:rsid w:val="00515330"/>
    <w:rsid w:val="0051582C"/>
    <w:rsid w:val="00516322"/>
    <w:rsid w:val="0051697F"/>
    <w:rsid w:val="00516C04"/>
    <w:rsid w:val="00516CB0"/>
    <w:rsid w:val="00517AC9"/>
    <w:rsid w:val="00517C7B"/>
    <w:rsid w:val="00517D0D"/>
    <w:rsid w:val="00520EA4"/>
    <w:rsid w:val="00521785"/>
    <w:rsid w:val="0052209B"/>
    <w:rsid w:val="00522223"/>
    <w:rsid w:val="00522269"/>
    <w:rsid w:val="00522597"/>
    <w:rsid w:val="005228BB"/>
    <w:rsid w:val="0052393A"/>
    <w:rsid w:val="00523C44"/>
    <w:rsid w:val="00523D14"/>
    <w:rsid w:val="005243A9"/>
    <w:rsid w:val="00525735"/>
    <w:rsid w:val="0052624D"/>
    <w:rsid w:val="00527347"/>
    <w:rsid w:val="00527A35"/>
    <w:rsid w:val="00530AE4"/>
    <w:rsid w:val="0053205B"/>
    <w:rsid w:val="0053282E"/>
    <w:rsid w:val="00533968"/>
    <w:rsid w:val="00533D3F"/>
    <w:rsid w:val="005345AB"/>
    <w:rsid w:val="0053559D"/>
    <w:rsid w:val="00535BFF"/>
    <w:rsid w:val="005363F8"/>
    <w:rsid w:val="00536A22"/>
    <w:rsid w:val="00536ADC"/>
    <w:rsid w:val="00536DCC"/>
    <w:rsid w:val="00541D84"/>
    <w:rsid w:val="00542BD1"/>
    <w:rsid w:val="00543BD1"/>
    <w:rsid w:val="00543BF7"/>
    <w:rsid w:val="00543E27"/>
    <w:rsid w:val="005443FD"/>
    <w:rsid w:val="0054455C"/>
    <w:rsid w:val="00545757"/>
    <w:rsid w:val="005466C5"/>
    <w:rsid w:val="00547769"/>
    <w:rsid w:val="00547806"/>
    <w:rsid w:val="00547882"/>
    <w:rsid w:val="0055084B"/>
    <w:rsid w:val="00553B6F"/>
    <w:rsid w:val="00554435"/>
    <w:rsid w:val="0055502F"/>
    <w:rsid w:val="00555111"/>
    <w:rsid w:val="00556618"/>
    <w:rsid w:val="00556A2C"/>
    <w:rsid w:val="005576DA"/>
    <w:rsid w:val="00560285"/>
    <w:rsid w:val="00560624"/>
    <w:rsid w:val="00561A0B"/>
    <w:rsid w:val="0056298C"/>
    <w:rsid w:val="00563624"/>
    <w:rsid w:val="00564EC8"/>
    <w:rsid w:val="00565FDD"/>
    <w:rsid w:val="0056752F"/>
    <w:rsid w:val="00567767"/>
    <w:rsid w:val="00567820"/>
    <w:rsid w:val="00567DC2"/>
    <w:rsid w:val="00567F38"/>
    <w:rsid w:val="005708E4"/>
    <w:rsid w:val="005709E1"/>
    <w:rsid w:val="00570EED"/>
    <w:rsid w:val="005756E2"/>
    <w:rsid w:val="00577248"/>
    <w:rsid w:val="00580430"/>
    <w:rsid w:val="005805D3"/>
    <w:rsid w:val="0058069E"/>
    <w:rsid w:val="00580F7B"/>
    <w:rsid w:val="0058189D"/>
    <w:rsid w:val="00581A58"/>
    <w:rsid w:val="0058252B"/>
    <w:rsid w:val="005825C1"/>
    <w:rsid w:val="005828E6"/>
    <w:rsid w:val="00582A75"/>
    <w:rsid w:val="0058374B"/>
    <w:rsid w:val="00583943"/>
    <w:rsid w:val="0058446F"/>
    <w:rsid w:val="00584623"/>
    <w:rsid w:val="005851A6"/>
    <w:rsid w:val="00585D6F"/>
    <w:rsid w:val="00586CEC"/>
    <w:rsid w:val="00590402"/>
    <w:rsid w:val="0059058E"/>
    <w:rsid w:val="00590A8B"/>
    <w:rsid w:val="00591D07"/>
    <w:rsid w:val="005927CC"/>
    <w:rsid w:val="00593EDB"/>
    <w:rsid w:val="0059483C"/>
    <w:rsid w:val="00594BDA"/>
    <w:rsid w:val="00594FD0"/>
    <w:rsid w:val="00595E31"/>
    <w:rsid w:val="0059679E"/>
    <w:rsid w:val="00596AD8"/>
    <w:rsid w:val="00596FF1"/>
    <w:rsid w:val="005A0B7A"/>
    <w:rsid w:val="005A1A2C"/>
    <w:rsid w:val="005A1F56"/>
    <w:rsid w:val="005A3BBC"/>
    <w:rsid w:val="005A3E13"/>
    <w:rsid w:val="005A40E8"/>
    <w:rsid w:val="005A473A"/>
    <w:rsid w:val="005A4A5C"/>
    <w:rsid w:val="005A52F9"/>
    <w:rsid w:val="005A59A7"/>
    <w:rsid w:val="005A59FB"/>
    <w:rsid w:val="005A70BE"/>
    <w:rsid w:val="005A7A0F"/>
    <w:rsid w:val="005A7A12"/>
    <w:rsid w:val="005B1A6D"/>
    <w:rsid w:val="005B2092"/>
    <w:rsid w:val="005B2881"/>
    <w:rsid w:val="005B2A8E"/>
    <w:rsid w:val="005B4575"/>
    <w:rsid w:val="005B5CDF"/>
    <w:rsid w:val="005B704C"/>
    <w:rsid w:val="005B7EC9"/>
    <w:rsid w:val="005C0B58"/>
    <w:rsid w:val="005C0D67"/>
    <w:rsid w:val="005C0E10"/>
    <w:rsid w:val="005C1B2B"/>
    <w:rsid w:val="005C29B4"/>
    <w:rsid w:val="005C4BBD"/>
    <w:rsid w:val="005C4D08"/>
    <w:rsid w:val="005C58DB"/>
    <w:rsid w:val="005C5B34"/>
    <w:rsid w:val="005C6C54"/>
    <w:rsid w:val="005C7392"/>
    <w:rsid w:val="005D080C"/>
    <w:rsid w:val="005D0ED6"/>
    <w:rsid w:val="005D1B56"/>
    <w:rsid w:val="005D1F5C"/>
    <w:rsid w:val="005D3CB6"/>
    <w:rsid w:val="005D42CC"/>
    <w:rsid w:val="005D60CC"/>
    <w:rsid w:val="005D66F6"/>
    <w:rsid w:val="005E0DE7"/>
    <w:rsid w:val="005E1013"/>
    <w:rsid w:val="005E108E"/>
    <w:rsid w:val="005E16EB"/>
    <w:rsid w:val="005E17F8"/>
    <w:rsid w:val="005E1C03"/>
    <w:rsid w:val="005E4B14"/>
    <w:rsid w:val="005E50AF"/>
    <w:rsid w:val="005E6690"/>
    <w:rsid w:val="005E7168"/>
    <w:rsid w:val="005E732E"/>
    <w:rsid w:val="005E7A93"/>
    <w:rsid w:val="005F022A"/>
    <w:rsid w:val="005F1043"/>
    <w:rsid w:val="005F21F3"/>
    <w:rsid w:val="005F2398"/>
    <w:rsid w:val="005F4440"/>
    <w:rsid w:val="005F4FA7"/>
    <w:rsid w:val="005F6FD9"/>
    <w:rsid w:val="005F7900"/>
    <w:rsid w:val="005F7A13"/>
    <w:rsid w:val="006003BA"/>
    <w:rsid w:val="00600805"/>
    <w:rsid w:val="006008F5"/>
    <w:rsid w:val="006014C5"/>
    <w:rsid w:val="00601C59"/>
    <w:rsid w:val="00602B6F"/>
    <w:rsid w:val="006035F5"/>
    <w:rsid w:val="006046BE"/>
    <w:rsid w:val="006048DA"/>
    <w:rsid w:val="00605B2F"/>
    <w:rsid w:val="00606732"/>
    <w:rsid w:val="00606929"/>
    <w:rsid w:val="00606A91"/>
    <w:rsid w:val="0060734C"/>
    <w:rsid w:val="00607ACD"/>
    <w:rsid w:val="006103AE"/>
    <w:rsid w:val="00610647"/>
    <w:rsid w:val="00610722"/>
    <w:rsid w:val="006109DB"/>
    <w:rsid w:val="00610CE0"/>
    <w:rsid w:val="00611AAA"/>
    <w:rsid w:val="00611C88"/>
    <w:rsid w:val="006127A5"/>
    <w:rsid w:val="006129D4"/>
    <w:rsid w:val="006129D9"/>
    <w:rsid w:val="006134FF"/>
    <w:rsid w:val="00614925"/>
    <w:rsid w:val="00614ED6"/>
    <w:rsid w:val="00615707"/>
    <w:rsid w:val="00615DAA"/>
    <w:rsid w:val="00615F89"/>
    <w:rsid w:val="00616713"/>
    <w:rsid w:val="0061728B"/>
    <w:rsid w:val="00620742"/>
    <w:rsid w:val="00621296"/>
    <w:rsid w:val="00621445"/>
    <w:rsid w:val="006214EA"/>
    <w:rsid w:val="006224F1"/>
    <w:rsid w:val="00622716"/>
    <w:rsid w:val="00623581"/>
    <w:rsid w:val="00623744"/>
    <w:rsid w:val="0062449E"/>
    <w:rsid w:val="00624F08"/>
    <w:rsid w:val="0062537E"/>
    <w:rsid w:val="0062594C"/>
    <w:rsid w:val="00625FE2"/>
    <w:rsid w:val="0062649F"/>
    <w:rsid w:val="00626690"/>
    <w:rsid w:val="0062695F"/>
    <w:rsid w:val="00626D5D"/>
    <w:rsid w:val="00627236"/>
    <w:rsid w:val="006279EC"/>
    <w:rsid w:val="00627A71"/>
    <w:rsid w:val="00627B7E"/>
    <w:rsid w:val="00627D16"/>
    <w:rsid w:val="00631789"/>
    <w:rsid w:val="00632163"/>
    <w:rsid w:val="0063224C"/>
    <w:rsid w:val="0063329F"/>
    <w:rsid w:val="006337DD"/>
    <w:rsid w:val="00633ACB"/>
    <w:rsid w:val="00633EA6"/>
    <w:rsid w:val="006343A2"/>
    <w:rsid w:val="006343AA"/>
    <w:rsid w:val="0063451C"/>
    <w:rsid w:val="00634E67"/>
    <w:rsid w:val="00634EA3"/>
    <w:rsid w:val="00637830"/>
    <w:rsid w:val="00637B58"/>
    <w:rsid w:val="00637D65"/>
    <w:rsid w:val="00637DAE"/>
    <w:rsid w:val="00637F8F"/>
    <w:rsid w:val="00640192"/>
    <w:rsid w:val="00640DDB"/>
    <w:rsid w:val="0064263F"/>
    <w:rsid w:val="00642CDE"/>
    <w:rsid w:val="00642E29"/>
    <w:rsid w:val="0064308E"/>
    <w:rsid w:val="00644387"/>
    <w:rsid w:val="00644B56"/>
    <w:rsid w:val="00645EB4"/>
    <w:rsid w:val="006471A6"/>
    <w:rsid w:val="0064759C"/>
    <w:rsid w:val="006502D9"/>
    <w:rsid w:val="006518B8"/>
    <w:rsid w:val="006523A1"/>
    <w:rsid w:val="00652563"/>
    <w:rsid w:val="00652B76"/>
    <w:rsid w:val="00654C35"/>
    <w:rsid w:val="006556D0"/>
    <w:rsid w:val="006577AA"/>
    <w:rsid w:val="00657F26"/>
    <w:rsid w:val="00662B29"/>
    <w:rsid w:val="00662EEE"/>
    <w:rsid w:val="0066400E"/>
    <w:rsid w:val="006644EA"/>
    <w:rsid w:val="0066509F"/>
    <w:rsid w:val="00665493"/>
    <w:rsid w:val="006655F7"/>
    <w:rsid w:val="00665A8C"/>
    <w:rsid w:val="00665FDB"/>
    <w:rsid w:val="00666C18"/>
    <w:rsid w:val="006676C7"/>
    <w:rsid w:val="00667CBB"/>
    <w:rsid w:val="00670AE6"/>
    <w:rsid w:val="00670B17"/>
    <w:rsid w:val="006712C5"/>
    <w:rsid w:val="006721FC"/>
    <w:rsid w:val="006730B8"/>
    <w:rsid w:val="006739FC"/>
    <w:rsid w:val="00674A85"/>
    <w:rsid w:val="00674BE0"/>
    <w:rsid w:val="0067576E"/>
    <w:rsid w:val="00675D02"/>
    <w:rsid w:val="00675F5E"/>
    <w:rsid w:val="00676622"/>
    <w:rsid w:val="00676F01"/>
    <w:rsid w:val="00676F04"/>
    <w:rsid w:val="00677127"/>
    <w:rsid w:val="00677262"/>
    <w:rsid w:val="0067775D"/>
    <w:rsid w:val="00677EE4"/>
    <w:rsid w:val="006809ED"/>
    <w:rsid w:val="00681A7B"/>
    <w:rsid w:val="006821C4"/>
    <w:rsid w:val="00682654"/>
    <w:rsid w:val="00682854"/>
    <w:rsid w:val="00684B59"/>
    <w:rsid w:val="00684EA6"/>
    <w:rsid w:val="00685200"/>
    <w:rsid w:val="0068526F"/>
    <w:rsid w:val="006862AF"/>
    <w:rsid w:val="00686688"/>
    <w:rsid w:val="006879E2"/>
    <w:rsid w:val="00690BB8"/>
    <w:rsid w:val="00691EC9"/>
    <w:rsid w:val="00691F2F"/>
    <w:rsid w:val="0069224C"/>
    <w:rsid w:val="00692581"/>
    <w:rsid w:val="00692F8C"/>
    <w:rsid w:val="00693A1C"/>
    <w:rsid w:val="0069506C"/>
    <w:rsid w:val="00695A3B"/>
    <w:rsid w:val="006972F7"/>
    <w:rsid w:val="006A001C"/>
    <w:rsid w:val="006A022A"/>
    <w:rsid w:val="006A121F"/>
    <w:rsid w:val="006A1B79"/>
    <w:rsid w:val="006A222C"/>
    <w:rsid w:val="006A23F9"/>
    <w:rsid w:val="006A3542"/>
    <w:rsid w:val="006A36AF"/>
    <w:rsid w:val="006A5E0C"/>
    <w:rsid w:val="006A6531"/>
    <w:rsid w:val="006A65D3"/>
    <w:rsid w:val="006A69C1"/>
    <w:rsid w:val="006B094D"/>
    <w:rsid w:val="006B148C"/>
    <w:rsid w:val="006B1B17"/>
    <w:rsid w:val="006B219F"/>
    <w:rsid w:val="006B2F5C"/>
    <w:rsid w:val="006B325F"/>
    <w:rsid w:val="006B4757"/>
    <w:rsid w:val="006B480F"/>
    <w:rsid w:val="006B4861"/>
    <w:rsid w:val="006B4C21"/>
    <w:rsid w:val="006B6640"/>
    <w:rsid w:val="006B6D28"/>
    <w:rsid w:val="006B77FC"/>
    <w:rsid w:val="006C00A0"/>
    <w:rsid w:val="006C01F9"/>
    <w:rsid w:val="006C0641"/>
    <w:rsid w:val="006C0739"/>
    <w:rsid w:val="006C1751"/>
    <w:rsid w:val="006C2025"/>
    <w:rsid w:val="006C2676"/>
    <w:rsid w:val="006C2D68"/>
    <w:rsid w:val="006C2E3E"/>
    <w:rsid w:val="006C36A4"/>
    <w:rsid w:val="006C3AD1"/>
    <w:rsid w:val="006C4887"/>
    <w:rsid w:val="006C493B"/>
    <w:rsid w:val="006C63E5"/>
    <w:rsid w:val="006C65BA"/>
    <w:rsid w:val="006C7A8B"/>
    <w:rsid w:val="006C7C92"/>
    <w:rsid w:val="006C7ED1"/>
    <w:rsid w:val="006D0D82"/>
    <w:rsid w:val="006D1458"/>
    <w:rsid w:val="006D1F4A"/>
    <w:rsid w:val="006D2A7E"/>
    <w:rsid w:val="006D2E3E"/>
    <w:rsid w:val="006D3C54"/>
    <w:rsid w:val="006D4669"/>
    <w:rsid w:val="006D4BE3"/>
    <w:rsid w:val="006D5BF1"/>
    <w:rsid w:val="006D6567"/>
    <w:rsid w:val="006D6E53"/>
    <w:rsid w:val="006E37D9"/>
    <w:rsid w:val="006E44C7"/>
    <w:rsid w:val="006E4AA1"/>
    <w:rsid w:val="006E51A7"/>
    <w:rsid w:val="006E5935"/>
    <w:rsid w:val="006E5B9F"/>
    <w:rsid w:val="006E618B"/>
    <w:rsid w:val="006E6518"/>
    <w:rsid w:val="006E6A03"/>
    <w:rsid w:val="006E729E"/>
    <w:rsid w:val="006E7701"/>
    <w:rsid w:val="006F0C0B"/>
    <w:rsid w:val="006F0D05"/>
    <w:rsid w:val="006F0ED8"/>
    <w:rsid w:val="006F1FE1"/>
    <w:rsid w:val="006F2867"/>
    <w:rsid w:val="006F33B4"/>
    <w:rsid w:val="006F36D3"/>
    <w:rsid w:val="006F389A"/>
    <w:rsid w:val="006F3EA2"/>
    <w:rsid w:val="006F4061"/>
    <w:rsid w:val="006F45B7"/>
    <w:rsid w:val="006F58AF"/>
    <w:rsid w:val="006F74EF"/>
    <w:rsid w:val="006F7723"/>
    <w:rsid w:val="006F7D7F"/>
    <w:rsid w:val="007015CA"/>
    <w:rsid w:val="00701FFC"/>
    <w:rsid w:val="00702223"/>
    <w:rsid w:val="00702541"/>
    <w:rsid w:val="00703051"/>
    <w:rsid w:val="00703CC5"/>
    <w:rsid w:val="00704C0C"/>
    <w:rsid w:val="00705FAD"/>
    <w:rsid w:val="00706E23"/>
    <w:rsid w:val="007102ED"/>
    <w:rsid w:val="00711483"/>
    <w:rsid w:val="007116D4"/>
    <w:rsid w:val="00711B47"/>
    <w:rsid w:val="00711CD3"/>
    <w:rsid w:val="00712811"/>
    <w:rsid w:val="00712E60"/>
    <w:rsid w:val="0071309D"/>
    <w:rsid w:val="00713ECD"/>
    <w:rsid w:val="0071401C"/>
    <w:rsid w:val="00714745"/>
    <w:rsid w:val="00714F07"/>
    <w:rsid w:val="007152F6"/>
    <w:rsid w:val="0071643A"/>
    <w:rsid w:val="00716FCA"/>
    <w:rsid w:val="007174CE"/>
    <w:rsid w:val="00720626"/>
    <w:rsid w:val="00720745"/>
    <w:rsid w:val="007208D2"/>
    <w:rsid w:val="00720DF2"/>
    <w:rsid w:val="0072266C"/>
    <w:rsid w:val="00722BFC"/>
    <w:rsid w:val="00722C06"/>
    <w:rsid w:val="00725425"/>
    <w:rsid w:val="00726504"/>
    <w:rsid w:val="007277CF"/>
    <w:rsid w:val="0073014C"/>
    <w:rsid w:val="00730603"/>
    <w:rsid w:val="007309AF"/>
    <w:rsid w:val="00731759"/>
    <w:rsid w:val="0073179C"/>
    <w:rsid w:val="00731B7D"/>
    <w:rsid w:val="00733395"/>
    <w:rsid w:val="0073386D"/>
    <w:rsid w:val="00733E1A"/>
    <w:rsid w:val="007349A9"/>
    <w:rsid w:val="00734DFF"/>
    <w:rsid w:val="00737C6E"/>
    <w:rsid w:val="00737C86"/>
    <w:rsid w:val="0074144B"/>
    <w:rsid w:val="007419E6"/>
    <w:rsid w:val="00742A52"/>
    <w:rsid w:val="007444E7"/>
    <w:rsid w:val="007446D7"/>
    <w:rsid w:val="0074480E"/>
    <w:rsid w:val="00744E97"/>
    <w:rsid w:val="00745527"/>
    <w:rsid w:val="007457CE"/>
    <w:rsid w:val="00745ADC"/>
    <w:rsid w:val="00745DAD"/>
    <w:rsid w:val="00746EF7"/>
    <w:rsid w:val="007472FC"/>
    <w:rsid w:val="00747B93"/>
    <w:rsid w:val="00750E45"/>
    <w:rsid w:val="00751FF8"/>
    <w:rsid w:val="007529FD"/>
    <w:rsid w:val="00752F0C"/>
    <w:rsid w:val="00753902"/>
    <w:rsid w:val="00754630"/>
    <w:rsid w:val="007552FA"/>
    <w:rsid w:val="0075561A"/>
    <w:rsid w:val="007560A6"/>
    <w:rsid w:val="007574D3"/>
    <w:rsid w:val="007603F1"/>
    <w:rsid w:val="00760C58"/>
    <w:rsid w:val="007612B8"/>
    <w:rsid w:val="0076133C"/>
    <w:rsid w:val="0076166D"/>
    <w:rsid w:val="00761E6B"/>
    <w:rsid w:val="00762073"/>
    <w:rsid w:val="007620C6"/>
    <w:rsid w:val="00763983"/>
    <w:rsid w:val="00763BF0"/>
    <w:rsid w:val="00764289"/>
    <w:rsid w:val="007651CB"/>
    <w:rsid w:val="0076545D"/>
    <w:rsid w:val="0076681B"/>
    <w:rsid w:val="007674A8"/>
    <w:rsid w:val="0076796E"/>
    <w:rsid w:val="00767F89"/>
    <w:rsid w:val="00773819"/>
    <w:rsid w:val="007740C7"/>
    <w:rsid w:val="00774219"/>
    <w:rsid w:val="00774404"/>
    <w:rsid w:val="007745A3"/>
    <w:rsid w:val="00774B2F"/>
    <w:rsid w:val="007750F6"/>
    <w:rsid w:val="00775AA8"/>
    <w:rsid w:val="00775DF3"/>
    <w:rsid w:val="00776F3E"/>
    <w:rsid w:val="00777555"/>
    <w:rsid w:val="007775E9"/>
    <w:rsid w:val="00777A41"/>
    <w:rsid w:val="00777EE0"/>
    <w:rsid w:val="00780117"/>
    <w:rsid w:val="0078028E"/>
    <w:rsid w:val="007813B8"/>
    <w:rsid w:val="0078163F"/>
    <w:rsid w:val="00781B10"/>
    <w:rsid w:val="00783012"/>
    <w:rsid w:val="00786647"/>
    <w:rsid w:val="007868A9"/>
    <w:rsid w:val="00786F3F"/>
    <w:rsid w:val="00790FBA"/>
    <w:rsid w:val="00792331"/>
    <w:rsid w:val="007928DB"/>
    <w:rsid w:val="00792B89"/>
    <w:rsid w:val="00792C8B"/>
    <w:rsid w:val="00793419"/>
    <w:rsid w:val="00794B0F"/>
    <w:rsid w:val="007952A4"/>
    <w:rsid w:val="0079714C"/>
    <w:rsid w:val="00797EE2"/>
    <w:rsid w:val="007A04A6"/>
    <w:rsid w:val="007A0D88"/>
    <w:rsid w:val="007A15D4"/>
    <w:rsid w:val="007A1E0D"/>
    <w:rsid w:val="007A226B"/>
    <w:rsid w:val="007A227B"/>
    <w:rsid w:val="007A3B6C"/>
    <w:rsid w:val="007A3BE0"/>
    <w:rsid w:val="007A4898"/>
    <w:rsid w:val="007A4BCD"/>
    <w:rsid w:val="007A4DC5"/>
    <w:rsid w:val="007A4EDF"/>
    <w:rsid w:val="007A6950"/>
    <w:rsid w:val="007B06C8"/>
    <w:rsid w:val="007B15EE"/>
    <w:rsid w:val="007B20B0"/>
    <w:rsid w:val="007B2586"/>
    <w:rsid w:val="007B2FD2"/>
    <w:rsid w:val="007B31B8"/>
    <w:rsid w:val="007B3AD5"/>
    <w:rsid w:val="007B3C78"/>
    <w:rsid w:val="007B3D19"/>
    <w:rsid w:val="007B4573"/>
    <w:rsid w:val="007B4B57"/>
    <w:rsid w:val="007B566D"/>
    <w:rsid w:val="007B6861"/>
    <w:rsid w:val="007B6CE1"/>
    <w:rsid w:val="007B6ED1"/>
    <w:rsid w:val="007B6FC8"/>
    <w:rsid w:val="007B71AF"/>
    <w:rsid w:val="007B72CB"/>
    <w:rsid w:val="007B74CE"/>
    <w:rsid w:val="007B7898"/>
    <w:rsid w:val="007C17DE"/>
    <w:rsid w:val="007C18FF"/>
    <w:rsid w:val="007C1AAB"/>
    <w:rsid w:val="007C2FDC"/>
    <w:rsid w:val="007C3226"/>
    <w:rsid w:val="007C35E5"/>
    <w:rsid w:val="007C387A"/>
    <w:rsid w:val="007C3B41"/>
    <w:rsid w:val="007C3C69"/>
    <w:rsid w:val="007C5448"/>
    <w:rsid w:val="007C5767"/>
    <w:rsid w:val="007C5B7E"/>
    <w:rsid w:val="007D0AB7"/>
    <w:rsid w:val="007D29FD"/>
    <w:rsid w:val="007D2B6F"/>
    <w:rsid w:val="007D3123"/>
    <w:rsid w:val="007D325D"/>
    <w:rsid w:val="007D346A"/>
    <w:rsid w:val="007D3937"/>
    <w:rsid w:val="007D4ADB"/>
    <w:rsid w:val="007D53E0"/>
    <w:rsid w:val="007D6E5D"/>
    <w:rsid w:val="007E0C61"/>
    <w:rsid w:val="007E0D20"/>
    <w:rsid w:val="007E11A6"/>
    <w:rsid w:val="007E1F42"/>
    <w:rsid w:val="007E2114"/>
    <w:rsid w:val="007E298B"/>
    <w:rsid w:val="007E2FFB"/>
    <w:rsid w:val="007E302F"/>
    <w:rsid w:val="007E3220"/>
    <w:rsid w:val="007E34B3"/>
    <w:rsid w:val="007E4150"/>
    <w:rsid w:val="007E4C80"/>
    <w:rsid w:val="007E4FA4"/>
    <w:rsid w:val="007E5BD2"/>
    <w:rsid w:val="007E5F24"/>
    <w:rsid w:val="007E72F2"/>
    <w:rsid w:val="007E7952"/>
    <w:rsid w:val="007F01D0"/>
    <w:rsid w:val="007F0678"/>
    <w:rsid w:val="007F079A"/>
    <w:rsid w:val="007F0875"/>
    <w:rsid w:val="007F19FB"/>
    <w:rsid w:val="007F1D05"/>
    <w:rsid w:val="007F232A"/>
    <w:rsid w:val="007F3D08"/>
    <w:rsid w:val="007F3D5B"/>
    <w:rsid w:val="007F3F73"/>
    <w:rsid w:val="007F481B"/>
    <w:rsid w:val="007F4ED0"/>
    <w:rsid w:val="007F771C"/>
    <w:rsid w:val="007F7922"/>
    <w:rsid w:val="007F7E8C"/>
    <w:rsid w:val="007F7F39"/>
    <w:rsid w:val="00800099"/>
    <w:rsid w:val="008017C8"/>
    <w:rsid w:val="00801C7E"/>
    <w:rsid w:val="00802855"/>
    <w:rsid w:val="008030C0"/>
    <w:rsid w:val="008038E8"/>
    <w:rsid w:val="00804464"/>
    <w:rsid w:val="00804AB1"/>
    <w:rsid w:val="00804F6E"/>
    <w:rsid w:val="00806B57"/>
    <w:rsid w:val="00806E6D"/>
    <w:rsid w:val="008070C1"/>
    <w:rsid w:val="00807CFF"/>
    <w:rsid w:val="00810992"/>
    <w:rsid w:val="008110FA"/>
    <w:rsid w:val="00811719"/>
    <w:rsid w:val="008120C2"/>
    <w:rsid w:val="008120F0"/>
    <w:rsid w:val="008121BB"/>
    <w:rsid w:val="00812B91"/>
    <w:rsid w:val="00812D2F"/>
    <w:rsid w:val="00812FA5"/>
    <w:rsid w:val="008131BB"/>
    <w:rsid w:val="0081368D"/>
    <w:rsid w:val="00813AE0"/>
    <w:rsid w:val="00813B97"/>
    <w:rsid w:val="00813C12"/>
    <w:rsid w:val="0081455E"/>
    <w:rsid w:val="00814C4F"/>
    <w:rsid w:val="0081552E"/>
    <w:rsid w:val="008159DF"/>
    <w:rsid w:val="00817301"/>
    <w:rsid w:val="00817434"/>
    <w:rsid w:val="00817578"/>
    <w:rsid w:val="008175C1"/>
    <w:rsid w:val="00817D21"/>
    <w:rsid w:val="00820111"/>
    <w:rsid w:val="008201F8"/>
    <w:rsid w:val="0082077D"/>
    <w:rsid w:val="0082094D"/>
    <w:rsid w:val="00821227"/>
    <w:rsid w:val="0082124A"/>
    <w:rsid w:val="00823993"/>
    <w:rsid w:val="00823CA1"/>
    <w:rsid w:val="00823D84"/>
    <w:rsid w:val="00825D50"/>
    <w:rsid w:val="00826864"/>
    <w:rsid w:val="00826DEC"/>
    <w:rsid w:val="00826F58"/>
    <w:rsid w:val="0083091D"/>
    <w:rsid w:val="00832139"/>
    <w:rsid w:val="00832BB5"/>
    <w:rsid w:val="00832FCD"/>
    <w:rsid w:val="00834028"/>
    <w:rsid w:val="008343D2"/>
    <w:rsid w:val="008348AE"/>
    <w:rsid w:val="00835746"/>
    <w:rsid w:val="008365F1"/>
    <w:rsid w:val="00836836"/>
    <w:rsid w:val="00836F23"/>
    <w:rsid w:val="00836FFA"/>
    <w:rsid w:val="008411FF"/>
    <w:rsid w:val="00841211"/>
    <w:rsid w:val="00841982"/>
    <w:rsid w:val="008427D5"/>
    <w:rsid w:val="00842FE1"/>
    <w:rsid w:val="008437EC"/>
    <w:rsid w:val="00843CDA"/>
    <w:rsid w:val="00843E28"/>
    <w:rsid w:val="008450E1"/>
    <w:rsid w:val="00845EEE"/>
    <w:rsid w:val="0084626D"/>
    <w:rsid w:val="00846691"/>
    <w:rsid w:val="00850747"/>
    <w:rsid w:val="0085154B"/>
    <w:rsid w:val="00851857"/>
    <w:rsid w:val="00851C3B"/>
    <w:rsid w:val="00851FAC"/>
    <w:rsid w:val="00852AEC"/>
    <w:rsid w:val="00853A1C"/>
    <w:rsid w:val="00854353"/>
    <w:rsid w:val="0085464A"/>
    <w:rsid w:val="008550B9"/>
    <w:rsid w:val="008553EF"/>
    <w:rsid w:val="0085576A"/>
    <w:rsid w:val="008563CA"/>
    <w:rsid w:val="0085644B"/>
    <w:rsid w:val="00857072"/>
    <w:rsid w:val="00860A71"/>
    <w:rsid w:val="00861B2E"/>
    <w:rsid w:val="00861CAD"/>
    <w:rsid w:val="00862383"/>
    <w:rsid w:val="0086478E"/>
    <w:rsid w:val="008652B8"/>
    <w:rsid w:val="0086553B"/>
    <w:rsid w:val="00865C0E"/>
    <w:rsid w:val="00865E3C"/>
    <w:rsid w:val="00866068"/>
    <w:rsid w:val="008663ED"/>
    <w:rsid w:val="008666B6"/>
    <w:rsid w:val="008669B7"/>
    <w:rsid w:val="008673E2"/>
    <w:rsid w:val="0086778E"/>
    <w:rsid w:val="008679F0"/>
    <w:rsid w:val="00867AA3"/>
    <w:rsid w:val="008706C3"/>
    <w:rsid w:val="00871099"/>
    <w:rsid w:val="0087176A"/>
    <w:rsid w:val="0087190B"/>
    <w:rsid w:val="00873810"/>
    <w:rsid w:val="008748D4"/>
    <w:rsid w:val="00874E7D"/>
    <w:rsid w:val="008752A2"/>
    <w:rsid w:val="00875982"/>
    <w:rsid w:val="00875A55"/>
    <w:rsid w:val="00875E59"/>
    <w:rsid w:val="008768C1"/>
    <w:rsid w:val="00877787"/>
    <w:rsid w:val="00877BE5"/>
    <w:rsid w:val="00880824"/>
    <w:rsid w:val="00880AD3"/>
    <w:rsid w:val="0088107F"/>
    <w:rsid w:val="008811D0"/>
    <w:rsid w:val="0088179A"/>
    <w:rsid w:val="00882018"/>
    <w:rsid w:val="00882EEE"/>
    <w:rsid w:val="0088339D"/>
    <w:rsid w:val="00883A10"/>
    <w:rsid w:val="00884F76"/>
    <w:rsid w:val="00885817"/>
    <w:rsid w:val="00885932"/>
    <w:rsid w:val="00885AE9"/>
    <w:rsid w:val="00886C9B"/>
    <w:rsid w:val="0088724A"/>
    <w:rsid w:val="00890534"/>
    <w:rsid w:val="00891009"/>
    <w:rsid w:val="008928A6"/>
    <w:rsid w:val="0089338A"/>
    <w:rsid w:val="008934E3"/>
    <w:rsid w:val="00893906"/>
    <w:rsid w:val="00893D40"/>
    <w:rsid w:val="00893D7D"/>
    <w:rsid w:val="00893F77"/>
    <w:rsid w:val="00893FC5"/>
    <w:rsid w:val="008949B1"/>
    <w:rsid w:val="00894B7E"/>
    <w:rsid w:val="008952E1"/>
    <w:rsid w:val="00896C7F"/>
    <w:rsid w:val="00897596"/>
    <w:rsid w:val="0089783D"/>
    <w:rsid w:val="00897A9A"/>
    <w:rsid w:val="008A02DC"/>
    <w:rsid w:val="008A0660"/>
    <w:rsid w:val="008A10DB"/>
    <w:rsid w:val="008A12DD"/>
    <w:rsid w:val="008A1EE4"/>
    <w:rsid w:val="008A213A"/>
    <w:rsid w:val="008A2609"/>
    <w:rsid w:val="008A27C0"/>
    <w:rsid w:val="008A48C7"/>
    <w:rsid w:val="008A4CD0"/>
    <w:rsid w:val="008A5D82"/>
    <w:rsid w:val="008A6460"/>
    <w:rsid w:val="008A6BEB"/>
    <w:rsid w:val="008A6EF5"/>
    <w:rsid w:val="008A729E"/>
    <w:rsid w:val="008A7663"/>
    <w:rsid w:val="008B193F"/>
    <w:rsid w:val="008B195E"/>
    <w:rsid w:val="008B2603"/>
    <w:rsid w:val="008B2B74"/>
    <w:rsid w:val="008B2FBB"/>
    <w:rsid w:val="008B308C"/>
    <w:rsid w:val="008B3AFA"/>
    <w:rsid w:val="008B3AFB"/>
    <w:rsid w:val="008B455E"/>
    <w:rsid w:val="008B4DED"/>
    <w:rsid w:val="008B5FE4"/>
    <w:rsid w:val="008B65CB"/>
    <w:rsid w:val="008B75F9"/>
    <w:rsid w:val="008C1943"/>
    <w:rsid w:val="008C3F60"/>
    <w:rsid w:val="008C4A5B"/>
    <w:rsid w:val="008C4B12"/>
    <w:rsid w:val="008C4CBB"/>
    <w:rsid w:val="008C68E7"/>
    <w:rsid w:val="008C6EDA"/>
    <w:rsid w:val="008C73E4"/>
    <w:rsid w:val="008C7E2F"/>
    <w:rsid w:val="008D075F"/>
    <w:rsid w:val="008D109A"/>
    <w:rsid w:val="008D1124"/>
    <w:rsid w:val="008D1523"/>
    <w:rsid w:val="008D24D3"/>
    <w:rsid w:val="008D36EE"/>
    <w:rsid w:val="008D3BF1"/>
    <w:rsid w:val="008D4559"/>
    <w:rsid w:val="008D5192"/>
    <w:rsid w:val="008D65CB"/>
    <w:rsid w:val="008D6D8A"/>
    <w:rsid w:val="008D74D9"/>
    <w:rsid w:val="008D7997"/>
    <w:rsid w:val="008E041C"/>
    <w:rsid w:val="008E0A2F"/>
    <w:rsid w:val="008E0EAF"/>
    <w:rsid w:val="008E1102"/>
    <w:rsid w:val="008E134F"/>
    <w:rsid w:val="008E13BE"/>
    <w:rsid w:val="008E2F26"/>
    <w:rsid w:val="008E33EB"/>
    <w:rsid w:val="008E3C2C"/>
    <w:rsid w:val="008E43B3"/>
    <w:rsid w:val="008E473B"/>
    <w:rsid w:val="008E4A52"/>
    <w:rsid w:val="008E5196"/>
    <w:rsid w:val="008E722D"/>
    <w:rsid w:val="008E7FD2"/>
    <w:rsid w:val="008E7FE8"/>
    <w:rsid w:val="008F160D"/>
    <w:rsid w:val="008F1D92"/>
    <w:rsid w:val="008F329C"/>
    <w:rsid w:val="008F3CD3"/>
    <w:rsid w:val="008F5377"/>
    <w:rsid w:val="008F5C8D"/>
    <w:rsid w:val="008F629A"/>
    <w:rsid w:val="008F7084"/>
    <w:rsid w:val="008F727D"/>
    <w:rsid w:val="008F7419"/>
    <w:rsid w:val="00900A75"/>
    <w:rsid w:val="00901ECD"/>
    <w:rsid w:val="00902673"/>
    <w:rsid w:val="0090383B"/>
    <w:rsid w:val="00904454"/>
    <w:rsid w:val="009047E2"/>
    <w:rsid w:val="009049E1"/>
    <w:rsid w:val="00904C31"/>
    <w:rsid w:val="00904D18"/>
    <w:rsid w:val="009059DA"/>
    <w:rsid w:val="009063F0"/>
    <w:rsid w:val="00907C21"/>
    <w:rsid w:val="00907DFE"/>
    <w:rsid w:val="00907E5A"/>
    <w:rsid w:val="009103B0"/>
    <w:rsid w:val="0091052B"/>
    <w:rsid w:val="00910C3D"/>
    <w:rsid w:val="00910E62"/>
    <w:rsid w:val="00911ECA"/>
    <w:rsid w:val="009122A6"/>
    <w:rsid w:val="00912538"/>
    <w:rsid w:val="00913544"/>
    <w:rsid w:val="0091496E"/>
    <w:rsid w:val="009149B7"/>
    <w:rsid w:val="009151F6"/>
    <w:rsid w:val="00915C44"/>
    <w:rsid w:val="00916CF8"/>
    <w:rsid w:val="00916E09"/>
    <w:rsid w:val="00917B60"/>
    <w:rsid w:val="00917F1A"/>
    <w:rsid w:val="00920023"/>
    <w:rsid w:val="00920BAC"/>
    <w:rsid w:val="009214C0"/>
    <w:rsid w:val="0092186E"/>
    <w:rsid w:val="00921AD4"/>
    <w:rsid w:val="0092257A"/>
    <w:rsid w:val="0092281A"/>
    <w:rsid w:val="00923027"/>
    <w:rsid w:val="00923248"/>
    <w:rsid w:val="009239F7"/>
    <w:rsid w:val="0092432D"/>
    <w:rsid w:val="009247D9"/>
    <w:rsid w:val="00924CDF"/>
    <w:rsid w:val="00927511"/>
    <w:rsid w:val="009300D8"/>
    <w:rsid w:val="00931488"/>
    <w:rsid w:val="00931BEB"/>
    <w:rsid w:val="00932347"/>
    <w:rsid w:val="00932875"/>
    <w:rsid w:val="009337FE"/>
    <w:rsid w:val="009366A4"/>
    <w:rsid w:val="0093678F"/>
    <w:rsid w:val="00936A9F"/>
    <w:rsid w:val="00936B38"/>
    <w:rsid w:val="009373A3"/>
    <w:rsid w:val="0094001F"/>
    <w:rsid w:val="00940540"/>
    <w:rsid w:val="00940838"/>
    <w:rsid w:val="00941871"/>
    <w:rsid w:val="00942D93"/>
    <w:rsid w:val="0094536E"/>
    <w:rsid w:val="009456BD"/>
    <w:rsid w:val="00946921"/>
    <w:rsid w:val="009474DE"/>
    <w:rsid w:val="009479DC"/>
    <w:rsid w:val="00947CC2"/>
    <w:rsid w:val="00947CF6"/>
    <w:rsid w:val="00950432"/>
    <w:rsid w:val="00950C7F"/>
    <w:rsid w:val="00950D20"/>
    <w:rsid w:val="00950D53"/>
    <w:rsid w:val="00950DCD"/>
    <w:rsid w:val="00952879"/>
    <w:rsid w:val="009542F3"/>
    <w:rsid w:val="00955CB0"/>
    <w:rsid w:val="00955EEA"/>
    <w:rsid w:val="009571E0"/>
    <w:rsid w:val="009577FE"/>
    <w:rsid w:val="0095786C"/>
    <w:rsid w:val="009600C1"/>
    <w:rsid w:val="009602EA"/>
    <w:rsid w:val="0096088F"/>
    <w:rsid w:val="00960AA5"/>
    <w:rsid w:val="00961A7B"/>
    <w:rsid w:val="00963423"/>
    <w:rsid w:val="00963BBD"/>
    <w:rsid w:val="00963E3A"/>
    <w:rsid w:val="00963E5E"/>
    <w:rsid w:val="00964266"/>
    <w:rsid w:val="009643EB"/>
    <w:rsid w:val="009655C2"/>
    <w:rsid w:val="0096580D"/>
    <w:rsid w:val="0096663D"/>
    <w:rsid w:val="00966E78"/>
    <w:rsid w:val="009676EC"/>
    <w:rsid w:val="00967894"/>
    <w:rsid w:val="00967AFF"/>
    <w:rsid w:val="00970C49"/>
    <w:rsid w:val="009712F5"/>
    <w:rsid w:val="009718AD"/>
    <w:rsid w:val="009718EE"/>
    <w:rsid w:val="00972357"/>
    <w:rsid w:val="00972506"/>
    <w:rsid w:val="00973086"/>
    <w:rsid w:val="00975D47"/>
    <w:rsid w:val="00975EB3"/>
    <w:rsid w:val="00976475"/>
    <w:rsid w:val="0097657A"/>
    <w:rsid w:val="009766B7"/>
    <w:rsid w:val="00976C36"/>
    <w:rsid w:val="009829A2"/>
    <w:rsid w:val="009832C5"/>
    <w:rsid w:val="00983D52"/>
    <w:rsid w:val="00984945"/>
    <w:rsid w:val="00984D36"/>
    <w:rsid w:val="00984E6E"/>
    <w:rsid w:val="00985977"/>
    <w:rsid w:val="009861B5"/>
    <w:rsid w:val="00986544"/>
    <w:rsid w:val="0099051D"/>
    <w:rsid w:val="00991DD3"/>
    <w:rsid w:val="00993AEF"/>
    <w:rsid w:val="0099415F"/>
    <w:rsid w:val="00994A21"/>
    <w:rsid w:val="00996178"/>
    <w:rsid w:val="00997D3E"/>
    <w:rsid w:val="009A0A5D"/>
    <w:rsid w:val="009A0BE6"/>
    <w:rsid w:val="009A0C6C"/>
    <w:rsid w:val="009A14E3"/>
    <w:rsid w:val="009A1903"/>
    <w:rsid w:val="009A1C64"/>
    <w:rsid w:val="009A39DB"/>
    <w:rsid w:val="009A3CF6"/>
    <w:rsid w:val="009A4A1F"/>
    <w:rsid w:val="009A57A0"/>
    <w:rsid w:val="009A5D6F"/>
    <w:rsid w:val="009A68D6"/>
    <w:rsid w:val="009A73EF"/>
    <w:rsid w:val="009A772A"/>
    <w:rsid w:val="009B01C0"/>
    <w:rsid w:val="009B02A8"/>
    <w:rsid w:val="009B05E7"/>
    <w:rsid w:val="009B1158"/>
    <w:rsid w:val="009B13B7"/>
    <w:rsid w:val="009B1990"/>
    <w:rsid w:val="009B1FF4"/>
    <w:rsid w:val="009B2E7A"/>
    <w:rsid w:val="009B2FC7"/>
    <w:rsid w:val="009B3465"/>
    <w:rsid w:val="009B37AF"/>
    <w:rsid w:val="009B3B39"/>
    <w:rsid w:val="009B526A"/>
    <w:rsid w:val="009B5FA8"/>
    <w:rsid w:val="009B65B5"/>
    <w:rsid w:val="009B6CE2"/>
    <w:rsid w:val="009B6D46"/>
    <w:rsid w:val="009B74A1"/>
    <w:rsid w:val="009B7564"/>
    <w:rsid w:val="009B78B0"/>
    <w:rsid w:val="009C035F"/>
    <w:rsid w:val="009C1282"/>
    <w:rsid w:val="009C1C5B"/>
    <w:rsid w:val="009C2A45"/>
    <w:rsid w:val="009C2D7A"/>
    <w:rsid w:val="009C338D"/>
    <w:rsid w:val="009C3C60"/>
    <w:rsid w:val="009C49DE"/>
    <w:rsid w:val="009C607D"/>
    <w:rsid w:val="009C6D32"/>
    <w:rsid w:val="009C6F32"/>
    <w:rsid w:val="009C719B"/>
    <w:rsid w:val="009C79F4"/>
    <w:rsid w:val="009C7F38"/>
    <w:rsid w:val="009D0DAC"/>
    <w:rsid w:val="009D1074"/>
    <w:rsid w:val="009D488E"/>
    <w:rsid w:val="009D4D97"/>
    <w:rsid w:val="009D64CD"/>
    <w:rsid w:val="009D6BA7"/>
    <w:rsid w:val="009D766E"/>
    <w:rsid w:val="009E1601"/>
    <w:rsid w:val="009E171C"/>
    <w:rsid w:val="009E3A86"/>
    <w:rsid w:val="009E3C42"/>
    <w:rsid w:val="009E3D39"/>
    <w:rsid w:val="009E4135"/>
    <w:rsid w:val="009E4513"/>
    <w:rsid w:val="009E494D"/>
    <w:rsid w:val="009E5B13"/>
    <w:rsid w:val="009E62BF"/>
    <w:rsid w:val="009E6383"/>
    <w:rsid w:val="009E65A2"/>
    <w:rsid w:val="009E7CE5"/>
    <w:rsid w:val="009E7E3D"/>
    <w:rsid w:val="009F00A5"/>
    <w:rsid w:val="009F080F"/>
    <w:rsid w:val="009F1477"/>
    <w:rsid w:val="009F1EAA"/>
    <w:rsid w:val="009F2F59"/>
    <w:rsid w:val="009F3745"/>
    <w:rsid w:val="009F449B"/>
    <w:rsid w:val="009F44CC"/>
    <w:rsid w:val="009F4843"/>
    <w:rsid w:val="009F560E"/>
    <w:rsid w:val="009F624B"/>
    <w:rsid w:val="009F6722"/>
    <w:rsid w:val="009F71F0"/>
    <w:rsid w:val="009F7332"/>
    <w:rsid w:val="009F7568"/>
    <w:rsid w:val="00A00277"/>
    <w:rsid w:val="00A002DE"/>
    <w:rsid w:val="00A003B8"/>
    <w:rsid w:val="00A00632"/>
    <w:rsid w:val="00A026F3"/>
    <w:rsid w:val="00A036F9"/>
    <w:rsid w:val="00A03F98"/>
    <w:rsid w:val="00A05776"/>
    <w:rsid w:val="00A0616D"/>
    <w:rsid w:val="00A06B46"/>
    <w:rsid w:val="00A10393"/>
    <w:rsid w:val="00A106FE"/>
    <w:rsid w:val="00A10DE6"/>
    <w:rsid w:val="00A123F2"/>
    <w:rsid w:val="00A138B9"/>
    <w:rsid w:val="00A14A33"/>
    <w:rsid w:val="00A14C95"/>
    <w:rsid w:val="00A15D8C"/>
    <w:rsid w:val="00A15F2A"/>
    <w:rsid w:val="00A1688E"/>
    <w:rsid w:val="00A169A8"/>
    <w:rsid w:val="00A17417"/>
    <w:rsid w:val="00A209BE"/>
    <w:rsid w:val="00A21467"/>
    <w:rsid w:val="00A2317C"/>
    <w:rsid w:val="00A23A65"/>
    <w:rsid w:val="00A24B32"/>
    <w:rsid w:val="00A24FE0"/>
    <w:rsid w:val="00A25DA1"/>
    <w:rsid w:val="00A2702E"/>
    <w:rsid w:val="00A27DEB"/>
    <w:rsid w:val="00A316CA"/>
    <w:rsid w:val="00A3216D"/>
    <w:rsid w:val="00A32276"/>
    <w:rsid w:val="00A32D86"/>
    <w:rsid w:val="00A32E97"/>
    <w:rsid w:val="00A331EF"/>
    <w:rsid w:val="00A33D42"/>
    <w:rsid w:val="00A33FC5"/>
    <w:rsid w:val="00A3407B"/>
    <w:rsid w:val="00A3432F"/>
    <w:rsid w:val="00A34B1F"/>
    <w:rsid w:val="00A36725"/>
    <w:rsid w:val="00A3677D"/>
    <w:rsid w:val="00A3712D"/>
    <w:rsid w:val="00A37A3D"/>
    <w:rsid w:val="00A4101E"/>
    <w:rsid w:val="00A41163"/>
    <w:rsid w:val="00A417C4"/>
    <w:rsid w:val="00A41E78"/>
    <w:rsid w:val="00A42573"/>
    <w:rsid w:val="00A43C05"/>
    <w:rsid w:val="00A4447A"/>
    <w:rsid w:val="00A451B5"/>
    <w:rsid w:val="00A46785"/>
    <w:rsid w:val="00A46AAA"/>
    <w:rsid w:val="00A472DE"/>
    <w:rsid w:val="00A508B0"/>
    <w:rsid w:val="00A5121B"/>
    <w:rsid w:val="00A519BA"/>
    <w:rsid w:val="00A524CD"/>
    <w:rsid w:val="00A5302D"/>
    <w:rsid w:val="00A533BC"/>
    <w:rsid w:val="00A53ECB"/>
    <w:rsid w:val="00A54316"/>
    <w:rsid w:val="00A54A1A"/>
    <w:rsid w:val="00A55424"/>
    <w:rsid w:val="00A558B9"/>
    <w:rsid w:val="00A6019A"/>
    <w:rsid w:val="00A60227"/>
    <w:rsid w:val="00A60505"/>
    <w:rsid w:val="00A60820"/>
    <w:rsid w:val="00A60A22"/>
    <w:rsid w:val="00A61549"/>
    <w:rsid w:val="00A64BBF"/>
    <w:rsid w:val="00A64F1E"/>
    <w:rsid w:val="00A6524D"/>
    <w:rsid w:val="00A65AF3"/>
    <w:rsid w:val="00A65CE7"/>
    <w:rsid w:val="00A65E76"/>
    <w:rsid w:val="00A66DDE"/>
    <w:rsid w:val="00A676F4"/>
    <w:rsid w:val="00A7049C"/>
    <w:rsid w:val="00A7101C"/>
    <w:rsid w:val="00A735E8"/>
    <w:rsid w:val="00A743F0"/>
    <w:rsid w:val="00A7574F"/>
    <w:rsid w:val="00A75A4D"/>
    <w:rsid w:val="00A75F5D"/>
    <w:rsid w:val="00A7619F"/>
    <w:rsid w:val="00A7637D"/>
    <w:rsid w:val="00A76581"/>
    <w:rsid w:val="00A768C9"/>
    <w:rsid w:val="00A77A7E"/>
    <w:rsid w:val="00A77BB0"/>
    <w:rsid w:val="00A8045F"/>
    <w:rsid w:val="00A80716"/>
    <w:rsid w:val="00A8097E"/>
    <w:rsid w:val="00A81579"/>
    <w:rsid w:val="00A817A7"/>
    <w:rsid w:val="00A81C92"/>
    <w:rsid w:val="00A84CF6"/>
    <w:rsid w:val="00A862EA"/>
    <w:rsid w:val="00A86DB3"/>
    <w:rsid w:val="00A87142"/>
    <w:rsid w:val="00A8771D"/>
    <w:rsid w:val="00A87BF3"/>
    <w:rsid w:val="00A87C67"/>
    <w:rsid w:val="00A87EBA"/>
    <w:rsid w:val="00A906F7"/>
    <w:rsid w:val="00A90AEE"/>
    <w:rsid w:val="00A90D4F"/>
    <w:rsid w:val="00A90F38"/>
    <w:rsid w:val="00A90F45"/>
    <w:rsid w:val="00A91099"/>
    <w:rsid w:val="00A929C5"/>
    <w:rsid w:val="00A9377F"/>
    <w:rsid w:val="00A93A83"/>
    <w:rsid w:val="00A95146"/>
    <w:rsid w:val="00A95C7C"/>
    <w:rsid w:val="00A9606C"/>
    <w:rsid w:val="00A96A10"/>
    <w:rsid w:val="00A97CFE"/>
    <w:rsid w:val="00AA003B"/>
    <w:rsid w:val="00AA1C6C"/>
    <w:rsid w:val="00AA4B98"/>
    <w:rsid w:val="00AA4D07"/>
    <w:rsid w:val="00AA54E1"/>
    <w:rsid w:val="00AA6AA1"/>
    <w:rsid w:val="00AA7061"/>
    <w:rsid w:val="00AB00B8"/>
    <w:rsid w:val="00AB0374"/>
    <w:rsid w:val="00AB2411"/>
    <w:rsid w:val="00AB3533"/>
    <w:rsid w:val="00AB3859"/>
    <w:rsid w:val="00AB4F20"/>
    <w:rsid w:val="00AB505C"/>
    <w:rsid w:val="00AB5885"/>
    <w:rsid w:val="00AB655B"/>
    <w:rsid w:val="00AB7522"/>
    <w:rsid w:val="00AB7565"/>
    <w:rsid w:val="00AB79CE"/>
    <w:rsid w:val="00AB7B62"/>
    <w:rsid w:val="00AB7C4D"/>
    <w:rsid w:val="00AB7CF3"/>
    <w:rsid w:val="00AB7D75"/>
    <w:rsid w:val="00AC033A"/>
    <w:rsid w:val="00AC0E3E"/>
    <w:rsid w:val="00AC1539"/>
    <w:rsid w:val="00AC3A18"/>
    <w:rsid w:val="00AC426A"/>
    <w:rsid w:val="00AC4BF1"/>
    <w:rsid w:val="00AC55F9"/>
    <w:rsid w:val="00AC5D4B"/>
    <w:rsid w:val="00AC6C22"/>
    <w:rsid w:val="00AC7274"/>
    <w:rsid w:val="00AC763A"/>
    <w:rsid w:val="00AC7E80"/>
    <w:rsid w:val="00AD0099"/>
    <w:rsid w:val="00AD096B"/>
    <w:rsid w:val="00AD1B76"/>
    <w:rsid w:val="00AD2168"/>
    <w:rsid w:val="00AD267A"/>
    <w:rsid w:val="00AD34DB"/>
    <w:rsid w:val="00AD3658"/>
    <w:rsid w:val="00AD3727"/>
    <w:rsid w:val="00AD3892"/>
    <w:rsid w:val="00AD3BF5"/>
    <w:rsid w:val="00AD4826"/>
    <w:rsid w:val="00AD4C6B"/>
    <w:rsid w:val="00AD52F4"/>
    <w:rsid w:val="00AD5421"/>
    <w:rsid w:val="00AD67C1"/>
    <w:rsid w:val="00AD74DE"/>
    <w:rsid w:val="00AD76FA"/>
    <w:rsid w:val="00AD7E5A"/>
    <w:rsid w:val="00AE0C4A"/>
    <w:rsid w:val="00AE1A14"/>
    <w:rsid w:val="00AE1FB4"/>
    <w:rsid w:val="00AE263A"/>
    <w:rsid w:val="00AE3D95"/>
    <w:rsid w:val="00AE44F4"/>
    <w:rsid w:val="00AE4941"/>
    <w:rsid w:val="00AE51A9"/>
    <w:rsid w:val="00AE542F"/>
    <w:rsid w:val="00AE5B32"/>
    <w:rsid w:val="00AE6C84"/>
    <w:rsid w:val="00AF013E"/>
    <w:rsid w:val="00AF12AF"/>
    <w:rsid w:val="00AF136F"/>
    <w:rsid w:val="00AF17B3"/>
    <w:rsid w:val="00AF1D18"/>
    <w:rsid w:val="00AF2222"/>
    <w:rsid w:val="00AF47A0"/>
    <w:rsid w:val="00AF55B6"/>
    <w:rsid w:val="00AF6650"/>
    <w:rsid w:val="00AF7298"/>
    <w:rsid w:val="00AF7760"/>
    <w:rsid w:val="00B00581"/>
    <w:rsid w:val="00B00AC6"/>
    <w:rsid w:val="00B00C21"/>
    <w:rsid w:val="00B0139D"/>
    <w:rsid w:val="00B01674"/>
    <w:rsid w:val="00B016D1"/>
    <w:rsid w:val="00B019F8"/>
    <w:rsid w:val="00B02AED"/>
    <w:rsid w:val="00B03454"/>
    <w:rsid w:val="00B0435F"/>
    <w:rsid w:val="00B045C0"/>
    <w:rsid w:val="00B04EA1"/>
    <w:rsid w:val="00B0537F"/>
    <w:rsid w:val="00B05B1B"/>
    <w:rsid w:val="00B06389"/>
    <w:rsid w:val="00B0638A"/>
    <w:rsid w:val="00B06EA7"/>
    <w:rsid w:val="00B108B3"/>
    <w:rsid w:val="00B1188A"/>
    <w:rsid w:val="00B11F41"/>
    <w:rsid w:val="00B1385A"/>
    <w:rsid w:val="00B14016"/>
    <w:rsid w:val="00B15541"/>
    <w:rsid w:val="00B15959"/>
    <w:rsid w:val="00B16B9E"/>
    <w:rsid w:val="00B17591"/>
    <w:rsid w:val="00B17AAB"/>
    <w:rsid w:val="00B20510"/>
    <w:rsid w:val="00B213B7"/>
    <w:rsid w:val="00B21458"/>
    <w:rsid w:val="00B2193E"/>
    <w:rsid w:val="00B21C96"/>
    <w:rsid w:val="00B22B09"/>
    <w:rsid w:val="00B23531"/>
    <w:rsid w:val="00B23B9E"/>
    <w:rsid w:val="00B2414A"/>
    <w:rsid w:val="00B244A5"/>
    <w:rsid w:val="00B26E9A"/>
    <w:rsid w:val="00B27636"/>
    <w:rsid w:val="00B302B7"/>
    <w:rsid w:val="00B30A4C"/>
    <w:rsid w:val="00B30B6B"/>
    <w:rsid w:val="00B30D26"/>
    <w:rsid w:val="00B31A5A"/>
    <w:rsid w:val="00B31FFD"/>
    <w:rsid w:val="00B32424"/>
    <w:rsid w:val="00B338EE"/>
    <w:rsid w:val="00B338FC"/>
    <w:rsid w:val="00B34544"/>
    <w:rsid w:val="00B349CC"/>
    <w:rsid w:val="00B3617E"/>
    <w:rsid w:val="00B368E6"/>
    <w:rsid w:val="00B377DB"/>
    <w:rsid w:val="00B3790D"/>
    <w:rsid w:val="00B37951"/>
    <w:rsid w:val="00B379E0"/>
    <w:rsid w:val="00B37F87"/>
    <w:rsid w:val="00B40ED7"/>
    <w:rsid w:val="00B41456"/>
    <w:rsid w:val="00B416C2"/>
    <w:rsid w:val="00B42711"/>
    <w:rsid w:val="00B43490"/>
    <w:rsid w:val="00B4384E"/>
    <w:rsid w:val="00B43B9F"/>
    <w:rsid w:val="00B45129"/>
    <w:rsid w:val="00B45F26"/>
    <w:rsid w:val="00B463AD"/>
    <w:rsid w:val="00B4641D"/>
    <w:rsid w:val="00B466FC"/>
    <w:rsid w:val="00B4680A"/>
    <w:rsid w:val="00B46B8E"/>
    <w:rsid w:val="00B4780E"/>
    <w:rsid w:val="00B50D9D"/>
    <w:rsid w:val="00B51039"/>
    <w:rsid w:val="00B51170"/>
    <w:rsid w:val="00B5157D"/>
    <w:rsid w:val="00B51964"/>
    <w:rsid w:val="00B5308C"/>
    <w:rsid w:val="00B53BA8"/>
    <w:rsid w:val="00B54947"/>
    <w:rsid w:val="00B54C69"/>
    <w:rsid w:val="00B551B7"/>
    <w:rsid w:val="00B55232"/>
    <w:rsid w:val="00B55602"/>
    <w:rsid w:val="00B55B64"/>
    <w:rsid w:val="00B56972"/>
    <w:rsid w:val="00B575D6"/>
    <w:rsid w:val="00B60345"/>
    <w:rsid w:val="00B6235F"/>
    <w:rsid w:val="00B625A0"/>
    <w:rsid w:val="00B62813"/>
    <w:rsid w:val="00B62A13"/>
    <w:rsid w:val="00B63689"/>
    <w:rsid w:val="00B636C1"/>
    <w:rsid w:val="00B6596E"/>
    <w:rsid w:val="00B65FE2"/>
    <w:rsid w:val="00B66910"/>
    <w:rsid w:val="00B66FA9"/>
    <w:rsid w:val="00B672B8"/>
    <w:rsid w:val="00B67EB5"/>
    <w:rsid w:val="00B70AC7"/>
    <w:rsid w:val="00B7353C"/>
    <w:rsid w:val="00B739D9"/>
    <w:rsid w:val="00B7473A"/>
    <w:rsid w:val="00B74F6B"/>
    <w:rsid w:val="00B76554"/>
    <w:rsid w:val="00B800F0"/>
    <w:rsid w:val="00B80725"/>
    <w:rsid w:val="00B80849"/>
    <w:rsid w:val="00B80F3A"/>
    <w:rsid w:val="00B818AE"/>
    <w:rsid w:val="00B81DAF"/>
    <w:rsid w:val="00B8293D"/>
    <w:rsid w:val="00B82DCD"/>
    <w:rsid w:val="00B82EC7"/>
    <w:rsid w:val="00B844FC"/>
    <w:rsid w:val="00B851A8"/>
    <w:rsid w:val="00B85D38"/>
    <w:rsid w:val="00B86923"/>
    <w:rsid w:val="00B869FC"/>
    <w:rsid w:val="00B86C95"/>
    <w:rsid w:val="00B87050"/>
    <w:rsid w:val="00B87648"/>
    <w:rsid w:val="00B87BCD"/>
    <w:rsid w:val="00B904A3"/>
    <w:rsid w:val="00B9294E"/>
    <w:rsid w:val="00B941BF"/>
    <w:rsid w:val="00B94B2C"/>
    <w:rsid w:val="00B967B8"/>
    <w:rsid w:val="00B96D83"/>
    <w:rsid w:val="00BA0DCB"/>
    <w:rsid w:val="00BA1ED7"/>
    <w:rsid w:val="00BA2344"/>
    <w:rsid w:val="00BA23F5"/>
    <w:rsid w:val="00BA249B"/>
    <w:rsid w:val="00BA2B7F"/>
    <w:rsid w:val="00BA40BC"/>
    <w:rsid w:val="00BA5916"/>
    <w:rsid w:val="00BA5A65"/>
    <w:rsid w:val="00BA5BC1"/>
    <w:rsid w:val="00BA5C6A"/>
    <w:rsid w:val="00BA6D32"/>
    <w:rsid w:val="00BA72ED"/>
    <w:rsid w:val="00BA7AF4"/>
    <w:rsid w:val="00BB0370"/>
    <w:rsid w:val="00BB097D"/>
    <w:rsid w:val="00BB0D31"/>
    <w:rsid w:val="00BB138C"/>
    <w:rsid w:val="00BB21AD"/>
    <w:rsid w:val="00BB24E3"/>
    <w:rsid w:val="00BB2CCD"/>
    <w:rsid w:val="00BB333D"/>
    <w:rsid w:val="00BB4425"/>
    <w:rsid w:val="00BB53AF"/>
    <w:rsid w:val="00BB5477"/>
    <w:rsid w:val="00BB5B56"/>
    <w:rsid w:val="00BB7A35"/>
    <w:rsid w:val="00BC03FA"/>
    <w:rsid w:val="00BC0538"/>
    <w:rsid w:val="00BC0BBE"/>
    <w:rsid w:val="00BC1610"/>
    <w:rsid w:val="00BC1D5C"/>
    <w:rsid w:val="00BC316D"/>
    <w:rsid w:val="00BC4CE1"/>
    <w:rsid w:val="00BC4CE9"/>
    <w:rsid w:val="00BC5486"/>
    <w:rsid w:val="00BC5A64"/>
    <w:rsid w:val="00BC62D5"/>
    <w:rsid w:val="00BC65A0"/>
    <w:rsid w:val="00BC6624"/>
    <w:rsid w:val="00BC78A1"/>
    <w:rsid w:val="00BC7B5B"/>
    <w:rsid w:val="00BD3445"/>
    <w:rsid w:val="00BD34C3"/>
    <w:rsid w:val="00BD3907"/>
    <w:rsid w:val="00BD3FB0"/>
    <w:rsid w:val="00BD4B30"/>
    <w:rsid w:val="00BD5380"/>
    <w:rsid w:val="00BD59FD"/>
    <w:rsid w:val="00BD62CE"/>
    <w:rsid w:val="00BD7C23"/>
    <w:rsid w:val="00BE2294"/>
    <w:rsid w:val="00BE2A79"/>
    <w:rsid w:val="00BE2B1D"/>
    <w:rsid w:val="00BE423D"/>
    <w:rsid w:val="00BE5274"/>
    <w:rsid w:val="00BE5641"/>
    <w:rsid w:val="00BE6373"/>
    <w:rsid w:val="00BE76F1"/>
    <w:rsid w:val="00BE7D20"/>
    <w:rsid w:val="00BE7FD2"/>
    <w:rsid w:val="00BF007C"/>
    <w:rsid w:val="00BF02C9"/>
    <w:rsid w:val="00BF0C49"/>
    <w:rsid w:val="00BF11CA"/>
    <w:rsid w:val="00BF249A"/>
    <w:rsid w:val="00BF2F5A"/>
    <w:rsid w:val="00BF326C"/>
    <w:rsid w:val="00BF32D6"/>
    <w:rsid w:val="00BF3BE3"/>
    <w:rsid w:val="00BF3DD5"/>
    <w:rsid w:val="00BF53FE"/>
    <w:rsid w:val="00BF5964"/>
    <w:rsid w:val="00BF6540"/>
    <w:rsid w:val="00BF6975"/>
    <w:rsid w:val="00BF70C4"/>
    <w:rsid w:val="00C00620"/>
    <w:rsid w:val="00C01845"/>
    <w:rsid w:val="00C0368D"/>
    <w:rsid w:val="00C03739"/>
    <w:rsid w:val="00C03940"/>
    <w:rsid w:val="00C04F02"/>
    <w:rsid w:val="00C0518E"/>
    <w:rsid w:val="00C05CDB"/>
    <w:rsid w:val="00C05D7B"/>
    <w:rsid w:val="00C07557"/>
    <w:rsid w:val="00C07904"/>
    <w:rsid w:val="00C07DE2"/>
    <w:rsid w:val="00C10030"/>
    <w:rsid w:val="00C114ED"/>
    <w:rsid w:val="00C1150F"/>
    <w:rsid w:val="00C117CF"/>
    <w:rsid w:val="00C1184D"/>
    <w:rsid w:val="00C11A13"/>
    <w:rsid w:val="00C12293"/>
    <w:rsid w:val="00C126A3"/>
    <w:rsid w:val="00C13E94"/>
    <w:rsid w:val="00C15F1D"/>
    <w:rsid w:val="00C16E5C"/>
    <w:rsid w:val="00C1707C"/>
    <w:rsid w:val="00C171E7"/>
    <w:rsid w:val="00C174FE"/>
    <w:rsid w:val="00C17526"/>
    <w:rsid w:val="00C201B3"/>
    <w:rsid w:val="00C20390"/>
    <w:rsid w:val="00C20AB7"/>
    <w:rsid w:val="00C20AF2"/>
    <w:rsid w:val="00C22586"/>
    <w:rsid w:val="00C22677"/>
    <w:rsid w:val="00C23301"/>
    <w:rsid w:val="00C23657"/>
    <w:rsid w:val="00C23E33"/>
    <w:rsid w:val="00C24ED3"/>
    <w:rsid w:val="00C25630"/>
    <w:rsid w:val="00C2602C"/>
    <w:rsid w:val="00C26B45"/>
    <w:rsid w:val="00C26FA9"/>
    <w:rsid w:val="00C270C6"/>
    <w:rsid w:val="00C270D8"/>
    <w:rsid w:val="00C276FA"/>
    <w:rsid w:val="00C27A87"/>
    <w:rsid w:val="00C27C22"/>
    <w:rsid w:val="00C301B7"/>
    <w:rsid w:val="00C31836"/>
    <w:rsid w:val="00C3186F"/>
    <w:rsid w:val="00C32488"/>
    <w:rsid w:val="00C32899"/>
    <w:rsid w:val="00C3395C"/>
    <w:rsid w:val="00C33C04"/>
    <w:rsid w:val="00C3446C"/>
    <w:rsid w:val="00C3470B"/>
    <w:rsid w:val="00C35203"/>
    <w:rsid w:val="00C3578D"/>
    <w:rsid w:val="00C36172"/>
    <w:rsid w:val="00C374B1"/>
    <w:rsid w:val="00C37FE7"/>
    <w:rsid w:val="00C4191A"/>
    <w:rsid w:val="00C4210B"/>
    <w:rsid w:val="00C42D1B"/>
    <w:rsid w:val="00C434A9"/>
    <w:rsid w:val="00C4358F"/>
    <w:rsid w:val="00C43C56"/>
    <w:rsid w:val="00C43CF4"/>
    <w:rsid w:val="00C43D95"/>
    <w:rsid w:val="00C43E23"/>
    <w:rsid w:val="00C445F6"/>
    <w:rsid w:val="00C44798"/>
    <w:rsid w:val="00C4534F"/>
    <w:rsid w:val="00C46B69"/>
    <w:rsid w:val="00C4765D"/>
    <w:rsid w:val="00C5026B"/>
    <w:rsid w:val="00C5073C"/>
    <w:rsid w:val="00C51254"/>
    <w:rsid w:val="00C517AF"/>
    <w:rsid w:val="00C51F3C"/>
    <w:rsid w:val="00C5339E"/>
    <w:rsid w:val="00C54AAA"/>
    <w:rsid w:val="00C54CF3"/>
    <w:rsid w:val="00C55207"/>
    <w:rsid w:val="00C55A66"/>
    <w:rsid w:val="00C55D82"/>
    <w:rsid w:val="00C56145"/>
    <w:rsid w:val="00C56270"/>
    <w:rsid w:val="00C60ADF"/>
    <w:rsid w:val="00C60B6A"/>
    <w:rsid w:val="00C6121E"/>
    <w:rsid w:val="00C614A8"/>
    <w:rsid w:val="00C618EC"/>
    <w:rsid w:val="00C61C42"/>
    <w:rsid w:val="00C62442"/>
    <w:rsid w:val="00C625E3"/>
    <w:rsid w:val="00C62CE7"/>
    <w:rsid w:val="00C63133"/>
    <w:rsid w:val="00C6354F"/>
    <w:rsid w:val="00C63B42"/>
    <w:rsid w:val="00C645F2"/>
    <w:rsid w:val="00C6644A"/>
    <w:rsid w:val="00C66D2F"/>
    <w:rsid w:val="00C66F54"/>
    <w:rsid w:val="00C67795"/>
    <w:rsid w:val="00C67B28"/>
    <w:rsid w:val="00C70173"/>
    <w:rsid w:val="00C70605"/>
    <w:rsid w:val="00C712A9"/>
    <w:rsid w:val="00C71511"/>
    <w:rsid w:val="00C71867"/>
    <w:rsid w:val="00C71B8E"/>
    <w:rsid w:val="00C7313A"/>
    <w:rsid w:val="00C732A4"/>
    <w:rsid w:val="00C73A1D"/>
    <w:rsid w:val="00C73A85"/>
    <w:rsid w:val="00C73C0A"/>
    <w:rsid w:val="00C74150"/>
    <w:rsid w:val="00C7427F"/>
    <w:rsid w:val="00C74930"/>
    <w:rsid w:val="00C749FB"/>
    <w:rsid w:val="00C75D0B"/>
    <w:rsid w:val="00C762C5"/>
    <w:rsid w:val="00C76655"/>
    <w:rsid w:val="00C7674B"/>
    <w:rsid w:val="00C76810"/>
    <w:rsid w:val="00C76FE2"/>
    <w:rsid w:val="00C800DE"/>
    <w:rsid w:val="00C80E14"/>
    <w:rsid w:val="00C81A47"/>
    <w:rsid w:val="00C820A2"/>
    <w:rsid w:val="00C82580"/>
    <w:rsid w:val="00C82B00"/>
    <w:rsid w:val="00C834DC"/>
    <w:rsid w:val="00C8359A"/>
    <w:rsid w:val="00C84417"/>
    <w:rsid w:val="00C84447"/>
    <w:rsid w:val="00C85044"/>
    <w:rsid w:val="00C857D4"/>
    <w:rsid w:val="00C85ECD"/>
    <w:rsid w:val="00C9069B"/>
    <w:rsid w:val="00C917C3"/>
    <w:rsid w:val="00C91DD2"/>
    <w:rsid w:val="00C9227B"/>
    <w:rsid w:val="00C92C0B"/>
    <w:rsid w:val="00C93107"/>
    <w:rsid w:val="00C934CB"/>
    <w:rsid w:val="00C934EA"/>
    <w:rsid w:val="00C93E20"/>
    <w:rsid w:val="00C942C3"/>
    <w:rsid w:val="00C95B35"/>
    <w:rsid w:val="00C96495"/>
    <w:rsid w:val="00C96897"/>
    <w:rsid w:val="00C96AC7"/>
    <w:rsid w:val="00C96B94"/>
    <w:rsid w:val="00C96CFF"/>
    <w:rsid w:val="00C97A80"/>
    <w:rsid w:val="00CA23AF"/>
    <w:rsid w:val="00CA2C99"/>
    <w:rsid w:val="00CA393E"/>
    <w:rsid w:val="00CA442E"/>
    <w:rsid w:val="00CA4938"/>
    <w:rsid w:val="00CA4AEA"/>
    <w:rsid w:val="00CA4CFA"/>
    <w:rsid w:val="00CA5795"/>
    <w:rsid w:val="00CA5EB8"/>
    <w:rsid w:val="00CA5F57"/>
    <w:rsid w:val="00CA64B8"/>
    <w:rsid w:val="00CA7053"/>
    <w:rsid w:val="00CB0013"/>
    <w:rsid w:val="00CB0C86"/>
    <w:rsid w:val="00CB1269"/>
    <w:rsid w:val="00CB2420"/>
    <w:rsid w:val="00CB2787"/>
    <w:rsid w:val="00CB2D5B"/>
    <w:rsid w:val="00CB4AA4"/>
    <w:rsid w:val="00CB4CB4"/>
    <w:rsid w:val="00CB57A5"/>
    <w:rsid w:val="00CB5C2A"/>
    <w:rsid w:val="00CB7068"/>
    <w:rsid w:val="00CB7DC0"/>
    <w:rsid w:val="00CC0721"/>
    <w:rsid w:val="00CC23C9"/>
    <w:rsid w:val="00CC286A"/>
    <w:rsid w:val="00CC381E"/>
    <w:rsid w:val="00CC4688"/>
    <w:rsid w:val="00CC4CD1"/>
    <w:rsid w:val="00CC5458"/>
    <w:rsid w:val="00CC7070"/>
    <w:rsid w:val="00CC769E"/>
    <w:rsid w:val="00CD1092"/>
    <w:rsid w:val="00CD1C90"/>
    <w:rsid w:val="00CD2522"/>
    <w:rsid w:val="00CD4225"/>
    <w:rsid w:val="00CD4D62"/>
    <w:rsid w:val="00CD59E1"/>
    <w:rsid w:val="00CD602A"/>
    <w:rsid w:val="00CD7888"/>
    <w:rsid w:val="00CD7951"/>
    <w:rsid w:val="00CD7A1A"/>
    <w:rsid w:val="00CE012F"/>
    <w:rsid w:val="00CE04A5"/>
    <w:rsid w:val="00CE0E9F"/>
    <w:rsid w:val="00CE15AE"/>
    <w:rsid w:val="00CE17A6"/>
    <w:rsid w:val="00CE1A86"/>
    <w:rsid w:val="00CE2ABD"/>
    <w:rsid w:val="00CE4522"/>
    <w:rsid w:val="00CE493F"/>
    <w:rsid w:val="00CE4C89"/>
    <w:rsid w:val="00CE4D6A"/>
    <w:rsid w:val="00CE55A9"/>
    <w:rsid w:val="00CE55BC"/>
    <w:rsid w:val="00CE5A80"/>
    <w:rsid w:val="00CE65CF"/>
    <w:rsid w:val="00CE68F2"/>
    <w:rsid w:val="00CE6903"/>
    <w:rsid w:val="00CE6C6E"/>
    <w:rsid w:val="00CE7733"/>
    <w:rsid w:val="00CE789A"/>
    <w:rsid w:val="00CE7CA7"/>
    <w:rsid w:val="00CF0805"/>
    <w:rsid w:val="00CF09D5"/>
    <w:rsid w:val="00CF1E81"/>
    <w:rsid w:val="00CF3730"/>
    <w:rsid w:val="00CF480C"/>
    <w:rsid w:val="00CF48B9"/>
    <w:rsid w:val="00CF52D6"/>
    <w:rsid w:val="00CF53A5"/>
    <w:rsid w:val="00CF556C"/>
    <w:rsid w:val="00CF5F69"/>
    <w:rsid w:val="00CF7319"/>
    <w:rsid w:val="00CF7653"/>
    <w:rsid w:val="00CF778E"/>
    <w:rsid w:val="00CF7A42"/>
    <w:rsid w:val="00CF7B64"/>
    <w:rsid w:val="00D003CF"/>
    <w:rsid w:val="00D0094E"/>
    <w:rsid w:val="00D00A29"/>
    <w:rsid w:val="00D00E9E"/>
    <w:rsid w:val="00D013C9"/>
    <w:rsid w:val="00D0237B"/>
    <w:rsid w:val="00D032B4"/>
    <w:rsid w:val="00D03322"/>
    <w:rsid w:val="00D03B4D"/>
    <w:rsid w:val="00D04781"/>
    <w:rsid w:val="00D05001"/>
    <w:rsid w:val="00D05376"/>
    <w:rsid w:val="00D05789"/>
    <w:rsid w:val="00D0623B"/>
    <w:rsid w:val="00D064AA"/>
    <w:rsid w:val="00D06A68"/>
    <w:rsid w:val="00D07DFF"/>
    <w:rsid w:val="00D11314"/>
    <w:rsid w:val="00D116E1"/>
    <w:rsid w:val="00D12B37"/>
    <w:rsid w:val="00D137D1"/>
    <w:rsid w:val="00D13F76"/>
    <w:rsid w:val="00D15E11"/>
    <w:rsid w:val="00D16247"/>
    <w:rsid w:val="00D16A90"/>
    <w:rsid w:val="00D16DFF"/>
    <w:rsid w:val="00D1702F"/>
    <w:rsid w:val="00D176BB"/>
    <w:rsid w:val="00D205EF"/>
    <w:rsid w:val="00D20B9F"/>
    <w:rsid w:val="00D216A5"/>
    <w:rsid w:val="00D21801"/>
    <w:rsid w:val="00D223B0"/>
    <w:rsid w:val="00D2348A"/>
    <w:rsid w:val="00D23CDE"/>
    <w:rsid w:val="00D24D80"/>
    <w:rsid w:val="00D25C9A"/>
    <w:rsid w:val="00D26462"/>
    <w:rsid w:val="00D26BC4"/>
    <w:rsid w:val="00D26F93"/>
    <w:rsid w:val="00D2722D"/>
    <w:rsid w:val="00D279EC"/>
    <w:rsid w:val="00D30220"/>
    <w:rsid w:val="00D311B1"/>
    <w:rsid w:val="00D31A90"/>
    <w:rsid w:val="00D31F9A"/>
    <w:rsid w:val="00D32306"/>
    <w:rsid w:val="00D324C5"/>
    <w:rsid w:val="00D32CD0"/>
    <w:rsid w:val="00D3367F"/>
    <w:rsid w:val="00D33B83"/>
    <w:rsid w:val="00D34794"/>
    <w:rsid w:val="00D3638D"/>
    <w:rsid w:val="00D37507"/>
    <w:rsid w:val="00D37EDA"/>
    <w:rsid w:val="00D41BE4"/>
    <w:rsid w:val="00D41FC1"/>
    <w:rsid w:val="00D42D24"/>
    <w:rsid w:val="00D43D10"/>
    <w:rsid w:val="00D43E84"/>
    <w:rsid w:val="00D44015"/>
    <w:rsid w:val="00D44E8F"/>
    <w:rsid w:val="00D45007"/>
    <w:rsid w:val="00D452A3"/>
    <w:rsid w:val="00D45443"/>
    <w:rsid w:val="00D460AC"/>
    <w:rsid w:val="00D46163"/>
    <w:rsid w:val="00D4630C"/>
    <w:rsid w:val="00D46C47"/>
    <w:rsid w:val="00D476ED"/>
    <w:rsid w:val="00D51E8E"/>
    <w:rsid w:val="00D53FDB"/>
    <w:rsid w:val="00D54AA3"/>
    <w:rsid w:val="00D57448"/>
    <w:rsid w:val="00D605D4"/>
    <w:rsid w:val="00D60A70"/>
    <w:rsid w:val="00D617CF"/>
    <w:rsid w:val="00D61B09"/>
    <w:rsid w:val="00D61DE0"/>
    <w:rsid w:val="00D61FA9"/>
    <w:rsid w:val="00D627E3"/>
    <w:rsid w:val="00D632FA"/>
    <w:rsid w:val="00D6360B"/>
    <w:rsid w:val="00D6421E"/>
    <w:rsid w:val="00D65DEC"/>
    <w:rsid w:val="00D66420"/>
    <w:rsid w:val="00D67373"/>
    <w:rsid w:val="00D677ED"/>
    <w:rsid w:val="00D67AEA"/>
    <w:rsid w:val="00D67BBA"/>
    <w:rsid w:val="00D67C44"/>
    <w:rsid w:val="00D70742"/>
    <w:rsid w:val="00D70FD4"/>
    <w:rsid w:val="00D712FE"/>
    <w:rsid w:val="00D73918"/>
    <w:rsid w:val="00D73962"/>
    <w:rsid w:val="00D73992"/>
    <w:rsid w:val="00D74D79"/>
    <w:rsid w:val="00D74F0B"/>
    <w:rsid w:val="00D74FBE"/>
    <w:rsid w:val="00D75DDC"/>
    <w:rsid w:val="00D763CB"/>
    <w:rsid w:val="00D76CA9"/>
    <w:rsid w:val="00D77034"/>
    <w:rsid w:val="00D77C5B"/>
    <w:rsid w:val="00D8022B"/>
    <w:rsid w:val="00D80306"/>
    <w:rsid w:val="00D809A8"/>
    <w:rsid w:val="00D8291A"/>
    <w:rsid w:val="00D82B4F"/>
    <w:rsid w:val="00D831AD"/>
    <w:rsid w:val="00D84520"/>
    <w:rsid w:val="00D85A6B"/>
    <w:rsid w:val="00D90AF9"/>
    <w:rsid w:val="00D92D80"/>
    <w:rsid w:val="00D93026"/>
    <w:rsid w:val="00D93490"/>
    <w:rsid w:val="00D95216"/>
    <w:rsid w:val="00D959C1"/>
    <w:rsid w:val="00D959E9"/>
    <w:rsid w:val="00D9648D"/>
    <w:rsid w:val="00D97BA7"/>
    <w:rsid w:val="00DA0254"/>
    <w:rsid w:val="00DA0B43"/>
    <w:rsid w:val="00DA14BC"/>
    <w:rsid w:val="00DA1607"/>
    <w:rsid w:val="00DA1B04"/>
    <w:rsid w:val="00DA211B"/>
    <w:rsid w:val="00DA2A1C"/>
    <w:rsid w:val="00DA495A"/>
    <w:rsid w:val="00DA4C69"/>
    <w:rsid w:val="00DA60EF"/>
    <w:rsid w:val="00DA62D8"/>
    <w:rsid w:val="00DA6A1B"/>
    <w:rsid w:val="00DA6A5A"/>
    <w:rsid w:val="00DA6FE3"/>
    <w:rsid w:val="00DA709E"/>
    <w:rsid w:val="00DA7BEC"/>
    <w:rsid w:val="00DB005A"/>
    <w:rsid w:val="00DB01F7"/>
    <w:rsid w:val="00DB08A1"/>
    <w:rsid w:val="00DB090B"/>
    <w:rsid w:val="00DB0F91"/>
    <w:rsid w:val="00DB121E"/>
    <w:rsid w:val="00DB13B9"/>
    <w:rsid w:val="00DB1649"/>
    <w:rsid w:val="00DB1EAE"/>
    <w:rsid w:val="00DB23CC"/>
    <w:rsid w:val="00DB2E9F"/>
    <w:rsid w:val="00DB4A9D"/>
    <w:rsid w:val="00DB4CB7"/>
    <w:rsid w:val="00DB5D74"/>
    <w:rsid w:val="00DB5FFE"/>
    <w:rsid w:val="00DB600D"/>
    <w:rsid w:val="00DB6E72"/>
    <w:rsid w:val="00DC0510"/>
    <w:rsid w:val="00DC10B6"/>
    <w:rsid w:val="00DC2F55"/>
    <w:rsid w:val="00DC35F0"/>
    <w:rsid w:val="00DC4739"/>
    <w:rsid w:val="00DC4870"/>
    <w:rsid w:val="00DC492C"/>
    <w:rsid w:val="00DC4E10"/>
    <w:rsid w:val="00DC6690"/>
    <w:rsid w:val="00DC7090"/>
    <w:rsid w:val="00DC79B1"/>
    <w:rsid w:val="00DD0AE7"/>
    <w:rsid w:val="00DD18AB"/>
    <w:rsid w:val="00DD1CDE"/>
    <w:rsid w:val="00DD26A8"/>
    <w:rsid w:val="00DD2D53"/>
    <w:rsid w:val="00DD2D64"/>
    <w:rsid w:val="00DD4A09"/>
    <w:rsid w:val="00DD63A6"/>
    <w:rsid w:val="00DD7885"/>
    <w:rsid w:val="00DE1073"/>
    <w:rsid w:val="00DE12B6"/>
    <w:rsid w:val="00DE1B25"/>
    <w:rsid w:val="00DE2257"/>
    <w:rsid w:val="00DE2D58"/>
    <w:rsid w:val="00DE3455"/>
    <w:rsid w:val="00DE3C98"/>
    <w:rsid w:val="00DE43C9"/>
    <w:rsid w:val="00DE4B3C"/>
    <w:rsid w:val="00DE5126"/>
    <w:rsid w:val="00DE54B8"/>
    <w:rsid w:val="00DE6A89"/>
    <w:rsid w:val="00DE6F42"/>
    <w:rsid w:val="00DE7B8E"/>
    <w:rsid w:val="00DE7D0B"/>
    <w:rsid w:val="00DF0321"/>
    <w:rsid w:val="00DF0349"/>
    <w:rsid w:val="00DF1067"/>
    <w:rsid w:val="00DF1946"/>
    <w:rsid w:val="00DF3901"/>
    <w:rsid w:val="00DF41CA"/>
    <w:rsid w:val="00DF41FD"/>
    <w:rsid w:val="00DF5284"/>
    <w:rsid w:val="00DF58E5"/>
    <w:rsid w:val="00DF688E"/>
    <w:rsid w:val="00DF6BAF"/>
    <w:rsid w:val="00DF6D1C"/>
    <w:rsid w:val="00DF7535"/>
    <w:rsid w:val="00E00AE4"/>
    <w:rsid w:val="00E00D55"/>
    <w:rsid w:val="00E01133"/>
    <w:rsid w:val="00E01A2F"/>
    <w:rsid w:val="00E01CC2"/>
    <w:rsid w:val="00E05399"/>
    <w:rsid w:val="00E05A98"/>
    <w:rsid w:val="00E06F0E"/>
    <w:rsid w:val="00E07E33"/>
    <w:rsid w:val="00E07F58"/>
    <w:rsid w:val="00E1067A"/>
    <w:rsid w:val="00E10A40"/>
    <w:rsid w:val="00E11867"/>
    <w:rsid w:val="00E11D60"/>
    <w:rsid w:val="00E1298A"/>
    <w:rsid w:val="00E14267"/>
    <w:rsid w:val="00E14B17"/>
    <w:rsid w:val="00E156E7"/>
    <w:rsid w:val="00E15A67"/>
    <w:rsid w:val="00E164C5"/>
    <w:rsid w:val="00E202CC"/>
    <w:rsid w:val="00E21BF0"/>
    <w:rsid w:val="00E22CCD"/>
    <w:rsid w:val="00E22E4B"/>
    <w:rsid w:val="00E232D2"/>
    <w:rsid w:val="00E24177"/>
    <w:rsid w:val="00E24200"/>
    <w:rsid w:val="00E24557"/>
    <w:rsid w:val="00E25204"/>
    <w:rsid w:val="00E252F3"/>
    <w:rsid w:val="00E25999"/>
    <w:rsid w:val="00E267E0"/>
    <w:rsid w:val="00E275B0"/>
    <w:rsid w:val="00E27C50"/>
    <w:rsid w:val="00E30036"/>
    <w:rsid w:val="00E31FB0"/>
    <w:rsid w:val="00E3205C"/>
    <w:rsid w:val="00E32D39"/>
    <w:rsid w:val="00E32DFF"/>
    <w:rsid w:val="00E33345"/>
    <w:rsid w:val="00E33B30"/>
    <w:rsid w:val="00E34952"/>
    <w:rsid w:val="00E360C5"/>
    <w:rsid w:val="00E36BC3"/>
    <w:rsid w:val="00E37F0A"/>
    <w:rsid w:val="00E415C2"/>
    <w:rsid w:val="00E41A54"/>
    <w:rsid w:val="00E41C06"/>
    <w:rsid w:val="00E42118"/>
    <w:rsid w:val="00E43C62"/>
    <w:rsid w:val="00E442CA"/>
    <w:rsid w:val="00E45C02"/>
    <w:rsid w:val="00E46383"/>
    <w:rsid w:val="00E46B9C"/>
    <w:rsid w:val="00E46BA2"/>
    <w:rsid w:val="00E47208"/>
    <w:rsid w:val="00E4767B"/>
    <w:rsid w:val="00E500EB"/>
    <w:rsid w:val="00E51CDB"/>
    <w:rsid w:val="00E527CC"/>
    <w:rsid w:val="00E533EB"/>
    <w:rsid w:val="00E53437"/>
    <w:rsid w:val="00E536E4"/>
    <w:rsid w:val="00E54941"/>
    <w:rsid w:val="00E5726E"/>
    <w:rsid w:val="00E5727D"/>
    <w:rsid w:val="00E60BDF"/>
    <w:rsid w:val="00E60C74"/>
    <w:rsid w:val="00E60EA1"/>
    <w:rsid w:val="00E62FD0"/>
    <w:rsid w:val="00E63B80"/>
    <w:rsid w:val="00E63EE4"/>
    <w:rsid w:val="00E64C05"/>
    <w:rsid w:val="00E65AF9"/>
    <w:rsid w:val="00E65B27"/>
    <w:rsid w:val="00E65EEC"/>
    <w:rsid w:val="00E66449"/>
    <w:rsid w:val="00E66CFF"/>
    <w:rsid w:val="00E6734D"/>
    <w:rsid w:val="00E67F20"/>
    <w:rsid w:val="00E70DA4"/>
    <w:rsid w:val="00E70E18"/>
    <w:rsid w:val="00E711CE"/>
    <w:rsid w:val="00E73464"/>
    <w:rsid w:val="00E73508"/>
    <w:rsid w:val="00E74BEE"/>
    <w:rsid w:val="00E74D56"/>
    <w:rsid w:val="00E74DE8"/>
    <w:rsid w:val="00E74E00"/>
    <w:rsid w:val="00E75A96"/>
    <w:rsid w:val="00E75D66"/>
    <w:rsid w:val="00E76379"/>
    <w:rsid w:val="00E765E2"/>
    <w:rsid w:val="00E77545"/>
    <w:rsid w:val="00E77858"/>
    <w:rsid w:val="00E80753"/>
    <w:rsid w:val="00E81028"/>
    <w:rsid w:val="00E82B6B"/>
    <w:rsid w:val="00E82C72"/>
    <w:rsid w:val="00E82DAF"/>
    <w:rsid w:val="00E83E13"/>
    <w:rsid w:val="00E83FB3"/>
    <w:rsid w:val="00E8479C"/>
    <w:rsid w:val="00E85378"/>
    <w:rsid w:val="00E85B86"/>
    <w:rsid w:val="00E85C6C"/>
    <w:rsid w:val="00E86BDF"/>
    <w:rsid w:val="00E876C9"/>
    <w:rsid w:val="00E876D6"/>
    <w:rsid w:val="00E87B70"/>
    <w:rsid w:val="00E87D4C"/>
    <w:rsid w:val="00E900E8"/>
    <w:rsid w:val="00E9044C"/>
    <w:rsid w:val="00E90CDF"/>
    <w:rsid w:val="00E90EEF"/>
    <w:rsid w:val="00E916B0"/>
    <w:rsid w:val="00E916D4"/>
    <w:rsid w:val="00E91EC6"/>
    <w:rsid w:val="00E92233"/>
    <w:rsid w:val="00E926FB"/>
    <w:rsid w:val="00E92C5D"/>
    <w:rsid w:val="00E936DF"/>
    <w:rsid w:val="00E93D11"/>
    <w:rsid w:val="00E94AEB"/>
    <w:rsid w:val="00E950A8"/>
    <w:rsid w:val="00E95440"/>
    <w:rsid w:val="00E95BB1"/>
    <w:rsid w:val="00E95CED"/>
    <w:rsid w:val="00E9667B"/>
    <w:rsid w:val="00E96D1E"/>
    <w:rsid w:val="00E97F9C"/>
    <w:rsid w:val="00EA0299"/>
    <w:rsid w:val="00EA082D"/>
    <w:rsid w:val="00EA182E"/>
    <w:rsid w:val="00EA335F"/>
    <w:rsid w:val="00EA3473"/>
    <w:rsid w:val="00EA3AAA"/>
    <w:rsid w:val="00EA3B14"/>
    <w:rsid w:val="00EA3BB5"/>
    <w:rsid w:val="00EA3D0E"/>
    <w:rsid w:val="00EA3E8C"/>
    <w:rsid w:val="00EA3EA4"/>
    <w:rsid w:val="00EA433B"/>
    <w:rsid w:val="00EA5AEC"/>
    <w:rsid w:val="00EA5EDC"/>
    <w:rsid w:val="00EA62F7"/>
    <w:rsid w:val="00EA6418"/>
    <w:rsid w:val="00EA6BC1"/>
    <w:rsid w:val="00EA75F3"/>
    <w:rsid w:val="00EB0318"/>
    <w:rsid w:val="00EB0D6E"/>
    <w:rsid w:val="00EB0E4F"/>
    <w:rsid w:val="00EB0E6E"/>
    <w:rsid w:val="00EB112B"/>
    <w:rsid w:val="00EB1188"/>
    <w:rsid w:val="00EB124D"/>
    <w:rsid w:val="00EB135B"/>
    <w:rsid w:val="00EB4172"/>
    <w:rsid w:val="00EB4347"/>
    <w:rsid w:val="00EB6309"/>
    <w:rsid w:val="00EB63C4"/>
    <w:rsid w:val="00EB7699"/>
    <w:rsid w:val="00EB7DD5"/>
    <w:rsid w:val="00EB7EDD"/>
    <w:rsid w:val="00EC0314"/>
    <w:rsid w:val="00EC0A9C"/>
    <w:rsid w:val="00EC0ECF"/>
    <w:rsid w:val="00EC146A"/>
    <w:rsid w:val="00EC175E"/>
    <w:rsid w:val="00EC1E94"/>
    <w:rsid w:val="00EC305C"/>
    <w:rsid w:val="00EC35FD"/>
    <w:rsid w:val="00EC3C93"/>
    <w:rsid w:val="00EC431B"/>
    <w:rsid w:val="00EC4958"/>
    <w:rsid w:val="00EC57F7"/>
    <w:rsid w:val="00EC5F1D"/>
    <w:rsid w:val="00EC61FE"/>
    <w:rsid w:val="00EC698B"/>
    <w:rsid w:val="00EC7322"/>
    <w:rsid w:val="00EC79B2"/>
    <w:rsid w:val="00EC7B15"/>
    <w:rsid w:val="00ED2036"/>
    <w:rsid w:val="00ED2D33"/>
    <w:rsid w:val="00ED2F57"/>
    <w:rsid w:val="00ED2F6B"/>
    <w:rsid w:val="00ED31CD"/>
    <w:rsid w:val="00ED3C00"/>
    <w:rsid w:val="00ED440F"/>
    <w:rsid w:val="00ED4E8B"/>
    <w:rsid w:val="00ED4F2A"/>
    <w:rsid w:val="00ED502D"/>
    <w:rsid w:val="00ED5305"/>
    <w:rsid w:val="00ED6312"/>
    <w:rsid w:val="00ED6A0C"/>
    <w:rsid w:val="00ED7C1C"/>
    <w:rsid w:val="00ED7D15"/>
    <w:rsid w:val="00EE114D"/>
    <w:rsid w:val="00EE1C36"/>
    <w:rsid w:val="00EE2543"/>
    <w:rsid w:val="00EE2911"/>
    <w:rsid w:val="00EE37B9"/>
    <w:rsid w:val="00EE393B"/>
    <w:rsid w:val="00EE44AC"/>
    <w:rsid w:val="00EE5868"/>
    <w:rsid w:val="00EE6307"/>
    <w:rsid w:val="00EE72E1"/>
    <w:rsid w:val="00EE7BF9"/>
    <w:rsid w:val="00EF0836"/>
    <w:rsid w:val="00EF0892"/>
    <w:rsid w:val="00EF1D58"/>
    <w:rsid w:val="00EF2F01"/>
    <w:rsid w:val="00EF4E19"/>
    <w:rsid w:val="00EF6AF0"/>
    <w:rsid w:val="00EF6BBC"/>
    <w:rsid w:val="00EF704D"/>
    <w:rsid w:val="00EF72A7"/>
    <w:rsid w:val="00F00D19"/>
    <w:rsid w:val="00F02009"/>
    <w:rsid w:val="00F02868"/>
    <w:rsid w:val="00F029EC"/>
    <w:rsid w:val="00F03208"/>
    <w:rsid w:val="00F03686"/>
    <w:rsid w:val="00F03791"/>
    <w:rsid w:val="00F03F99"/>
    <w:rsid w:val="00F04582"/>
    <w:rsid w:val="00F04D52"/>
    <w:rsid w:val="00F04E08"/>
    <w:rsid w:val="00F050A6"/>
    <w:rsid w:val="00F06011"/>
    <w:rsid w:val="00F06218"/>
    <w:rsid w:val="00F0661C"/>
    <w:rsid w:val="00F06A3B"/>
    <w:rsid w:val="00F077C8"/>
    <w:rsid w:val="00F079FB"/>
    <w:rsid w:val="00F07EA1"/>
    <w:rsid w:val="00F100F2"/>
    <w:rsid w:val="00F10401"/>
    <w:rsid w:val="00F1081F"/>
    <w:rsid w:val="00F10DBF"/>
    <w:rsid w:val="00F11343"/>
    <w:rsid w:val="00F1274A"/>
    <w:rsid w:val="00F12795"/>
    <w:rsid w:val="00F14488"/>
    <w:rsid w:val="00F15961"/>
    <w:rsid w:val="00F16309"/>
    <w:rsid w:val="00F168AC"/>
    <w:rsid w:val="00F177E8"/>
    <w:rsid w:val="00F200E7"/>
    <w:rsid w:val="00F2026F"/>
    <w:rsid w:val="00F20324"/>
    <w:rsid w:val="00F2071B"/>
    <w:rsid w:val="00F20E25"/>
    <w:rsid w:val="00F228AF"/>
    <w:rsid w:val="00F22DBD"/>
    <w:rsid w:val="00F22DCC"/>
    <w:rsid w:val="00F23FDA"/>
    <w:rsid w:val="00F24864"/>
    <w:rsid w:val="00F250F6"/>
    <w:rsid w:val="00F267A7"/>
    <w:rsid w:val="00F30CB1"/>
    <w:rsid w:val="00F314D0"/>
    <w:rsid w:val="00F31DDD"/>
    <w:rsid w:val="00F31E58"/>
    <w:rsid w:val="00F32F59"/>
    <w:rsid w:val="00F33627"/>
    <w:rsid w:val="00F33805"/>
    <w:rsid w:val="00F33FDA"/>
    <w:rsid w:val="00F35B91"/>
    <w:rsid w:val="00F35CE4"/>
    <w:rsid w:val="00F35F4B"/>
    <w:rsid w:val="00F36115"/>
    <w:rsid w:val="00F367FA"/>
    <w:rsid w:val="00F36B8D"/>
    <w:rsid w:val="00F37AAC"/>
    <w:rsid w:val="00F4007C"/>
    <w:rsid w:val="00F400A9"/>
    <w:rsid w:val="00F410C2"/>
    <w:rsid w:val="00F4124B"/>
    <w:rsid w:val="00F4198B"/>
    <w:rsid w:val="00F41D21"/>
    <w:rsid w:val="00F41ECB"/>
    <w:rsid w:val="00F41F42"/>
    <w:rsid w:val="00F4242C"/>
    <w:rsid w:val="00F42927"/>
    <w:rsid w:val="00F435F2"/>
    <w:rsid w:val="00F43CF5"/>
    <w:rsid w:val="00F43EA8"/>
    <w:rsid w:val="00F44267"/>
    <w:rsid w:val="00F44736"/>
    <w:rsid w:val="00F450B9"/>
    <w:rsid w:val="00F452EA"/>
    <w:rsid w:val="00F45977"/>
    <w:rsid w:val="00F468A6"/>
    <w:rsid w:val="00F46C48"/>
    <w:rsid w:val="00F46FE5"/>
    <w:rsid w:val="00F47503"/>
    <w:rsid w:val="00F51435"/>
    <w:rsid w:val="00F52194"/>
    <w:rsid w:val="00F522B3"/>
    <w:rsid w:val="00F530D8"/>
    <w:rsid w:val="00F53540"/>
    <w:rsid w:val="00F53F38"/>
    <w:rsid w:val="00F55029"/>
    <w:rsid w:val="00F551A8"/>
    <w:rsid w:val="00F555C4"/>
    <w:rsid w:val="00F555E8"/>
    <w:rsid w:val="00F55652"/>
    <w:rsid w:val="00F55798"/>
    <w:rsid w:val="00F56A49"/>
    <w:rsid w:val="00F56A68"/>
    <w:rsid w:val="00F57584"/>
    <w:rsid w:val="00F602EC"/>
    <w:rsid w:val="00F60609"/>
    <w:rsid w:val="00F60A2A"/>
    <w:rsid w:val="00F61407"/>
    <w:rsid w:val="00F61DE6"/>
    <w:rsid w:val="00F624D1"/>
    <w:rsid w:val="00F628AE"/>
    <w:rsid w:val="00F629AA"/>
    <w:rsid w:val="00F62C7A"/>
    <w:rsid w:val="00F642ED"/>
    <w:rsid w:val="00F64EE3"/>
    <w:rsid w:val="00F654FF"/>
    <w:rsid w:val="00F65C0C"/>
    <w:rsid w:val="00F65EB9"/>
    <w:rsid w:val="00F660CA"/>
    <w:rsid w:val="00F6648C"/>
    <w:rsid w:val="00F665B7"/>
    <w:rsid w:val="00F66749"/>
    <w:rsid w:val="00F6696E"/>
    <w:rsid w:val="00F67628"/>
    <w:rsid w:val="00F67861"/>
    <w:rsid w:val="00F67A59"/>
    <w:rsid w:val="00F67F18"/>
    <w:rsid w:val="00F70261"/>
    <w:rsid w:val="00F73796"/>
    <w:rsid w:val="00F762AC"/>
    <w:rsid w:val="00F76593"/>
    <w:rsid w:val="00F77215"/>
    <w:rsid w:val="00F774C1"/>
    <w:rsid w:val="00F7764C"/>
    <w:rsid w:val="00F807B7"/>
    <w:rsid w:val="00F807E4"/>
    <w:rsid w:val="00F8162F"/>
    <w:rsid w:val="00F81BDB"/>
    <w:rsid w:val="00F81D2C"/>
    <w:rsid w:val="00F81EDD"/>
    <w:rsid w:val="00F828BB"/>
    <w:rsid w:val="00F829A5"/>
    <w:rsid w:val="00F83424"/>
    <w:rsid w:val="00F85381"/>
    <w:rsid w:val="00F856D9"/>
    <w:rsid w:val="00F8601F"/>
    <w:rsid w:val="00F8675D"/>
    <w:rsid w:val="00F86B8F"/>
    <w:rsid w:val="00F87351"/>
    <w:rsid w:val="00F8735A"/>
    <w:rsid w:val="00F873AD"/>
    <w:rsid w:val="00F87459"/>
    <w:rsid w:val="00F879EC"/>
    <w:rsid w:val="00F87A39"/>
    <w:rsid w:val="00F87EAE"/>
    <w:rsid w:val="00F87EBF"/>
    <w:rsid w:val="00F908BE"/>
    <w:rsid w:val="00F90EAE"/>
    <w:rsid w:val="00F9140C"/>
    <w:rsid w:val="00F925A4"/>
    <w:rsid w:val="00F93A1D"/>
    <w:rsid w:val="00F93F08"/>
    <w:rsid w:val="00F9478E"/>
    <w:rsid w:val="00F948A6"/>
    <w:rsid w:val="00F95C83"/>
    <w:rsid w:val="00F97C24"/>
    <w:rsid w:val="00FA01D1"/>
    <w:rsid w:val="00FA07B1"/>
    <w:rsid w:val="00FA0FC4"/>
    <w:rsid w:val="00FA17AA"/>
    <w:rsid w:val="00FA1902"/>
    <w:rsid w:val="00FA1B1E"/>
    <w:rsid w:val="00FA2086"/>
    <w:rsid w:val="00FA2F6C"/>
    <w:rsid w:val="00FA368F"/>
    <w:rsid w:val="00FA380C"/>
    <w:rsid w:val="00FA45C1"/>
    <w:rsid w:val="00FA4A20"/>
    <w:rsid w:val="00FA4A58"/>
    <w:rsid w:val="00FA5EB4"/>
    <w:rsid w:val="00FA6E5C"/>
    <w:rsid w:val="00FA753C"/>
    <w:rsid w:val="00FB0130"/>
    <w:rsid w:val="00FB06F0"/>
    <w:rsid w:val="00FB0774"/>
    <w:rsid w:val="00FB0FC1"/>
    <w:rsid w:val="00FB172C"/>
    <w:rsid w:val="00FB1E13"/>
    <w:rsid w:val="00FB2125"/>
    <w:rsid w:val="00FB2774"/>
    <w:rsid w:val="00FB317D"/>
    <w:rsid w:val="00FB327B"/>
    <w:rsid w:val="00FB39F7"/>
    <w:rsid w:val="00FB4398"/>
    <w:rsid w:val="00FB594D"/>
    <w:rsid w:val="00FB5A6D"/>
    <w:rsid w:val="00FB65D0"/>
    <w:rsid w:val="00FB77A3"/>
    <w:rsid w:val="00FC0273"/>
    <w:rsid w:val="00FC0281"/>
    <w:rsid w:val="00FC2561"/>
    <w:rsid w:val="00FC29F1"/>
    <w:rsid w:val="00FC3396"/>
    <w:rsid w:val="00FC424D"/>
    <w:rsid w:val="00FC4BB4"/>
    <w:rsid w:val="00FC55F5"/>
    <w:rsid w:val="00FC5F78"/>
    <w:rsid w:val="00FC74FA"/>
    <w:rsid w:val="00FD1FAF"/>
    <w:rsid w:val="00FD2CD9"/>
    <w:rsid w:val="00FD3543"/>
    <w:rsid w:val="00FD4096"/>
    <w:rsid w:val="00FD438A"/>
    <w:rsid w:val="00FD44BF"/>
    <w:rsid w:val="00FD4A72"/>
    <w:rsid w:val="00FD70DD"/>
    <w:rsid w:val="00FD7307"/>
    <w:rsid w:val="00FD74E7"/>
    <w:rsid w:val="00FD7DA0"/>
    <w:rsid w:val="00FD7ED3"/>
    <w:rsid w:val="00FE0170"/>
    <w:rsid w:val="00FE087C"/>
    <w:rsid w:val="00FE096E"/>
    <w:rsid w:val="00FE0B08"/>
    <w:rsid w:val="00FE1561"/>
    <w:rsid w:val="00FE3380"/>
    <w:rsid w:val="00FE3717"/>
    <w:rsid w:val="00FE41BD"/>
    <w:rsid w:val="00FE4252"/>
    <w:rsid w:val="00FE4642"/>
    <w:rsid w:val="00FE4720"/>
    <w:rsid w:val="00FE4DE6"/>
    <w:rsid w:val="00FE5134"/>
    <w:rsid w:val="00FE58AB"/>
    <w:rsid w:val="00FE5CAA"/>
    <w:rsid w:val="00FE794F"/>
    <w:rsid w:val="00FF072F"/>
    <w:rsid w:val="00FF1E06"/>
    <w:rsid w:val="00FF225C"/>
    <w:rsid w:val="00FF2498"/>
    <w:rsid w:val="00FF338D"/>
    <w:rsid w:val="00FF4419"/>
    <w:rsid w:val="00FF4F86"/>
    <w:rsid w:val="00FF5CF2"/>
    <w:rsid w:val="00FF5D7C"/>
    <w:rsid w:val="00FF5F43"/>
    <w:rsid w:val="00FF603E"/>
    <w:rsid w:val="00FF7376"/>
    <w:rsid w:val="00FF7512"/>
    <w:rsid w:val="00FF7859"/>
    <w:rsid w:val="00FF78E0"/>
    <w:rsid w:val="00FF7B18"/>
    <w:rsid w:val="00FF7F20"/>
    <w:rsid w:val="010513F5"/>
    <w:rsid w:val="01662490"/>
    <w:rsid w:val="01710365"/>
    <w:rsid w:val="01810BD1"/>
    <w:rsid w:val="01934780"/>
    <w:rsid w:val="01B40303"/>
    <w:rsid w:val="01B97F8A"/>
    <w:rsid w:val="01BB4C02"/>
    <w:rsid w:val="01C761D7"/>
    <w:rsid w:val="01D572E0"/>
    <w:rsid w:val="023C39B5"/>
    <w:rsid w:val="023F54DB"/>
    <w:rsid w:val="02696505"/>
    <w:rsid w:val="02963E5C"/>
    <w:rsid w:val="02BE6F0D"/>
    <w:rsid w:val="02C473B2"/>
    <w:rsid w:val="02C9737E"/>
    <w:rsid w:val="02DD1677"/>
    <w:rsid w:val="035157C0"/>
    <w:rsid w:val="038E63CC"/>
    <w:rsid w:val="03AE3AF3"/>
    <w:rsid w:val="040275B6"/>
    <w:rsid w:val="04354D00"/>
    <w:rsid w:val="04431109"/>
    <w:rsid w:val="046A1BC6"/>
    <w:rsid w:val="04864039"/>
    <w:rsid w:val="048D652F"/>
    <w:rsid w:val="04BB734E"/>
    <w:rsid w:val="04C9683D"/>
    <w:rsid w:val="04E94949"/>
    <w:rsid w:val="050F532C"/>
    <w:rsid w:val="051262AB"/>
    <w:rsid w:val="056B2B85"/>
    <w:rsid w:val="05BC7971"/>
    <w:rsid w:val="05C02C8F"/>
    <w:rsid w:val="05ED128E"/>
    <w:rsid w:val="05F012B1"/>
    <w:rsid w:val="06175ED1"/>
    <w:rsid w:val="06212679"/>
    <w:rsid w:val="06275DB8"/>
    <w:rsid w:val="062D2651"/>
    <w:rsid w:val="0635121C"/>
    <w:rsid w:val="063B6D9A"/>
    <w:rsid w:val="06426E89"/>
    <w:rsid w:val="065F4CA0"/>
    <w:rsid w:val="06657E7B"/>
    <w:rsid w:val="0666753D"/>
    <w:rsid w:val="067B4B77"/>
    <w:rsid w:val="06981D4A"/>
    <w:rsid w:val="069C49F8"/>
    <w:rsid w:val="06A46101"/>
    <w:rsid w:val="06A52E9A"/>
    <w:rsid w:val="06B33447"/>
    <w:rsid w:val="070B2047"/>
    <w:rsid w:val="070B5CAD"/>
    <w:rsid w:val="073C6420"/>
    <w:rsid w:val="07567311"/>
    <w:rsid w:val="07B1746F"/>
    <w:rsid w:val="07B96C4F"/>
    <w:rsid w:val="07DA1F18"/>
    <w:rsid w:val="07FD323E"/>
    <w:rsid w:val="08067C6F"/>
    <w:rsid w:val="082F2FA1"/>
    <w:rsid w:val="086D19FE"/>
    <w:rsid w:val="08775291"/>
    <w:rsid w:val="087E7A7B"/>
    <w:rsid w:val="089373CA"/>
    <w:rsid w:val="08A756AE"/>
    <w:rsid w:val="08B0516D"/>
    <w:rsid w:val="08BD0A7E"/>
    <w:rsid w:val="08C35DD4"/>
    <w:rsid w:val="08CA21A0"/>
    <w:rsid w:val="090B714B"/>
    <w:rsid w:val="0919023B"/>
    <w:rsid w:val="091C6B19"/>
    <w:rsid w:val="092E1B04"/>
    <w:rsid w:val="096D69DA"/>
    <w:rsid w:val="0970359C"/>
    <w:rsid w:val="0976067B"/>
    <w:rsid w:val="09765624"/>
    <w:rsid w:val="097F603F"/>
    <w:rsid w:val="09874053"/>
    <w:rsid w:val="098C2A61"/>
    <w:rsid w:val="0990314F"/>
    <w:rsid w:val="099948FD"/>
    <w:rsid w:val="09B70607"/>
    <w:rsid w:val="09C7681E"/>
    <w:rsid w:val="09CD5624"/>
    <w:rsid w:val="0A08350C"/>
    <w:rsid w:val="0A0D286B"/>
    <w:rsid w:val="0A103EC7"/>
    <w:rsid w:val="0A290C93"/>
    <w:rsid w:val="0A3E6FEC"/>
    <w:rsid w:val="0A433CD6"/>
    <w:rsid w:val="0A5C2BC5"/>
    <w:rsid w:val="0A6174D8"/>
    <w:rsid w:val="0A6E1817"/>
    <w:rsid w:val="0A6F3AC4"/>
    <w:rsid w:val="0A8E03A4"/>
    <w:rsid w:val="0ABB090D"/>
    <w:rsid w:val="0ADF6154"/>
    <w:rsid w:val="0B0A75D9"/>
    <w:rsid w:val="0B1B7BAD"/>
    <w:rsid w:val="0B1E69B6"/>
    <w:rsid w:val="0B26632C"/>
    <w:rsid w:val="0B2D7962"/>
    <w:rsid w:val="0B330445"/>
    <w:rsid w:val="0B331936"/>
    <w:rsid w:val="0B433CF8"/>
    <w:rsid w:val="0B434DE3"/>
    <w:rsid w:val="0B4E21B8"/>
    <w:rsid w:val="0B87629D"/>
    <w:rsid w:val="0B9F0F6A"/>
    <w:rsid w:val="0B9F7FEC"/>
    <w:rsid w:val="0BA25474"/>
    <w:rsid w:val="0BE0584D"/>
    <w:rsid w:val="0BF73D6F"/>
    <w:rsid w:val="0C00535A"/>
    <w:rsid w:val="0C0B7609"/>
    <w:rsid w:val="0C3B0838"/>
    <w:rsid w:val="0C6E40FA"/>
    <w:rsid w:val="0C85037B"/>
    <w:rsid w:val="0CB9465E"/>
    <w:rsid w:val="0CC301C2"/>
    <w:rsid w:val="0CC80118"/>
    <w:rsid w:val="0CEF6BE1"/>
    <w:rsid w:val="0CFF7AB6"/>
    <w:rsid w:val="0D0630C7"/>
    <w:rsid w:val="0D1547C9"/>
    <w:rsid w:val="0D2C6B85"/>
    <w:rsid w:val="0D92525D"/>
    <w:rsid w:val="0DB012DD"/>
    <w:rsid w:val="0DBC49F2"/>
    <w:rsid w:val="0DFB5C2B"/>
    <w:rsid w:val="0DFC6D90"/>
    <w:rsid w:val="0E1F1FE6"/>
    <w:rsid w:val="0E506FB2"/>
    <w:rsid w:val="0E8E3B5F"/>
    <w:rsid w:val="0ECE0F86"/>
    <w:rsid w:val="0EE353EC"/>
    <w:rsid w:val="0F091725"/>
    <w:rsid w:val="0F222B70"/>
    <w:rsid w:val="0F406F05"/>
    <w:rsid w:val="0F455A19"/>
    <w:rsid w:val="0F4C002F"/>
    <w:rsid w:val="0F65152D"/>
    <w:rsid w:val="0F8C5F88"/>
    <w:rsid w:val="0FAA60CA"/>
    <w:rsid w:val="0FBD02D8"/>
    <w:rsid w:val="0FC8794D"/>
    <w:rsid w:val="10280EC8"/>
    <w:rsid w:val="104458DB"/>
    <w:rsid w:val="10451A39"/>
    <w:rsid w:val="109B175D"/>
    <w:rsid w:val="10C86300"/>
    <w:rsid w:val="10CA24D5"/>
    <w:rsid w:val="10CD585E"/>
    <w:rsid w:val="10F0176E"/>
    <w:rsid w:val="115307C4"/>
    <w:rsid w:val="11914405"/>
    <w:rsid w:val="11BA2534"/>
    <w:rsid w:val="11F71B62"/>
    <w:rsid w:val="120431CB"/>
    <w:rsid w:val="1257702B"/>
    <w:rsid w:val="12705B82"/>
    <w:rsid w:val="129B48F0"/>
    <w:rsid w:val="12AD0D76"/>
    <w:rsid w:val="12C41204"/>
    <w:rsid w:val="12C72D28"/>
    <w:rsid w:val="12C86D5C"/>
    <w:rsid w:val="12D33A2D"/>
    <w:rsid w:val="12E0359D"/>
    <w:rsid w:val="12E35027"/>
    <w:rsid w:val="12E517BD"/>
    <w:rsid w:val="12F66246"/>
    <w:rsid w:val="131E67F6"/>
    <w:rsid w:val="1328224C"/>
    <w:rsid w:val="13433772"/>
    <w:rsid w:val="1349576D"/>
    <w:rsid w:val="135B4005"/>
    <w:rsid w:val="139B7B0E"/>
    <w:rsid w:val="13B914AB"/>
    <w:rsid w:val="13FF2DFC"/>
    <w:rsid w:val="141D4F01"/>
    <w:rsid w:val="147726A1"/>
    <w:rsid w:val="1490027B"/>
    <w:rsid w:val="14914E82"/>
    <w:rsid w:val="14AA4B65"/>
    <w:rsid w:val="14B56B2E"/>
    <w:rsid w:val="14CB50E9"/>
    <w:rsid w:val="14E55B99"/>
    <w:rsid w:val="14FE5F5C"/>
    <w:rsid w:val="15141390"/>
    <w:rsid w:val="15330900"/>
    <w:rsid w:val="153738EF"/>
    <w:rsid w:val="159C3BB1"/>
    <w:rsid w:val="15B54AB0"/>
    <w:rsid w:val="15C41D7F"/>
    <w:rsid w:val="15C46CEE"/>
    <w:rsid w:val="15EA51E4"/>
    <w:rsid w:val="16527CAD"/>
    <w:rsid w:val="166263FB"/>
    <w:rsid w:val="167A5C43"/>
    <w:rsid w:val="167E3C1F"/>
    <w:rsid w:val="16CE5240"/>
    <w:rsid w:val="16E4452D"/>
    <w:rsid w:val="16F55567"/>
    <w:rsid w:val="16F84D51"/>
    <w:rsid w:val="16FE76D6"/>
    <w:rsid w:val="170D75F8"/>
    <w:rsid w:val="17460C58"/>
    <w:rsid w:val="17875204"/>
    <w:rsid w:val="17BE1BEA"/>
    <w:rsid w:val="17C73D8D"/>
    <w:rsid w:val="17F951BD"/>
    <w:rsid w:val="17FD4342"/>
    <w:rsid w:val="18196D0F"/>
    <w:rsid w:val="18226718"/>
    <w:rsid w:val="182E4BD3"/>
    <w:rsid w:val="1862412A"/>
    <w:rsid w:val="18AD18EC"/>
    <w:rsid w:val="18CE6F89"/>
    <w:rsid w:val="18E20971"/>
    <w:rsid w:val="194C0229"/>
    <w:rsid w:val="197479A8"/>
    <w:rsid w:val="197738C5"/>
    <w:rsid w:val="19A75DD4"/>
    <w:rsid w:val="19A911AC"/>
    <w:rsid w:val="19FB1C43"/>
    <w:rsid w:val="1A415844"/>
    <w:rsid w:val="1A494E80"/>
    <w:rsid w:val="1A6E46B7"/>
    <w:rsid w:val="1A752095"/>
    <w:rsid w:val="1A7E2478"/>
    <w:rsid w:val="1A8D6FA9"/>
    <w:rsid w:val="1A8F689D"/>
    <w:rsid w:val="1A9A679C"/>
    <w:rsid w:val="1ACC4880"/>
    <w:rsid w:val="1AD35DB3"/>
    <w:rsid w:val="1AE023AA"/>
    <w:rsid w:val="1AE23787"/>
    <w:rsid w:val="1B0B55C7"/>
    <w:rsid w:val="1B12087F"/>
    <w:rsid w:val="1B183791"/>
    <w:rsid w:val="1B491F16"/>
    <w:rsid w:val="1B4A6CA5"/>
    <w:rsid w:val="1B5068DD"/>
    <w:rsid w:val="1BA93916"/>
    <w:rsid w:val="1BB777FC"/>
    <w:rsid w:val="1BE47709"/>
    <w:rsid w:val="1C504147"/>
    <w:rsid w:val="1C5217D1"/>
    <w:rsid w:val="1C531B06"/>
    <w:rsid w:val="1C9F7EE0"/>
    <w:rsid w:val="1CA22F97"/>
    <w:rsid w:val="1CD9569D"/>
    <w:rsid w:val="1CE36A2A"/>
    <w:rsid w:val="1CED7A83"/>
    <w:rsid w:val="1D126434"/>
    <w:rsid w:val="1D1B3293"/>
    <w:rsid w:val="1D2E3C6D"/>
    <w:rsid w:val="1DF07448"/>
    <w:rsid w:val="1DF25DD0"/>
    <w:rsid w:val="1DFC3A7E"/>
    <w:rsid w:val="1E19369B"/>
    <w:rsid w:val="1E1F6225"/>
    <w:rsid w:val="1E271D5E"/>
    <w:rsid w:val="1E3C47A2"/>
    <w:rsid w:val="1E4C2FE0"/>
    <w:rsid w:val="1E64025F"/>
    <w:rsid w:val="1E6E4BA4"/>
    <w:rsid w:val="1E8851EA"/>
    <w:rsid w:val="1EF4000B"/>
    <w:rsid w:val="1EF56042"/>
    <w:rsid w:val="1F220366"/>
    <w:rsid w:val="1F3A76D8"/>
    <w:rsid w:val="1F3B561A"/>
    <w:rsid w:val="1F4B24D1"/>
    <w:rsid w:val="1F522034"/>
    <w:rsid w:val="1F884F22"/>
    <w:rsid w:val="1F942141"/>
    <w:rsid w:val="1FC40D1C"/>
    <w:rsid w:val="1FDD4B5D"/>
    <w:rsid w:val="20080B55"/>
    <w:rsid w:val="20143808"/>
    <w:rsid w:val="201D0355"/>
    <w:rsid w:val="203C4E63"/>
    <w:rsid w:val="20692AFF"/>
    <w:rsid w:val="208F40FA"/>
    <w:rsid w:val="20A32DD0"/>
    <w:rsid w:val="20A83BF5"/>
    <w:rsid w:val="20B40D50"/>
    <w:rsid w:val="21000284"/>
    <w:rsid w:val="213F2653"/>
    <w:rsid w:val="21627C12"/>
    <w:rsid w:val="216E37EF"/>
    <w:rsid w:val="21826C0B"/>
    <w:rsid w:val="21AE0B5B"/>
    <w:rsid w:val="21C8147A"/>
    <w:rsid w:val="21D26BF1"/>
    <w:rsid w:val="21D452F1"/>
    <w:rsid w:val="21ED3046"/>
    <w:rsid w:val="21FC61A1"/>
    <w:rsid w:val="2200093D"/>
    <w:rsid w:val="220C68E1"/>
    <w:rsid w:val="2211657B"/>
    <w:rsid w:val="221E1249"/>
    <w:rsid w:val="221E1973"/>
    <w:rsid w:val="22476A7D"/>
    <w:rsid w:val="22712483"/>
    <w:rsid w:val="227961A8"/>
    <w:rsid w:val="228A3BC6"/>
    <w:rsid w:val="22AF71CF"/>
    <w:rsid w:val="22DB015A"/>
    <w:rsid w:val="230A22B0"/>
    <w:rsid w:val="238422DF"/>
    <w:rsid w:val="23847BDA"/>
    <w:rsid w:val="23AE459B"/>
    <w:rsid w:val="23BB090F"/>
    <w:rsid w:val="240228F0"/>
    <w:rsid w:val="244070BF"/>
    <w:rsid w:val="24453519"/>
    <w:rsid w:val="24956DCB"/>
    <w:rsid w:val="249754FE"/>
    <w:rsid w:val="24994B86"/>
    <w:rsid w:val="24C851C8"/>
    <w:rsid w:val="24D964B9"/>
    <w:rsid w:val="250E72F5"/>
    <w:rsid w:val="25302744"/>
    <w:rsid w:val="25303CD0"/>
    <w:rsid w:val="25856748"/>
    <w:rsid w:val="26402B23"/>
    <w:rsid w:val="26733CA4"/>
    <w:rsid w:val="26D552B5"/>
    <w:rsid w:val="26DB2D29"/>
    <w:rsid w:val="26E054DB"/>
    <w:rsid w:val="26E63CEB"/>
    <w:rsid w:val="26F2257E"/>
    <w:rsid w:val="26F92A28"/>
    <w:rsid w:val="26F93001"/>
    <w:rsid w:val="26FA7821"/>
    <w:rsid w:val="27055489"/>
    <w:rsid w:val="271E14CF"/>
    <w:rsid w:val="27221F7E"/>
    <w:rsid w:val="27300A1A"/>
    <w:rsid w:val="275F269A"/>
    <w:rsid w:val="27804D3A"/>
    <w:rsid w:val="27A563E1"/>
    <w:rsid w:val="27A80C77"/>
    <w:rsid w:val="27C2450B"/>
    <w:rsid w:val="28150C2E"/>
    <w:rsid w:val="281D26D3"/>
    <w:rsid w:val="282F37B6"/>
    <w:rsid w:val="284F5D86"/>
    <w:rsid w:val="285B50E5"/>
    <w:rsid w:val="289570FB"/>
    <w:rsid w:val="28AB089A"/>
    <w:rsid w:val="28CA06EF"/>
    <w:rsid w:val="28CC7A3F"/>
    <w:rsid w:val="28FC3F50"/>
    <w:rsid w:val="29111BA7"/>
    <w:rsid w:val="291231AB"/>
    <w:rsid w:val="2934390E"/>
    <w:rsid w:val="293956D7"/>
    <w:rsid w:val="29436025"/>
    <w:rsid w:val="29460024"/>
    <w:rsid w:val="295F32F9"/>
    <w:rsid w:val="29742FAA"/>
    <w:rsid w:val="298C4D1F"/>
    <w:rsid w:val="29996066"/>
    <w:rsid w:val="29B70D5F"/>
    <w:rsid w:val="29E05C2B"/>
    <w:rsid w:val="29E774D2"/>
    <w:rsid w:val="29FF41F9"/>
    <w:rsid w:val="2A1D1321"/>
    <w:rsid w:val="2A1F538D"/>
    <w:rsid w:val="2A31339E"/>
    <w:rsid w:val="2A502017"/>
    <w:rsid w:val="2A526B45"/>
    <w:rsid w:val="2A5441F4"/>
    <w:rsid w:val="2A6D738B"/>
    <w:rsid w:val="2A9923AD"/>
    <w:rsid w:val="2AB33EBA"/>
    <w:rsid w:val="2ABE59E0"/>
    <w:rsid w:val="2B117443"/>
    <w:rsid w:val="2B4337F9"/>
    <w:rsid w:val="2B977349"/>
    <w:rsid w:val="2B9D7523"/>
    <w:rsid w:val="2BBD59AE"/>
    <w:rsid w:val="2BE11EB7"/>
    <w:rsid w:val="2BFC5ECC"/>
    <w:rsid w:val="2C076064"/>
    <w:rsid w:val="2C094D1D"/>
    <w:rsid w:val="2C0D53D8"/>
    <w:rsid w:val="2C136EB4"/>
    <w:rsid w:val="2C29039F"/>
    <w:rsid w:val="2C294FD6"/>
    <w:rsid w:val="2C3100EC"/>
    <w:rsid w:val="2C5E74AA"/>
    <w:rsid w:val="2C842528"/>
    <w:rsid w:val="2C895547"/>
    <w:rsid w:val="2CB40956"/>
    <w:rsid w:val="2CB96628"/>
    <w:rsid w:val="2CF2655E"/>
    <w:rsid w:val="2CF371A8"/>
    <w:rsid w:val="2D174A22"/>
    <w:rsid w:val="2D2E32FE"/>
    <w:rsid w:val="2D535181"/>
    <w:rsid w:val="2D55340D"/>
    <w:rsid w:val="2D65683F"/>
    <w:rsid w:val="2D804454"/>
    <w:rsid w:val="2DCC4AEB"/>
    <w:rsid w:val="2DE225CC"/>
    <w:rsid w:val="2DF3348F"/>
    <w:rsid w:val="2DFF2E13"/>
    <w:rsid w:val="2E041048"/>
    <w:rsid w:val="2E9F64F5"/>
    <w:rsid w:val="2EAD569B"/>
    <w:rsid w:val="2EB54217"/>
    <w:rsid w:val="2EC54BE2"/>
    <w:rsid w:val="2EE8059B"/>
    <w:rsid w:val="2F2C1D67"/>
    <w:rsid w:val="2F2D200A"/>
    <w:rsid w:val="2F2D326E"/>
    <w:rsid w:val="2F4E5CAA"/>
    <w:rsid w:val="2F554F86"/>
    <w:rsid w:val="2F7067AD"/>
    <w:rsid w:val="2F7409F9"/>
    <w:rsid w:val="2FBA31D0"/>
    <w:rsid w:val="2FC8079C"/>
    <w:rsid w:val="2FC845AC"/>
    <w:rsid w:val="2FDB0721"/>
    <w:rsid w:val="2FE50857"/>
    <w:rsid w:val="2FFB1600"/>
    <w:rsid w:val="30224A35"/>
    <w:rsid w:val="30341AF4"/>
    <w:rsid w:val="30371F74"/>
    <w:rsid w:val="30502CD8"/>
    <w:rsid w:val="305E0673"/>
    <w:rsid w:val="306138CC"/>
    <w:rsid w:val="30845C82"/>
    <w:rsid w:val="308B00B5"/>
    <w:rsid w:val="30940C87"/>
    <w:rsid w:val="3095293B"/>
    <w:rsid w:val="30A8016B"/>
    <w:rsid w:val="30C62D11"/>
    <w:rsid w:val="30CA62E2"/>
    <w:rsid w:val="30CD7B7B"/>
    <w:rsid w:val="30D13255"/>
    <w:rsid w:val="31015BF5"/>
    <w:rsid w:val="312C3ED1"/>
    <w:rsid w:val="314777DD"/>
    <w:rsid w:val="315938CB"/>
    <w:rsid w:val="3187390B"/>
    <w:rsid w:val="3194082E"/>
    <w:rsid w:val="31A608D0"/>
    <w:rsid w:val="31C73975"/>
    <w:rsid w:val="31D84828"/>
    <w:rsid w:val="31F46690"/>
    <w:rsid w:val="31F9354C"/>
    <w:rsid w:val="320C67AB"/>
    <w:rsid w:val="321A135F"/>
    <w:rsid w:val="321E36EF"/>
    <w:rsid w:val="322A7F39"/>
    <w:rsid w:val="3243252A"/>
    <w:rsid w:val="32457362"/>
    <w:rsid w:val="32534FCA"/>
    <w:rsid w:val="325A335F"/>
    <w:rsid w:val="329E4010"/>
    <w:rsid w:val="32A7498A"/>
    <w:rsid w:val="32EB36A6"/>
    <w:rsid w:val="32F7579D"/>
    <w:rsid w:val="32FE008C"/>
    <w:rsid w:val="33043C0F"/>
    <w:rsid w:val="331A5A50"/>
    <w:rsid w:val="331A6232"/>
    <w:rsid w:val="331F3960"/>
    <w:rsid w:val="33240D44"/>
    <w:rsid w:val="333174EE"/>
    <w:rsid w:val="33404438"/>
    <w:rsid w:val="33451CCA"/>
    <w:rsid w:val="3358677C"/>
    <w:rsid w:val="33674D5D"/>
    <w:rsid w:val="33777DE8"/>
    <w:rsid w:val="33820743"/>
    <w:rsid w:val="33AE796B"/>
    <w:rsid w:val="33E75B96"/>
    <w:rsid w:val="33E92600"/>
    <w:rsid w:val="33F06792"/>
    <w:rsid w:val="33F138DB"/>
    <w:rsid w:val="340D2353"/>
    <w:rsid w:val="344B6A5A"/>
    <w:rsid w:val="345F15F2"/>
    <w:rsid w:val="348A449D"/>
    <w:rsid w:val="348E6DBC"/>
    <w:rsid w:val="34943073"/>
    <w:rsid w:val="349E63DD"/>
    <w:rsid w:val="34E3222E"/>
    <w:rsid w:val="34F1279F"/>
    <w:rsid w:val="3505133C"/>
    <w:rsid w:val="35410F6C"/>
    <w:rsid w:val="357C3E36"/>
    <w:rsid w:val="3583465A"/>
    <w:rsid w:val="35A45316"/>
    <w:rsid w:val="35A53AAE"/>
    <w:rsid w:val="35C959A0"/>
    <w:rsid w:val="35D33CCE"/>
    <w:rsid w:val="35DE7C36"/>
    <w:rsid w:val="35F51C1F"/>
    <w:rsid w:val="360640EA"/>
    <w:rsid w:val="361B68E6"/>
    <w:rsid w:val="36792626"/>
    <w:rsid w:val="367B6795"/>
    <w:rsid w:val="36825978"/>
    <w:rsid w:val="36895F84"/>
    <w:rsid w:val="36B96EA2"/>
    <w:rsid w:val="36F23F0A"/>
    <w:rsid w:val="36F74809"/>
    <w:rsid w:val="3716532E"/>
    <w:rsid w:val="37377487"/>
    <w:rsid w:val="37491786"/>
    <w:rsid w:val="3750715E"/>
    <w:rsid w:val="375E0187"/>
    <w:rsid w:val="378539B5"/>
    <w:rsid w:val="379B165A"/>
    <w:rsid w:val="380A2AB3"/>
    <w:rsid w:val="3817422E"/>
    <w:rsid w:val="38244EF9"/>
    <w:rsid w:val="38431564"/>
    <w:rsid w:val="3896784C"/>
    <w:rsid w:val="38C145D7"/>
    <w:rsid w:val="38C83589"/>
    <w:rsid w:val="38C879EA"/>
    <w:rsid w:val="38CB1FEE"/>
    <w:rsid w:val="38CF7F33"/>
    <w:rsid w:val="38EE17F6"/>
    <w:rsid w:val="393C1131"/>
    <w:rsid w:val="395F3907"/>
    <w:rsid w:val="39616909"/>
    <w:rsid w:val="39823822"/>
    <w:rsid w:val="39845C55"/>
    <w:rsid w:val="39AF316A"/>
    <w:rsid w:val="39B74B39"/>
    <w:rsid w:val="39EA1CED"/>
    <w:rsid w:val="39F1308A"/>
    <w:rsid w:val="39F174B2"/>
    <w:rsid w:val="3A124C77"/>
    <w:rsid w:val="3A130664"/>
    <w:rsid w:val="3A2663EE"/>
    <w:rsid w:val="3A320CD2"/>
    <w:rsid w:val="3A445C13"/>
    <w:rsid w:val="3A5818BB"/>
    <w:rsid w:val="3A627F92"/>
    <w:rsid w:val="3A83562D"/>
    <w:rsid w:val="3A887EF3"/>
    <w:rsid w:val="3AA84612"/>
    <w:rsid w:val="3AAE54E4"/>
    <w:rsid w:val="3AB05F35"/>
    <w:rsid w:val="3AC26E15"/>
    <w:rsid w:val="3AD574BC"/>
    <w:rsid w:val="3AEB3D6E"/>
    <w:rsid w:val="3AF25157"/>
    <w:rsid w:val="3B201ED9"/>
    <w:rsid w:val="3B2B1480"/>
    <w:rsid w:val="3B4A1812"/>
    <w:rsid w:val="3BC620A5"/>
    <w:rsid w:val="3BC8143B"/>
    <w:rsid w:val="3BC938D0"/>
    <w:rsid w:val="3BCB616E"/>
    <w:rsid w:val="3C1D0DA3"/>
    <w:rsid w:val="3C294CFB"/>
    <w:rsid w:val="3C6209B3"/>
    <w:rsid w:val="3C84396D"/>
    <w:rsid w:val="3CAB0D37"/>
    <w:rsid w:val="3CB2215A"/>
    <w:rsid w:val="3CC362D4"/>
    <w:rsid w:val="3CCD4A6A"/>
    <w:rsid w:val="3CDE029E"/>
    <w:rsid w:val="3D1C0EB3"/>
    <w:rsid w:val="3D3E1DFA"/>
    <w:rsid w:val="3D676B5F"/>
    <w:rsid w:val="3D802264"/>
    <w:rsid w:val="3D822BBC"/>
    <w:rsid w:val="3D8C45B1"/>
    <w:rsid w:val="3DB33F3A"/>
    <w:rsid w:val="3DD91568"/>
    <w:rsid w:val="3DDC40B4"/>
    <w:rsid w:val="3DDC5425"/>
    <w:rsid w:val="3DF52762"/>
    <w:rsid w:val="3E373B21"/>
    <w:rsid w:val="3E442C03"/>
    <w:rsid w:val="3E51482F"/>
    <w:rsid w:val="3E7C0212"/>
    <w:rsid w:val="3E7E1574"/>
    <w:rsid w:val="3EAF72FE"/>
    <w:rsid w:val="3EFF208A"/>
    <w:rsid w:val="3F056979"/>
    <w:rsid w:val="3F143556"/>
    <w:rsid w:val="3F2B5B68"/>
    <w:rsid w:val="3F400BD0"/>
    <w:rsid w:val="3F415D28"/>
    <w:rsid w:val="3F4253A2"/>
    <w:rsid w:val="3F4F2095"/>
    <w:rsid w:val="3F5E3CBD"/>
    <w:rsid w:val="3F62672F"/>
    <w:rsid w:val="3F6E0654"/>
    <w:rsid w:val="3F85699F"/>
    <w:rsid w:val="3FA602D5"/>
    <w:rsid w:val="3FA963DD"/>
    <w:rsid w:val="3FBA662E"/>
    <w:rsid w:val="3FE93E44"/>
    <w:rsid w:val="40123243"/>
    <w:rsid w:val="40180199"/>
    <w:rsid w:val="40434FCD"/>
    <w:rsid w:val="40526FD9"/>
    <w:rsid w:val="40791C1C"/>
    <w:rsid w:val="40874199"/>
    <w:rsid w:val="408834D2"/>
    <w:rsid w:val="40900DE4"/>
    <w:rsid w:val="40984A60"/>
    <w:rsid w:val="40DA56AF"/>
    <w:rsid w:val="410F6713"/>
    <w:rsid w:val="411F7477"/>
    <w:rsid w:val="41304A86"/>
    <w:rsid w:val="413F5285"/>
    <w:rsid w:val="414622ED"/>
    <w:rsid w:val="414E174C"/>
    <w:rsid w:val="414E3E89"/>
    <w:rsid w:val="417C7883"/>
    <w:rsid w:val="418275F1"/>
    <w:rsid w:val="41A55F2B"/>
    <w:rsid w:val="41DA15EE"/>
    <w:rsid w:val="41DC6141"/>
    <w:rsid w:val="41F16F6A"/>
    <w:rsid w:val="41FA4D9F"/>
    <w:rsid w:val="425C012E"/>
    <w:rsid w:val="42615DB1"/>
    <w:rsid w:val="426B5A42"/>
    <w:rsid w:val="426F3376"/>
    <w:rsid w:val="42767012"/>
    <w:rsid w:val="427E7DEF"/>
    <w:rsid w:val="42857FBE"/>
    <w:rsid w:val="42B41F33"/>
    <w:rsid w:val="42F4005D"/>
    <w:rsid w:val="43034C0C"/>
    <w:rsid w:val="430D1976"/>
    <w:rsid w:val="430D609E"/>
    <w:rsid w:val="431376A1"/>
    <w:rsid w:val="436D1329"/>
    <w:rsid w:val="43767774"/>
    <w:rsid w:val="439F2F97"/>
    <w:rsid w:val="43A426EE"/>
    <w:rsid w:val="43A87ECE"/>
    <w:rsid w:val="43C04BA6"/>
    <w:rsid w:val="43D067FD"/>
    <w:rsid w:val="43D84E64"/>
    <w:rsid w:val="43D850A2"/>
    <w:rsid w:val="44094EE1"/>
    <w:rsid w:val="440D0CA6"/>
    <w:rsid w:val="441575DC"/>
    <w:rsid w:val="44297E25"/>
    <w:rsid w:val="442F394D"/>
    <w:rsid w:val="44917DC0"/>
    <w:rsid w:val="44954821"/>
    <w:rsid w:val="44C24B83"/>
    <w:rsid w:val="44D76498"/>
    <w:rsid w:val="44F43A11"/>
    <w:rsid w:val="44FD2FC0"/>
    <w:rsid w:val="451C7374"/>
    <w:rsid w:val="453F2BBA"/>
    <w:rsid w:val="454D7D6F"/>
    <w:rsid w:val="455E12D4"/>
    <w:rsid w:val="455F6279"/>
    <w:rsid w:val="45902B05"/>
    <w:rsid w:val="45943BA3"/>
    <w:rsid w:val="459B5694"/>
    <w:rsid w:val="45B87381"/>
    <w:rsid w:val="45C907AA"/>
    <w:rsid w:val="45D04C87"/>
    <w:rsid w:val="45E4171A"/>
    <w:rsid w:val="46021663"/>
    <w:rsid w:val="46123F12"/>
    <w:rsid w:val="46247F7C"/>
    <w:rsid w:val="4641797C"/>
    <w:rsid w:val="46444540"/>
    <w:rsid w:val="46592D58"/>
    <w:rsid w:val="467E4E2C"/>
    <w:rsid w:val="468A276F"/>
    <w:rsid w:val="468E21F5"/>
    <w:rsid w:val="46BB5D07"/>
    <w:rsid w:val="46E47E50"/>
    <w:rsid w:val="46F52F8A"/>
    <w:rsid w:val="470C5568"/>
    <w:rsid w:val="47373BC4"/>
    <w:rsid w:val="475D3915"/>
    <w:rsid w:val="47835EBA"/>
    <w:rsid w:val="479A3728"/>
    <w:rsid w:val="47A329B6"/>
    <w:rsid w:val="47E13BB9"/>
    <w:rsid w:val="47FA0A2C"/>
    <w:rsid w:val="48317754"/>
    <w:rsid w:val="485C1341"/>
    <w:rsid w:val="486E64FC"/>
    <w:rsid w:val="488E4A44"/>
    <w:rsid w:val="48993E31"/>
    <w:rsid w:val="48BA2F07"/>
    <w:rsid w:val="48D6796F"/>
    <w:rsid w:val="48DC0201"/>
    <w:rsid w:val="48F24B67"/>
    <w:rsid w:val="49086533"/>
    <w:rsid w:val="495D5ED4"/>
    <w:rsid w:val="498A6A51"/>
    <w:rsid w:val="49C27ABA"/>
    <w:rsid w:val="49D51889"/>
    <w:rsid w:val="49DD29D6"/>
    <w:rsid w:val="4A0E034A"/>
    <w:rsid w:val="4A2317EA"/>
    <w:rsid w:val="4A493CC1"/>
    <w:rsid w:val="4A643FFF"/>
    <w:rsid w:val="4A8638F0"/>
    <w:rsid w:val="4A901980"/>
    <w:rsid w:val="4AA24096"/>
    <w:rsid w:val="4AAD378A"/>
    <w:rsid w:val="4AC2736B"/>
    <w:rsid w:val="4ADB2204"/>
    <w:rsid w:val="4AE655D1"/>
    <w:rsid w:val="4B151815"/>
    <w:rsid w:val="4B1D0AB8"/>
    <w:rsid w:val="4B246EEF"/>
    <w:rsid w:val="4B437F5D"/>
    <w:rsid w:val="4B4D579D"/>
    <w:rsid w:val="4B5858A9"/>
    <w:rsid w:val="4B5F269A"/>
    <w:rsid w:val="4B6647EE"/>
    <w:rsid w:val="4B664AFE"/>
    <w:rsid w:val="4B8872EC"/>
    <w:rsid w:val="4BE1039E"/>
    <w:rsid w:val="4C150C41"/>
    <w:rsid w:val="4C232C33"/>
    <w:rsid w:val="4C6A0F02"/>
    <w:rsid w:val="4C811A51"/>
    <w:rsid w:val="4C8E6B5E"/>
    <w:rsid w:val="4C982150"/>
    <w:rsid w:val="4CBB44EF"/>
    <w:rsid w:val="4CDB5302"/>
    <w:rsid w:val="4CE71A1D"/>
    <w:rsid w:val="4CEF795D"/>
    <w:rsid w:val="4CF35AF5"/>
    <w:rsid w:val="4D023CB2"/>
    <w:rsid w:val="4D290E2E"/>
    <w:rsid w:val="4D6B5352"/>
    <w:rsid w:val="4D6D10C1"/>
    <w:rsid w:val="4D8A6022"/>
    <w:rsid w:val="4DA86665"/>
    <w:rsid w:val="4DDF4B05"/>
    <w:rsid w:val="4DEF0FCD"/>
    <w:rsid w:val="4DF65A00"/>
    <w:rsid w:val="4DFB03C9"/>
    <w:rsid w:val="4E2D7F7A"/>
    <w:rsid w:val="4E3D6B03"/>
    <w:rsid w:val="4E553D76"/>
    <w:rsid w:val="4E624F4C"/>
    <w:rsid w:val="4E781A38"/>
    <w:rsid w:val="4E784A4B"/>
    <w:rsid w:val="4E7D67B5"/>
    <w:rsid w:val="4E9A2B12"/>
    <w:rsid w:val="4EC3612C"/>
    <w:rsid w:val="4ED06512"/>
    <w:rsid w:val="4EDA6A5C"/>
    <w:rsid w:val="4EE9348F"/>
    <w:rsid w:val="4F0831BB"/>
    <w:rsid w:val="4F0D26DD"/>
    <w:rsid w:val="4F1153DA"/>
    <w:rsid w:val="4F76283B"/>
    <w:rsid w:val="4F810FEB"/>
    <w:rsid w:val="4FA620B1"/>
    <w:rsid w:val="4FBB2334"/>
    <w:rsid w:val="4FE40303"/>
    <w:rsid w:val="4FE50103"/>
    <w:rsid w:val="4FF53CEA"/>
    <w:rsid w:val="500E4211"/>
    <w:rsid w:val="501935FC"/>
    <w:rsid w:val="5021721E"/>
    <w:rsid w:val="502E73FF"/>
    <w:rsid w:val="50653322"/>
    <w:rsid w:val="508D4012"/>
    <w:rsid w:val="50C610EF"/>
    <w:rsid w:val="50C66C0A"/>
    <w:rsid w:val="50E03DD3"/>
    <w:rsid w:val="50F87FD8"/>
    <w:rsid w:val="510D1A43"/>
    <w:rsid w:val="51333E60"/>
    <w:rsid w:val="513525B2"/>
    <w:rsid w:val="513C4977"/>
    <w:rsid w:val="516C55EA"/>
    <w:rsid w:val="517937EE"/>
    <w:rsid w:val="519F4057"/>
    <w:rsid w:val="51A62757"/>
    <w:rsid w:val="51DA367E"/>
    <w:rsid w:val="51F21B40"/>
    <w:rsid w:val="51F90930"/>
    <w:rsid w:val="51FF5859"/>
    <w:rsid w:val="52405C80"/>
    <w:rsid w:val="52502384"/>
    <w:rsid w:val="52522267"/>
    <w:rsid w:val="52684AA6"/>
    <w:rsid w:val="52705228"/>
    <w:rsid w:val="52822888"/>
    <w:rsid w:val="529C0891"/>
    <w:rsid w:val="52B26964"/>
    <w:rsid w:val="52CC7605"/>
    <w:rsid w:val="52FB7E83"/>
    <w:rsid w:val="530645BA"/>
    <w:rsid w:val="531747E0"/>
    <w:rsid w:val="5320638A"/>
    <w:rsid w:val="53240D0B"/>
    <w:rsid w:val="53283E79"/>
    <w:rsid w:val="53592D5B"/>
    <w:rsid w:val="535F4955"/>
    <w:rsid w:val="53A041EB"/>
    <w:rsid w:val="53C9026D"/>
    <w:rsid w:val="53CA5CD7"/>
    <w:rsid w:val="53D31AA5"/>
    <w:rsid w:val="53EF7DAE"/>
    <w:rsid w:val="54054916"/>
    <w:rsid w:val="542B57E0"/>
    <w:rsid w:val="544153D0"/>
    <w:rsid w:val="545A029D"/>
    <w:rsid w:val="5462775B"/>
    <w:rsid w:val="549E2BC7"/>
    <w:rsid w:val="54A1682E"/>
    <w:rsid w:val="54A3248E"/>
    <w:rsid w:val="54A8756D"/>
    <w:rsid w:val="54BB6ED3"/>
    <w:rsid w:val="54CF4D00"/>
    <w:rsid w:val="54D24FDD"/>
    <w:rsid w:val="54F06EED"/>
    <w:rsid w:val="54F4426A"/>
    <w:rsid w:val="55254B88"/>
    <w:rsid w:val="55292F13"/>
    <w:rsid w:val="552A07B2"/>
    <w:rsid w:val="55301CD6"/>
    <w:rsid w:val="55382D55"/>
    <w:rsid w:val="556D3567"/>
    <w:rsid w:val="55BD60C0"/>
    <w:rsid w:val="55BE515D"/>
    <w:rsid w:val="55C975B6"/>
    <w:rsid w:val="55E551F2"/>
    <w:rsid w:val="55F44819"/>
    <w:rsid w:val="56466BEC"/>
    <w:rsid w:val="56472214"/>
    <w:rsid w:val="564F7C22"/>
    <w:rsid w:val="56564E30"/>
    <w:rsid w:val="567A5703"/>
    <w:rsid w:val="56986A03"/>
    <w:rsid w:val="56D56D25"/>
    <w:rsid w:val="57215087"/>
    <w:rsid w:val="572C0AD3"/>
    <w:rsid w:val="573B4F58"/>
    <w:rsid w:val="57402F6C"/>
    <w:rsid w:val="574F460C"/>
    <w:rsid w:val="575002CC"/>
    <w:rsid w:val="576B3DA3"/>
    <w:rsid w:val="5773088C"/>
    <w:rsid w:val="577610CC"/>
    <w:rsid w:val="57A72CAB"/>
    <w:rsid w:val="57C8431B"/>
    <w:rsid w:val="582C1D3F"/>
    <w:rsid w:val="58377CE6"/>
    <w:rsid w:val="589755E2"/>
    <w:rsid w:val="58A8678C"/>
    <w:rsid w:val="58C129F9"/>
    <w:rsid w:val="58CC2BF2"/>
    <w:rsid w:val="58E21EC6"/>
    <w:rsid w:val="58E80E8E"/>
    <w:rsid w:val="58EC2109"/>
    <w:rsid w:val="591F227F"/>
    <w:rsid w:val="597B7166"/>
    <w:rsid w:val="597F4FA7"/>
    <w:rsid w:val="59870D42"/>
    <w:rsid w:val="599263A6"/>
    <w:rsid w:val="59AA157D"/>
    <w:rsid w:val="59B47204"/>
    <w:rsid w:val="59CC3416"/>
    <w:rsid w:val="59F30DDE"/>
    <w:rsid w:val="5A16099D"/>
    <w:rsid w:val="5A1B2000"/>
    <w:rsid w:val="5A2F3CDD"/>
    <w:rsid w:val="5A626DD7"/>
    <w:rsid w:val="5A6F0B9C"/>
    <w:rsid w:val="5A7723D4"/>
    <w:rsid w:val="5AB22E43"/>
    <w:rsid w:val="5AC222E7"/>
    <w:rsid w:val="5AD17B2C"/>
    <w:rsid w:val="5AE47425"/>
    <w:rsid w:val="5B15551E"/>
    <w:rsid w:val="5B3D1EBE"/>
    <w:rsid w:val="5B423A43"/>
    <w:rsid w:val="5B45053C"/>
    <w:rsid w:val="5B4B4FAB"/>
    <w:rsid w:val="5BB12E82"/>
    <w:rsid w:val="5BD631C6"/>
    <w:rsid w:val="5BDF4DF4"/>
    <w:rsid w:val="5BFF78FB"/>
    <w:rsid w:val="5C3F0FFD"/>
    <w:rsid w:val="5C973329"/>
    <w:rsid w:val="5C9C5315"/>
    <w:rsid w:val="5CAC4E39"/>
    <w:rsid w:val="5CC23AC3"/>
    <w:rsid w:val="5CD76482"/>
    <w:rsid w:val="5D1922AA"/>
    <w:rsid w:val="5D226948"/>
    <w:rsid w:val="5D37154A"/>
    <w:rsid w:val="5D426E79"/>
    <w:rsid w:val="5D456CAD"/>
    <w:rsid w:val="5D585955"/>
    <w:rsid w:val="5D7B386B"/>
    <w:rsid w:val="5DA3352A"/>
    <w:rsid w:val="5DEF4147"/>
    <w:rsid w:val="5E003140"/>
    <w:rsid w:val="5E23728A"/>
    <w:rsid w:val="5E2E465E"/>
    <w:rsid w:val="5E4111B5"/>
    <w:rsid w:val="5E5E0A98"/>
    <w:rsid w:val="5E721A86"/>
    <w:rsid w:val="5E841422"/>
    <w:rsid w:val="5EAB6BFF"/>
    <w:rsid w:val="5EB60D25"/>
    <w:rsid w:val="5ECF5B45"/>
    <w:rsid w:val="5EED3A04"/>
    <w:rsid w:val="5EF17964"/>
    <w:rsid w:val="5EF50BB5"/>
    <w:rsid w:val="5F132578"/>
    <w:rsid w:val="5F356A2D"/>
    <w:rsid w:val="5F3E261A"/>
    <w:rsid w:val="5F5E0A82"/>
    <w:rsid w:val="5F692875"/>
    <w:rsid w:val="5F8353A6"/>
    <w:rsid w:val="5FB15797"/>
    <w:rsid w:val="5FC7125C"/>
    <w:rsid w:val="5FDA2A32"/>
    <w:rsid w:val="60025B8C"/>
    <w:rsid w:val="60204D58"/>
    <w:rsid w:val="603628EC"/>
    <w:rsid w:val="60621BD1"/>
    <w:rsid w:val="60911D2D"/>
    <w:rsid w:val="609E6695"/>
    <w:rsid w:val="60D90D0F"/>
    <w:rsid w:val="60E952D1"/>
    <w:rsid w:val="61064B89"/>
    <w:rsid w:val="61120BC8"/>
    <w:rsid w:val="612C618D"/>
    <w:rsid w:val="614C13FB"/>
    <w:rsid w:val="616F50B6"/>
    <w:rsid w:val="61950051"/>
    <w:rsid w:val="61A139AD"/>
    <w:rsid w:val="61AA76E4"/>
    <w:rsid w:val="61EB2CEB"/>
    <w:rsid w:val="61FF668E"/>
    <w:rsid w:val="622C5A66"/>
    <w:rsid w:val="623E1B37"/>
    <w:rsid w:val="624624BE"/>
    <w:rsid w:val="625B3DCD"/>
    <w:rsid w:val="629C4BBA"/>
    <w:rsid w:val="62B537E0"/>
    <w:rsid w:val="62E6539D"/>
    <w:rsid w:val="62F377C5"/>
    <w:rsid w:val="62FA3A84"/>
    <w:rsid w:val="62FC37B2"/>
    <w:rsid w:val="630C038D"/>
    <w:rsid w:val="631D7B7D"/>
    <w:rsid w:val="631F2702"/>
    <w:rsid w:val="631F6D97"/>
    <w:rsid w:val="63643F3C"/>
    <w:rsid w:val="63693F10"/>
    <w:rsid w:val="63700C07"/>
    <w:rsid w:val="63776A5E"/>
    <w:rsid w:val="63AE230A"/>
    <w:rsid w:val="63D6483B"/>
    <w:rsid w:val="63ED5A94"/>
    <w:rsid w:val="64121CF6"/>
    <w:rsid w:val="642819EF"/>
    <w:rsid w:val="642A350E"/>
    <w:rsid w:val="642E29F6"/>
    <w:rsid w:val="64356B06"/>
    <w:rsid w:val="64406D24"/>
    <w:rsid w:val="64480377"/>
    <w:rsid w:val="644B237E"/>
    <w:rsid w:val="64564067"/>
    <w:rsid w:val="64585ECE"/>
    <w:rsid w:val="646E39F5"/>
    <w:rsid w:val="64835998"/>
    <w:rsid w:val="649B00DA"/>
    <w:rsid w:val="64C41DF9"/>
    <w:rsid w:val="64FE5552"/>
    <w:rsid w:val="65181CEF"/>
    <w:rsid w:val="651C5E2F"/>
    <w:rsid w:val="65420F0C"/>
    <w:rsid w:val="65436746"/>
    <w:rsid w:val="654D7BA5"/>
    <w:rsid w:val="6592296F"/>
    <w:rsid w:val="65A97C7B"/>
    <w:rsid w:val="65AA1BF3"/>
    <w:rsid w:val="65C415C7"/>
    <w:rsid w:val="65C41B33"/>
    <w:rsid w:val="65E9537E"/>
    <w:rsid w:val="65F2152B"/>
    <w:rsid w:val="66822D08"/>
    <w:rsid w:val="66972B99"/>
    <w:rsid w:val="66B83D11"/>
    <w:rsid w:val="66C52788"/>
    <w:rsid w:val="66CA28D7"/>
    <w:rsid w:val="66E162AB"/>
    <w:rsid w:val="67256013"/>
    <w:rsid w:val="673C7B87"/>
    <w:rsid w:val="67427E55"/>
    <w:rsid w:val="675F2346"/>
    <w:rsid w:val="677B0800"/>
    <w:rsid w:val="678B17D2"/>
    <w:rsid w:val="67B16699"/>
    <w:rsid w:val="680D3580"/>
    <w:rsid w:val="684F30D1"/>
    <w:rsid w:val="68524F98"/>
    <w:rsid w:val="68633E5C"/>
    <w:rsid w:val="68663A7A"/>
    <w:rsid w:val="6870401A"/>
    <w:rsid w:val="68A41145"/>
    <w:rsid w:val="68CB35AB"/>
    <w:rsid w:val="691F42FD"/>
    <w:rsid w:val="69385E32"/>
    <w:rsid w:val="69440B75"/>
    <w:rsid w:val="69652142"/>
    <w:rsid w:val="697158C9"/>
    <w:rsid w:val="69897A93"/>
    <w:rsid w:val="69960E5A"/>
    <w:rsid w:val="69AD2178"/>
    <w:rsid w:val="69AD516A"/>
    <w:rsid w:val="69D3467F"/>
    <w:rsid w:val="69DF6A65"/>
    <w:rsid w:val="6A04759C"/>
    <w:rsid w:val="6A39564E"/>
    <w:rsid w:val="6A3D12D9"/>
    <w:rsid w:val="6A682034"/>
    <w:rsid w:val="6A77374E"/>
    <w:rsid w:val="6A7D22CD"/>
    <w:rsid w:val="6A830552"/>
    <w:rsid w:val="6A9C50B7"/>
    <w:rsid w:val="6AA50ECE"/>
    <w:rsid w:val="6AB2313D"/>
    <w:rsid w:val="6AC23866"/>
    <w:rsid w:val="6AC524F9"/>
    <w:rsid w:val="6AF476EB"/>
    <w:rsid w:val="6B4508C2"/>
    <w:rsid w:val="6B493660"/>
    <w:rsid w:val="6B4B62F9"/>
    <w:rsid w:val="6B577968"/>
    <w:rsid w:val="6B855382"/>
    <w:rsid w:val="6B8A626A"/>
    <w:rsid w:val="6BA460CD"/>
    <w:rsid w:val="6BB56B5C"/>
    <w:rsid w:val="6BDA39D3"/>
    <w:rsid w:val="6BEE41C9"/>
    <w:rsid w:val="6BF8304E"/>
    <w:rsid w:val="6BFC14CD"/>
    <w:rsid w:val="6C1644C7"/>
    <w:rsid w:val="6C1F09BB"/>
    <w:rsid w:val="6C405205"/>
    <w:rsid w:val="6C4F6FA4"/>
    <w:rsid w:val="6C526F03"/>
    <w:rsid w:val="6C9C202A"/>
    <w:rsid w:val="6CDD459D"/>
    <w:rsid w:val="6CE50B82"/>
    <w:rsid w:val="6CEC4DFE"/>
    <w:rsid w:val="6D1309D0"/>
    <w:rsid w:val="6D616492"/>
    <w:rsid w:val="6D6E0B9F"/>
    <w:rsid w:val="6D72001A"/>
    <w:rsid w:val="6D9F036F"/>
    <w:rsid w:val="6DA90359"/>
    <w:rsid w:val="6DAC167C"/>
    <w:rsid w:val="6DBB705A"/>
    <w:rsid w:val="6DC27F0E"/>
    <w:rsid w:val="6DE272FA"/>
    <w:rsid w:val="6E1D42E4"/>
    <w:rsid w:val="6E39203C"/>
    <w:rsid w:val="6E5E79D4"/>
    <w:rsid w:val="6E673823"/>
    <w:rsid w:val="6E783E59"/>
    <w:rsid w:val="6EA60351"/>
    <w:rsid w:val="6EBD4EC8"/>
    <w:rsid w:val="6EE80D6F"/>
    <w:rsid w:val="6F08231E"/>
    <w:rsid w:val="6F120007"/>
    <w:rsid w:val="6F433964"/>
    <w:rsid w:val="6F6A7A4C"/>
    <w:rsid w:val="6F757955"/>
    <w:rsid w:val="6F7F5B2C"/>
    <w:rsid w:val="6F843083"/>
    <w:rsid w:val="6FD532B1"/>
    <w:rsid w:val="6FDA4669"/>
    <w:rsid w:val="6FF06719"/>
    <w:rsid w:val="7012624E"/>
    <w:rsid w:val="7026614D"/>
    <w:rsid w:val="70374553"/>
    <w:rsid w:val="70AB2266"/>
    <w:rsid w:val="70AB7BDE"/>
    <w:rsid w:val="70B22E98"/>
    <w:rsid w:val="70D62090"/>
    <w:rsid w:val="70EB6DCA"/>
    <w:rsid w:val="70FA5634"/>
    <w:rsid w:val="70FF1ECC"/>
    <w:rsid w:val="710203FF"/>
    <w:rsid w:val="7104393A"/>
    <w:rsid w:val="710C37DE"/>
    <w:rsid w:val="71137206"/>
    <w:rsid w:val="71204475"/>
    <w:rsid w:val="71327AFD"/>
    <w:rsid w:val="715B467D"/>
    <w:rsid w:val="718C3AB8"/>
    <w:rsid w:val="718E478E"/>
    <w:rsid w:val="71F242D6"/>
    <w:rsid w:val="7225777C"/>
    <w:rsid w:val="72383B5C"/>
    <w:rsid w:val="72496596"/>
    <w:rsid w:val="72542A99"/>
    <w:rsid w:val="725974A3"/>
    <w:rsid w:val="72797A70"/>
    <w:rsid w:val="72907DDF"/>
    <w:rsid w:val="729B4177"/>
    <w:rsid w:val="72A00F47"/>
    <w:rsid w:val="72B96CC2"/>
    <w:rsid w:val="734F164E"/>
    <w:rsid w:val="736329D8"/>
    <w:rsid w:val="7370250B"/>
    <w:rsid w:val="73852CD5"/>
    <w:rsid w:val="73B76178"/>
    <w:rsid w:val="73C07549"/>
    <w:rsid w:val="73E74456"/>
    <w:rsid w:val="7406528D"/>
    <w:rsid w:val="742D70C0"/>
    <w:rsid w:val="74303128"/>
    <w:rsid w:val="74840F1A"/>
    <w:rsid w:val="74842BA1"/>
    <w:rsid w:val="748D62FA"/>
    <w:rsid w:val="74990C1E"/>
    <w:rsid w:val="749F6ABD"/>
    <w:rsid w:val="74B71B45"/>
    <w:rsid w:val="74C23A26"/>
    <w:rsid w:val="74C75181"/>
    <w:rsid w:val="74D228A7"/>
    <w:rsid w:val="74DA0D6F"/>
    <w:rsid w:val="74E37C6C"/>
    <w:rsid w:val="74F81BC0"/>
    <w:rsid w:val="75273C34"/>
    <w:rsid w:val="753B7DFA"/>
    <w:rsid w:val="755A52F2"/>
    <w:rsid w:val="75684BD6"/>
    <w:rsid w:val="758F4135"/>
    <w:rsid w:val="759A08A4"/>
    <w:rsid w:val="75B82E11"/>
    <w:rsid w:val="75BA2FCF"/>
    <w:rsid w:val="75BB04B3"/>
    <w:rsid w:val="762B10AC"/>
    <w:rsid w:val="763811CC"/>
    <w:rsid w:val="76670C9E"/>
    <w:rsid w:val="76827BDC"/>
    <w:rsid w:val="76B66D7A"/>
    <w:rsid w:val="76C50C7B"/>
    <w:rsid w:val="76DC5E68"/>
    <w:rsid w:val="76EB71F1"/>
    <w:rsid w:val="76F16125"/>
    <w:rsid w:val="77120279"/>
    <w:rsid w:val="77292FE2"/>
    <w:rsid w:val="773448FD"/>
    <w:rsid w:val="774E1292"/>
    <w:rsid w:val="779402F9"/>
    <w:rsid w:val="779660E3"/>
    <w:rsid w:val="77C8412F"/>
    <w:rsid w:val="77DC7C07"/>
    <w:rsid w:val="781D1A29"/>
    <w:rsid w:val="782F12E5"/>
    <w:rsid w:val="7834117B"/>
    <w:rsid w:val="78537906"/>
    <w:rsid w:val="78562FDC"/>
    <w:rsid w:val="78586123"/>
    <w:rsid w:val="785B195C"/>
    <w:rsid w:val="785E05A4"/>
    <w:rsid w:val="7868503E"/>
    <w:rsid w:val="787636EA"/>
    <w:rsid w:val="7881557E"/>
    <w:rsid w:val="788C5AD5"/>
    <w:rsid w:val="78B94AB9"/>
    <w:rsid w:val="78C1092F"/>
    <w:rsid w:val="78E1296F"/>
    <w:rsid w:val="78E67C20"/>
    <w:rsid w:val="78F52695"/>
    <w:rsid w:val="78FC0FD3"/>
    <w:rsid w:val="78FD0DAD"/>
    <w:rsid w:val="793A3BFD"/>
    <w:rsid w:val="79464CDB"/>
    <w:rsid w:val="7955681C"/>
    <w:rsid w:val="79865715"/>
    <w:rsid w:val="799C1707"/>
    <w:rsid w:val="79A7320C"/>
    <w:rsid w:val="79AE1B2A"/>
    <w:rsid w:val="79B25A0E"/>
    <w:rsid w:val="79DC1445"/>
    <w:rsid w:val="79E06768"/>
    <w:rsid w:val="7A2C0A83"/>
    <w:rsid w:val="7A62693B"/>
    <w:rsid w:val="7A742FC0"/>
    <w:rsid w:val="7AA278DC"/>
    <w:rsid w:val="7AAC617E"/>
    <w:rsid w:val="7AAE15FD"/>
    <w:rsid w:val="7ABA368B"/>
    <w:rsid w:val="7AC432A1"/>
    <w:rsid w:val="7ADD262E"/>
    <w:rsid w:val="7B2F20B8"/>
    <w:rsid w:val="7B2F3169"/>
    <w:rsid w:val="7B3B139E"/>
    <w:rsid w:val="7B5A5FC6"/>
    <w:rsid w:val="7B732FDE"/>
    <w:rsid w:val="7B9D4F55"/>
    <w:rsid w:val="7BA04D03"/>
    <w:rsid w:val="7BAE347C"/>
    <w:rsid w:val="7BB11F8C"/>
    <w:rsid w:val="7BB63BE2"/>
    <w:rsid w:val="7BC86301"/>
    <w:rsid w:val="7BE02D06"/>
    <w:rsid w:val="7BE84208"/>
    <w:rsid w:val="7C0D0235"/>
    <w:rsid w:val="7C1F4909"/>
    <w:rsid w:val="7C2D0900"/>
    <w:rsid w:val="7C4212BE"/>
    <w:rsid w:val="7C5F3C72"/>
    <w:rsid w:val="7C604A9D"/>
    <w:rsid w:val="7C893535"/>
    <w:rsid w:val="7C8D629B"/>
    <w:rsid w:val="7C941949"/>
    <w:rsid w:val="7CB23EF3"/>
    <w:rsid w:val="7CBF7566"/>
    <w:rsid w:val="7CDE63F8"/>
    <w:rsid w:val="7CE06FD3"/>
    <w:rsid w:val="7CEF147D"/>
    <w:rsid w:val="7D1038F1"/>
    <w:rsid w:val="7D3128C8"/>
    <w:rsid w:val="7D771664"/>
    <w:rsid w:val="7D890F6B"/>
    <w:rsid w:val="7D960AFD"/>
    <w:rsid w:val="7DC6250C"/>
    <w:rsid w:val="7DE71E07"/>
    <w:rsid w:val="7E247631"/>
    <w:rsid w:val="7E3D5210"/>
    <w:rsid w:val="7E3E33F4"/>
    <w:rsid w:val="7E66531A"/>
    <w:rsid w:val="7E7376FD"/>
    <w:rsid w:val="7E784AFF"/>
    <w:rsid w:val="7EC72DD9"/>
    <w:rsid w:val="7F547970"/>
    <w:rsid w:val="7F775707"/>
    <w:rsid w:val="7F8B290E"/>
    <w:rsid w:val="7FB02DA6"/>
    <w:rsid w:val="7FD02953"/>
    <w:rsid w:val="7FEC18E7"/>
    <w:rsid w:val="7FED559C"/>
    <w:rsid w:val="7FFE161B"/>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0" w:semiHidden="0" w:name="toc 1"/>
    <w:lsdException w:uiPriority="0" w:semiHidden="0" w:name="toc 2"/>
    <w:lsdException w:uiPriority="39" w:semiHidden="0" w:name="toc 3"/>
    <w:lsdException w:uiPriority="0" w:semiHidden="0" w:name="toc 4"/>
    <w:lsdException w:uiPriority="39" w:semiHidden="0" w:name="toc 5"/>
    <w:lsdException w:uiPriority="39" w:semiHidden="0" w:name="toc 6"/>
    <w:lsdException w:uiPriority="0" w:semiHidden="0" w:name="toc 7"/>
    <w:lsdException w:uiPriority="39" w:semiHidden="0" w:name="toc 8"/>
    <w:lsdException w:uiPriority="39" w:semiHidden="0" w:name="toc 9"/>
    <w:lsdException w:unhideWhenUsed="0" w:uiPriority="0" w:semiHidden="0"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nhideWhenUsed="0" w:uiPriority="0" w:semiHidden="0" w:name="page number"/>
    <w:lsdException w:uiPriority="99" w:name="endnote reference"/>
    <w:lsdException w:unhideWhenUsed="0" w:uiPriority="0"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nhideWhenUsed="0" w:uiPriority="0"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0"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semiHidden="0" w:name="Date"/>
    <w:lsdException w:qFormat="1" w:uiPriority="0" w:semiHidden="0" w:name="Body Text First Indent"/>
    <w:lsdException w:unhideWhenUsed="0" w:uiPriority="0" w:semiHidden="0" w:name="Body Text First Indent 2"/>
    <w:lsdException w:uiPriority="99" w:name="Note Heading"/>
    <w:lsdException w:uiPriority="99"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uiPriority="99" w:semiHidden="0" w:name="Document Map"/>
    <w:lsdException w:unhideWhenUsed="0" w:uiPriority="99"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1"/>
      <w:lang w:val="en-US" w:eastAsia="zh-CN" w:bidi="ar-SA"/>
    </w:rPr>
  </w:style>
  <w:style w:type="paragraph" w:styleId="2">
    <w:name w:val="heading 1"/>
    <w:basedOn w:val="1"/>
    <w:next w:val="1"/>
    <w:link w:val="53"/>
    <w:qFormat/>
    <w:uiPriority w:val="0"/>
    <w:pPr>
      <w:keepNext/>
      <w:keepLines/>
      <w:numPr>
        <w:ilvl w:val="0"/>
        <w:numId w:val="1"/>
      </w:numPr>
      <w:adjustRightInd w:val="0"/>
      <w:snapToGrid w:val="0"/>
      <w:spacing w:line="360" w:lineRule="auto"/>
      <w:outlineLvl w:val="0"/>
    </w:pPr>
    <w:rPr>
      <w:rFonts w:ascii="Times New Roman" w:hAnsi="Times New Roman" w:eastAsia="黑体"/>
      <w:bCs/>
      <w:kern w:val="44"/>
      <w:sz w:val="24"/>
      <w:szCs w:val="44"/>
    </w:rPr>
  </w:style>
  <w:style w:type="paragraph" w:styleId="3">
    <w:name w:val="heading 2"/>
    <w:basedOn w:val="1"/>
    <w:next w:val="1"/>
    <w:link w:val="54"/>
    <w:qFormat/>
    <w:uiPriority w:val="0"/>
    <w:pPr>
      <w:keepNext/>
      <w:keepLines/>
      <w:numPr>
        <w:ilvl w:val="1"/>
        <w:numId w:val="1"/>
      </w:numPr>
      <w:adjustRightInd w:val="0"/>
      <w:snapToGrid w:val="0"/>
      <w:spacing w:line="360" w:lineRule="auto"/>
      <w:outlineLvl w:val="1"/>
    </w:pPr>
    <w:rPr>
      <w:rFonts w:ascii="Times New Roman" w:hAnsi="Times New Roman" w:eastAsia="黑体"/>
      <w:bCs/>
      <w:sz w:val="24"/>
      <w:szCs w:val="32"/>
    </w:rPr>
  </w:style>
  <w:style w:type="paragraph" w:styleId="4">
    <w:name w:val="heading 3"/>
    <w:basedOn w:val="1"/>
    <w:next w:val="1"/>
    <w:link w:val="55"/>
    <w:qFormat/>
    <w:uiPriority w:val="0"/>
    <w:pPr>
      <w:keepNext/>
      <w:keepLines/>
      <w:numPr>
        <w:ilvl w:val="2"/>
        <w:numId w:val="1"/>
      </w:numPr>
      <w:adjustRightInd w:val="0"/>
      <w:snapToGrid w:val="0"/>
      <w:spacing w:line="360" w:lineRule="auto"/>
      <w:outlineLvl w:val="2"/>
    </w:pPr>
    <w:rPr>
      <w:rFonts w:ascii="Times New Roman" w:hAnsi="Times New Roman"/>
      <w:bCs/>
      <w:sz w:val="24"/>
      <w:szCs w:val="32"/>
    </w:rPr>
  </w:style>
  <w:style w:type="paragraph" w:styleId="5">
    <w:name w:val="heading 4"/>
    <w:basedOn w:val="1"/>
    <w:next w:val="6"/>
    <w:link w:val="56"/>
    <w:qFormat/>
    <w:uiPriority w:val="9"/>
    <w:pPr>
      <w:keepNext/>
      <w:keepLines/>
      <w:numPr>
        <w:ilvl w:val="3"/>
        <w:numId w:val="1"/>
      </w:numPr>
      <w:adjustRightInd w:val="0"/>
      <w:snapToGrid w:val="0"/>
      <w:spacing w:line="360" w:lineRule="auto"/>
      <w:outlineLvl w:val="3"/>
    </w:pPr>
    <w:rPr>
      <w:rFonts w:ascii="Times New Roman" w:hAnsi="Times New Roman"/>
      <w:bCs/>
      <w:sz w:val="24"/>
      <w:szCs w:val="28"/>
    </w:rPr>
  </w:style>
  <w:style w:type="paragraph" w:styleId="9">
    <w:name w:val="heading 5"/>
    <w:basedOn w:val="1"/>
    <w:next w:val="6"/>
    <w:link w:val="60"/>
    <w:qFormat/>
    <w:uiPriority w:val="9"/>
    <w:pPr>
      <w:keepNext/>
      <w:keepLines/>
      <w:numPr>
        <w:ilvl w:val="4"/>
        <w:numId w:val="1"/>
      </w:numPr>
      <w:spacing w:before="120" w:line="360" w:lineRule="auto"/>
      <w:outlineLvl w:val="4"/>
    </w:pPr>
    <w:rPr>
      <w:bCs/>
      <w:sz w:val="24"/>
      <w:szCs w:val="28"/>
    </w:rPr>
  </w:style>
  <w:style w:type="paragraph" w:styleId="10">
    <w:name w:val="heading 6"/>
    <w:basedOn w:val="1"/>
    <w:next w:val="1"/>
    <w:link w:val="61"/>
    <w:qFormat/>
    <w:uiPriority w:val="9"/>
    <w:pPr>
      <w:keepNext/>
      <w:keepLines/>
      <w:numPr>
        <w:ilvl w:val="5"/>
        <w:numId w:val="1"/>
      </w:numPr>
      <w:spacing w:before="240" w:after="64" w:line="320" w:lineRule="auto"/>
      <w:outlineLvl w:val="5"/>
    </w:pPr>
    <w:rPr>
      <w:rFonts w:ascii="Cambria" w:hAnsi="Cambria"/>
      <w:b/>
      <w:bCs/>
      <w:sz w:val="24"/>
      <w:szCs w:val="24"/>
    </w:rPr>
  </w:style>
  <w:style w:type="paragraph" w:styleId="11">
    <w:name w:val="heading 7"/>
    <w:basedOn w:val="1"/>
    <w:next w:val="1"/>
    <w:link w:val="62"/>
    <w:qFormat/>
    <w:uiPriority w:val="9"/>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63"/>
    <w:qFormat/>
    <w:uiPriority w:val="9"/>
    <w:pPr>
      <w:keepNext/>
      <w:keepLines/>
      <w:numPr>
        <w:ilvl w:val="7"/>
        <w:numId w:val="1"/>
      </w:numPr>
      <w:spacing w:before="240" w:after="64" w:line="320" w:lineRule="auto"/>
      <w:outlineLvl w:val="7"/>
    </w:pPr>
    <w:rPr>
      <w:rFonts w:ascii="Cambria" w:hAnsi="Cambria"/>
      <w:sz w:val="24"/>
      <w:szCs w:val="24"/>
    </w:rPr>
  </w:style>
  <w:style w:type="paragraph" w:styleId="13">
    <w:name w:val="heading 9"/>
    <w:basedOn w:val="1"/>
    <w:next w:val="1"/>
    <w:link w:val="64"/>
    <w:qFormat/>
    <w:uiPriority w:val="9"/>
    <w:pPr>
      <w:keepNext/>
      <w:keepLines/>
      <w:numPr>
        <w:ilvl w:val="8"/>
        <w:numId w:val="1"/>
      </w:numPr>
      <w:spacing w:before="240" w:after="64" w:line="320" w:lineRule="auto"/>
      <w:outlineLvl w:val="8"/>
    </w:pPr>
    <w:rPr>
      <w:rFonts w:ascii="Cambria" w:hAnsi="Cambria"/>
    </w:rPr>
  </w:style>
  <w:style w:type="character" w:default="1" w:styleId="46">
    <w:name w:val="Default Paragraph Font"/>
    <w:unhideWhenUsed/>
    <w:uiPriority w:val="1"/>
  </w:style>
  <w:style w:type="table" w:default="1" w:styleId="44">
    <w:name w:val="Normal Table"/>
    <w:unhideWhenUsed/>
    <w:uiPriority w:val="99"/>
    <w:tblPr>
      <w:tblStyle w:val="44"/>
      <w:tblCellMar>
        <w:top w:w="0" w:type="dxa"/>
        <w:left w:w="108" w:type="dxa"/>
        <w:bottom w:w="0" w:type="dxa"/>
        <w:right w:w="108" w:type="dxa"/>
      </w:tblCellMar>
    </w:tblPr>
  </w:style>
  <w:style w:type="paragraph" w:styleId="6">
    <w:name w:val="Body Text First Indent"/>
    <w:basedOn w:val="7"/>
    <w:next w:val="8"/>
    <w:link w:val="58"/>
    <w:unhideWhenUsed/>
    <w:qFormat/>
    <w:uiPriority w:val="0"/>
    <w:pPr>
      <w:adjustRightInd w:val="0"/>
      <w:snapToGrid w:val="0"/>
      <w:spacing w:line="360" w:lineRule="auto"/>
      <w:ind w:firstLine="200" w:firstLineChars="200"/>
    </w:pPr>
    <w:rPr>
      <w:rFonts w:ascii="Times New Roman" w:hAnsi="Times New Roman"/>
      <w:sz w:val="24"/>
    </w:rPr>
  </w:style>
  <w:style w:type="paragraph" w:styleId="7">
    <w:name w:val="Body Text"/>
    <w:basedOn w:val="1"/>
    <w:link w:val="57"/>
    <w:unhideWhenUsed/>
    <w:uiPriority w:val="0"/>
  </w:style>
  <w:style w:type="paragraph" w:styleId="8">
    <w:name w:val="Normal Indent"/>
    <w:basedOn w:val="1"/>
    <w:next w:val="1"/>
    <w:link w:val="59"/>
    <w:uiPriority w:val="0"/>
    <w:pPr>
      <w:tabs>
        <w:tab w:val="left" w:pos="1021"/>
      </w:tabs>
      <w:spacing w:line="300" w:lineRule="auto"/>
      <w:ind w:firstLine="420" w:firstLineChars="200"/>
    </w:pPr>
    <w:rPr>
      <w:rFonts w:ascii="Times New Roman" w:hAnsi="Times New Roman"/>
      <w:sz w:val="24"/>
      <w:szCs w:val="20"/>
      <w:lang/>
    </w:rPr>
  </w:style>
  <w:style w:type="paragraph" w:styleId="14">
    <w:name w:val="toc 7"/>
    <w:basedOn w:val="1"/>
    <w:next w:val="1"/>
    <w:unhideWhenUsed/>
    <w:uiPriority w:val="0"/>
    <w:pPr>
      <w:ind w:left="1260"/>
      <w:jc w:val="left"/>
    </w:pPr>
    <w:rPr>
      <w:sz w:val="18"/>
      <w:szCs w:val="18"/>
    </w:rPr>
  </w:style>
  <w:style w:type="paragraph" w:styleId="15">
    <w:name w:val="List Number 2"/>
    <w:basedOn w:val="1"/>
    <w:uiPriority w:val="0"/>
    <w:pPr>
      <w:numPr>
        <w:ilvl w:val="0"/>
        <w:numId w:val="2"/>
      </w:numPr>
      <w:contextualSpacing/>
    </w:pPr>
    <w:rPr>
      <w:rFonts w:ascii="Times New Roman" w:hAnsi="Times New Roman"/>
      <w:sz w:val="20"/>
      <w:szCs w:val="20"/>
    </w:rPr>
  </w:style>
  <w:style w:type="paragraph" w:styleId="16">
    <w:name w:val="List Number"/>
    <w:basedOn w:val="1"/>
    <w:unhideWhenUsed/>
    <w:uiPriority w:val="99"/>
    <w:pPr>
      <w:numPr>
        <w:ilvl w:val="0"/>
        <w:numId w:val="3"/>
      </w:numPr>
      <w:contextualSpacing/>
    </w:pPr>
  </w:style>
  <w:style w:type="paragraph" w:styleId="17">
    <w:name w:val="caption"/>
    <w:basedOn w:val="1"/>
    <w:next w:val="1"/>
    <w:link w:val="65"/>
    <w:qFormat/>
    <w:uiPriority w:val="0"/>
    <w:pPr>
      <w:adjustRightInd w:val="0"/>
      <w:snapToGrid w:val="0"/>
      <w:spacing w:line="360" w:lineRule="auto"/>
      <w:jc w:val="left"/>
    </w:pPr>
    <w:rPr>
      <w:rFonts w:ascii="Times New Roman" w:hAnsi="Times New Roman" w:eastAsia="黑体"/>
      <w:kern w:val="0"/>
      <w:sz w:val="24"/>
      <w:szCs w:val="20"/>
    </w:rPr>
  </w:style>
  <w:style w:type="paragraph" w:styleId="18">
    <w:name w:val="Document Map"/>
    <w:basedOn w:val="1"/>
    <w:link w:val="66"/>
    <w:unhideWhenUsed/>
    <w:uiPriority w:val="99"/>
    <w:rPr>
      <w:rFonts w:ascii="宋体"/>
      <w:sz w:val="18"/>
      <w:szCs w:val="18"/>
    </w:rPr>
  </w:style>
  <w:style w:type="paragraph" w:styleId="19">
    <w:name w:val="annotation text"/>
    <w:basedOn w:val="1"/>
    <w:link w:val="67"/>
    <w:unhideWhenUsed/>
    <w:uiPriority w:val="0"/>
    <w:pPr>
      <w:jc w:val="left"/>
    </w:pPr>
  </w:style>
  <w:style w:type="paragraph" w:styleId="20">
    <w:name w:val="Body Text Indent"/>
    <w:basedOn w:val="1"/>
    <w:next w:val="1"/>
    <w:link w:val="68"/>
    <w:unhideWhenUsed/>
    <w:uiPriority w:val="0"/>
    <w:pPr>
      <w:spacing w:after="120"/>
      <w:ind w:left="420" w:leftChars="200"/>
    </w:pPr>
  </w:style>
  <w:style w:type="paragraph" w:styleId="21">
    <w:name w:val="toc 5"/>
    <w:basedOn w:val="1"/>
    <w:next w:val="1"/>
    <w:unhideWhenUsed/>
    <w:uiPriority w:val="39"/>
    <w:pPr>
      <w:ind w:left="840"/>
      <w:jc w:val="left"/>
    </w:pPr>
    <w:rPr>
      <w:sz w:val="18"/>
      <w:szCs w:val="18"/>
    </w:rPr>
  </w:style>
  <w:style w:type="paragraph" w:styleId="22">
    <w:name w:val="toc 3"/>
    <w:basedOn w:val="1"/>
    <w:next w:val="1"/>
    <w:unhideWhenUsed/>
    <w:uiPriority w:val="39"/>
    <w:pPr>
      <w:ind w:left="420"/>
      <w:jc w:val="left"/>
    </w:pPr>
    <w:rPr>
      <w:i/>
      <w:iCs/>
      <w:sz w:val="20"/>
      <w:szCs w:val="20"/>
    </w:rPr>
  </w:style>
  <w:style w:type="paragraph" w:styleId="23">
    <w:name w:val="Plain Text"/>
    <w:basedOn w:val="1"/>
    <w:link w:val="69"/>
    <w:uiPriority w:val="99"/>
    <w:rPr>
      <w:rFonts w:ascii="宋体" w:hAnsi="Courier New"/>
      <w:szCs w:val="20"/>
    </w:rPr>
  </w:style>
  <w:style w:type="paragraph" w:styleId="24">
    <w:name w:val="toc 8"/>
    <w:basedOn w:val="1"/>
    <w:next w:val="1"/>
    <w:unhideWhenUsed/>
    <w:uiPriority w:val="39"/>
    <w:pPr>
      <w:ind w:left="1470"/>
      <w:jc w:val="left"/>
    </w:pPr>
    <w:rPr>
      <w:sz w:val="18"/>
      <w:szCs w:val="18"/>
    </w:rPr>
  </w:style>
  <w:style w:type="paragraph" w:styleId="25">
    <w:name w:val="Date"/>
    <w:basedOn w:val="1"/>
    <w:next w:val="1"/>
    <w:link w:val="70"/>
    <w:unhideWhenUsed/>
    <w:uiPriority w:val="99"/>
    <w:pPr>
      <w:ind w:left="100" w:leftChars="2500"/>
    </w:pPr>
  </w:style>
  <w:style w:type="paragraph" w:styleId="26">
    <w:name w:val="Body Text Indent 2"/>
    <w:basedOn w:val="1"/>
    <w:link w:val="71"/>
    <w:uiPriority w:val="0"/>
    <w:pPr>
      <w:spacing w:after="120" w:line="480" w:lineRule="auto"/>
      <w:ind w:left="420" w:leftChars="200"/>
    </w:pPr>
    <w:rPr>
      <w:rFonts w:ascii="Times New Roman" w:hAnsi="Times New Roman"/>
      <w:szCs w:val="24"/>
    </w:rPr>
  </w:style>
  <w:style w:type="paragraph" w:styleId="27">
    <w:name w:val="endnote text"/>
    <w:basedOn w:val="1"/>
    <w:link w:val="72"/>
    <w:semiHidden/>
    <w:uiPriority w:val="0"/>
    <w:pPr>
      <w:snapToGrid w:val="0"/>
      <w:jc w:val="left"/>
    </w:pPr>
    <w:rPr>
      <w:rFonts w:ascii="Times New Roman" w:hAnsi="Times New Roman"/>
      <w:sz w:val="28"/>
      <w:szCs w:val="20"/>
    </w:rPr>
  </w:style>
  <w:style w:type="paragraph" w:styleId="28">
    <w:name w:val="Balloon Text"/>
    <w:basedOn w:val="1"/>
    <w:link w:val="73"/>
    <w:unhideWhenUsed/>
    <w:uiPriority w:val="99"/>
    <w:rPr>
      <w:sz w:val="18"/>
      <w:szCs w:val="18"/>
    </w:rPr>
  </w:style>
  <w:style w:type="paragraph" w:styleId="29">
    <w:name w:val="footer"/>
    <w:basedOn w:val="1"/>
    <w:link w:val="74"/>
    <w:unhideWhenUsed/>
    <w:uiPriority w:val="99"/>
    <w:pPr>
      <w:tabs>
        <w:tab w:val="center" w:pos="4153"/>
        <w:tab w:val="right" w:pos="8306"/>
      </w:tabs>
      <w:snapToGrid w:val="0"/>
      <w:jc w:val="left"/>
    </w:pPr>
    <w:rPr>
      <w:sz w:val="18"/>
      <w:szCs w:val="18"/>
    </w:rPr>
  </w:style>
  <w:style w:type="paragraph" w:styleId="30">
    <w:name w:val="header"/>
    <w:basedOn w:val="1"/>
    <w:link w:val="75"/>
    <w:unhideWhenUsed/>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unhideWhenUsed/>
    <w:uiPriority w:val="0"/>
    <w:pPr>
      <w:spacing w:before="120" w:after="120"/>
      <w:jc w:val="left"/>
    </w:pPr>
    <w:rPr>
      <w:b/>
      <w:bCs/>
      <w:caps/>
      <w:sz w:val="20"/>
      <w:szCs w:val="20"/>
    </w:rPr>
  </w:style>
  <w:style w:type="paragraph" w:styleId="32">
    <w:name w:val="toc 4"/>
    <w:basedOn w:val="1"/>
    <w:next w:val="1"/>
    <w:unhideWhenUsed/>
    <w:uiPriority w:val="0"/>
    <w:pPr>
      <w:ind w:left="630"/>
      <w:jc w:val="left"/>
    </w:pPr>
    <w:rPr>
      <w:sz w:val="18"/>
      <w:szCs w:val="18"/>
    </w:rPr>
  </w:style>
  <w:style w:type="paragraph" w:styleId="33">
    <w:name w:val="Subtitle"/>
    <w:basedOn w:val="1"/>
    <w:next w:val="1"/>
    <w:link w:val="76"/>
    <w:qFormat/>
    <w:uiPriority w:val="11"/>
    <w:pPr>
      <w:spacing w:before="240" w:after="60" w:line="312" w:lineRule="auto"/>
      <w:jc w:val="center"/>
      <w:outlineLvl w:val="1"/>
    </w:pPr>
    <w:rPr>
      <w:rFonts w:ascii="Cambria" w:hAnsi="Cambria"/>
      <w:b/>
      <w:bCs/>
      <w:kern w:val="28"/>
      <w:sz w:val="32"/>
      <w:szCs w:val="32"/>
    </w:rPr>
  </w:style>
  <w:style w:type="paragraph" w:styleId="34">
    <w:name w:val="List"/>
    <w:basedOn w:val="1"/>
    <w:uiPriority w:val="0"/>
    <w:pPr>
      <w:adjustRightInd w:val="0"/>
      <w:snapToGrid w:val="0"/>
      <w:jc w:val="center"/>
    </w:pPr>
    <w:rPr>
      <w:rFonts w:ascii="Times New Roman" w:hAnsi="Times New Roman"/>
      <w:kern w:val="0"/>
      <w:szCs w:val="24"/>
    </w:rPr>
  </w:style>
  <w:style w:type="paragraph" w:styleId="35">
    <w:name w:val="toc 6"/>
    <w:basedOn w:val="1"/>
    <w:next w:val="1"/>
    <w:unhideWhenUsed/>
    <w:uiPriority w:val="39"/>
    <w:pPr>
      <w:ind w:left="1050"/>
      <w:jc w:val="left"/>
    </w:pPr>
    <w:rPr>
      <w:sz w:val="18"/>
      <w:szCs w:val="18"/>
    </w:rPr>
  </w:style>
  <w:style w:type="paragraph" w:styleId="36">
    <w:name w:val="Body Text Indent 3"/>
    <w:basedOn w:val="1"/>
    <w:link w:val="77"/>
    <w:uiPriority w:val="0"/>
    <w:pPr>
      <w:spacing w:after="120"/>
      <w:ind w:left="420" w:leftChars="200"/>
    </w:pPr>
    <w:rPr>
      <w:rFonts w:ascii="Times New Roman" w:hAnsi="Times New Roman"/>
      <w:sz w:val="16"/>
      <w:szCs w:val="16"/>
    </w:rPr>
  </w:style>
  <w:style w:type="paragraph" w:styleId="37">
    <w:name w:val="toc 2"/>
    <w:basedOn w:val="1"/>
    <w:next w:val="1"/>
    <w:unhideWhenUsed/>
    <w:uiPriority w:val="0"/>
    <w:pPr>
      <w:ind w:left="210"/>
      <w:jc w:val="left"/>
    </w:pPr>
    <w:rPr>
      <w:smallCaps/>
      <w:sz w:val="20"/>
      <w:szCs w:val="20"/>
    </w:rPr>
  </w:style>
  <w:style w:type="paragraph" w:styleId="38">
    <w:name w:val="toc 9"/>
    <w:basedOn w:val="1"/>
    <w:next w:val="1"/>
    <w:unhideWhenUsed/>
    <w:uiPriority w:val="39"/>
    <w:pPr>
      <w:ind w:left="1680"/>
      <w:jc w:val="left"/>
    </w:pPr>
    <w:rPr>
      <w:sz w:val="18"/>
      <w:szCs w:val="18"/>
    </w:rPr>
  </w:style>
  <w:style w:type="paragraph" w:styleId="39">
    <w:name w:val="Body Text 2"/>
    <w:basedOn w:val="1"/>
    <w:link w:val="78"/>
    <w:unhideWhenUsed/>
    <w:uiPriority w:val="99"/>
    <w:pPr>
      <w:spacing w:after="120" w:line="480" w:lineRule="auto"/>
    </w:pPr>
  </w:style>
  <w:style w:type="paragraph" w:styleId="40">
    <w:name w:val="Normal (Web)"/>
    <w:basedOn w:val="1"/>
    <w:uiPriority w:val="0"/>
    <w:pPr>
      <w:widowControl/>
      <w:spacing w:before="100" w:beforeAutospacing="1" w:after="100" w:afterAutospacing="1"/>
      <w:jc w:val="left"/>
    </w:pPr>
    <w:rPr>
      <w:rFonts w:ascii="宋体" w:hAnsi="宋体" w:cs="宋体"/>
      <w:kern w:val="0"/>
      <w:sz w:val="24"/>
      <w:szCs w:val="24"/>
    </w:rPr>
  </w:style>
  <w:style w:type="paragraph" w:styleId="41">
    <w:name w:val="Title"/>
    <w:basedOn w:val="1"/>
    <w:next w:val="1"/>
    <w:link w:val="79"/>
    <w:qFormat/>
    <w:uiPriority w:val="10"/>
    <w:pPr>
      <w:adjustRightInd w:val="0"/>
      <w:snapToGrid w:val="0"/>
      <w:spacing w:beforeLines="50" w:line="360" w:lineRule="auto"/>
      <w:jc w:val="center"/>
    </w:pPr>
    <w:rPr>
      <w:rFonts w:ascii="Times New Roman" w:hAnsi="Times New Roman"/>
      <w:b/>
      <w:bCs/>
      <w:sz w:val="32"/>
      <w:szCs w:val="32"/>
    </w:rPr>
  </w:style>
  <w:style w:type="paragraph" w:styleId="42">
    <w:name w:val="annotation subject"/>
    <w:basedOn w:val="19"/>
    <w:next w:val="19"/>
    <w:link w:val="80"/>
    <w:unhideWhenUsed/>
    <w:uiPriority w:val="99"/>
    <w:rPr>
      <w:b/>
      <w:bCs/>
    </w:rPr>
  </w:style>
  <w:style w:type="paragraph" w:styleId="43">
    <w:name w:val="Body Text First Indent 2"/>
    <w:basedOn w:val="20"/>
    <w:next w:val="1"/>
    <w:link w:val="81"/>
    <w:uiPriority w:val="0"/>
    <w:pPr>
      <w:widowControl/>
      <w:adjustRightInd w:val="0"/>
      <w:snapToGrid w:val="0"/>
      <w:spacing w:after="0" w:line="360" w:lineRule="auto"/>
      <w:ind w:left="0" w:firstLine="435" w:firstLineChars="200"/>
      <w:jc w:val="left"/>
    </w:pPr>
    <w:rPr>
      <w:rFonts w:ascii="Times New Roman" w:hAnsi="Times New Roman"/>
      <w:color w:val="000000"/>
      <w:kern w:val="0"/>
      <w:sz w:val="24"/>
      <w:szCs w:val="24"/>
      <w:lang w:val="en-US" w:eastAsia="zh-CN"/>
    </w:rPr>
  </w:style>
  <w:style w:type="table" w:styleId="45">
    <w:name w:val="Table Grid"/>
    <w:basedOn w:val="44"/>
    <w:uiPriority w:val="0"/>
    <w:rPr>
      <w:rFonts w:ascii="Calibri" w:hAnsi="Calibri" w:eastAsia="宋体" w:cs="Times New Roman"/>
      <w:kern w:val="2"/>
      <w:sz w:val="21"/>
      <w:szCs w:val="21"/>
    </w:rPr>
    <w:tblPr>
      <w:tblStyle w:val="44"/>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page number"/>
    <w:basedOn w:val="46"/>
    <w:uiPriority w:val="0"/>
    <w:rPr>
      <w:sz w:val="24"/>
    </w:rPr>
  </w:style>
  <w:style w:type="character" w:styleId="49">
    <w:name w:val="FollowedHyperlink"/>
    <w:basedOn w:val="46"/>
    <w:uiPriority w:val="99"/>
    <w:rPr>
      <w:color w:val="800080"/>
      <w:sz w:val="24"/>
      <w:u w:val="single"/>
    </w:rPr>
  </w:style>
  <w:style w:type="character" w:styleId="50">
    <w:name w:val="Emphasis"/>
    <w:qFormat/>
    <w:uiPriority w:val="20"/>
    <w:rPr>
      <w:i/>
      <w:iCs/>
    </w:rPr>
  </w:style>
  <w:style w:type="character" w:styleId="51">
    <w:name w:val="Hyperlink"/>
    <w:unhideWhenUsed/>
    <w:uiPriority w:val="99"/>
    <w:rPr>
      <w:color w:val="0000FF"/>
      <w:u w:val="single"/>
    </w:rPr>
  </w:style>
  <w:style w:type="character" w:styleId="52">
    <w:name w:val="annotation reference"/>
    <w:unhideWhenUsed/>
    <w:uiPriority w:val="0"/>
    <w:rPr>
      <w:sz w:val="21"/>
      <w:szCs w:val="21"/>
    </w:rPr>
  </w:style>
  <w:style w:type="character" w:customStyle="1" w:styleId="53">
    <w:name w:val="标题 1 Char"/>
    <w:link w:val="2"/>
    <w:uiPriority w:val="0"/>
    <w:rPr>
      <w:rFonts w:ascii="Times New Roman" w:hAnsi="Times New Roman" w:eastAsia="黑体"/>
      <w:bCs/>
      <w:kern w:val="44"/>
      <w:sz w:val="24"/>
      <w:szCs w:val="44"/>
    </w:rPr>
  </w:style>
  <w:style w:type="character" w:customStyle="1" w:styleId="54">
    <w:name w:val="标题 2 Char"/>
    <w:link w:val="3"/>
    <w:uiPriority w:val="0"/>
    <w:rPr>
      <w:rFonts w:ascii="Times New Roman" w:hAnsi="Times New Roman" w:eastAsia="黑体"/>
      <w:bCs/>
      <w:kern w:val="2"/>
      <w:sz w:val="24"/>
      <w:szCs w:val="32"/>
    </w:rPr>
  </w:style>
  <w:style w:type="character" w:customStyle="1" w:styleId="55">
    <w:name w:val="标题 3 Char"/>
    <w:link w:val="4"/>
    <w:uiPriority w:val="0"/>
    <w:rPr>
      <w:rFonts w:ascii="Times New Roman" w:hAnsi="Times New Roman"/>
      <w:bCs/>
      <w:kern w:val="2"/>
      <w:sz w:val="24"/>
      <w:szCs w:val="32"/>
    </w:rPr>
  </w:style>
  <w:style w:type="character" w:customStyle="1" w:styleId="56">
    <w:name w:val="标题 4 Char"/>
    <w:link w:val="5"/>
    <w:uiPriority w:val="9"/>
    <w:rPr>
      <w:rFonts w:ascii="Times New Roman" w:hAnsi="Times New Roman"/>
      <w:bCs/>
      <w:kern w:val="2"/>
      <w:sz w:val="24"/>
      <w:szCs w:val="28"/>
    </w:rPr>
  </w:style>
  <w:style w:type="character" w:customStyle="1" w:styleId="57">
    <w:name w:val="正文文本 Char"/>
    <w:link w:val="7"/>
    <w:uiPriority w:val="0"/>
    <w:rPr>
      <w:rFonts w:ascii="Calibri" w:hAnsi="Calibri" w:eastAsia="宋体" w:cs="Times New Roman"/>
      <w:kern w:val="2"/>
      <w:sz w:val="21"/>
      <w:szCs w:val="21"/>
    </w:rPr>
  </w:style>
  <w:style w:type="character" w:customStyle="1" w:styleId="58">
    <w:name w:val="正文首行缩进 Char"/>
    <w:link w:val="6"/>
    <w:uiPriority w:val="0"/>
    <w:rPr>
      <w:rFonts w:ascii="Times New Roman" w:hAnsi="Times New Roman" w:cs="Times New Roman"/>
      <w:kern w:val="2"/>
      <w:sz w:val="24"/>
      <w:szCs w:val="21"/>
    </w:rPr>
  </w:style>
  <w:style w:type="character" w:customStyle="1" w:styleId="59">
    <w:name w:val="正文缩进 Char"/>
    <w:link w:val="8"/>
    <w:uiPriority w:val="0"/>
    <w:rPr>
      <w:rFonts w:ascii="Times New Roman" w:hAnsi="Times New Roman"/>
      <w:kern w:val="2"/>
      <w:sz w:val="24"/>
      <w:lang/>
    </w:rPr>
  </w:style>
  <w:style w:type="character" w:customStyle="1" w:styleId="60">
    <w:name w:val="标题 5 Char"/>
    <w:link w:val="9"/>
    <w:uiPriority w:val="9"/>
    <w:rPr>
      <w:bCs/>
      <w:kern w:val="2"/>
      <w:sz w:val="24"/>
      <w:szCs w:val="28"/>
    </w:rPr>
  </w:style>
  <w:style w:type="character" w:customStyle="1" w:styleId="61">
    <w:name w:val="标题 6 Char"/>
    <w:link w:val="10"/>
    <w:uiPriority w:val="9"/>
    <w:rPr>
      <w:rFonts w:ascii="Cambria" w:hAnsi="Cambria"/>
      <w:b/>
      <w:bCs/>
      <w:kern w:val="2"/>
      <w:sz w:val="24"/>
      <w:szCs w:val="24"/>
    </w:rPr>
  </w:style>
  <w:style w:type="character" w:customStyle="1" w:styleId="62">
    <w:name w:val="标题 7 Char"/>
    <w:link w:val="11"/>
    <w:semiHidden/>
    <w:uiPriority w:val="9"/>
    <w:rPr>
      <w:b/>
      <w:bCs/>
      <w:kern w:val="2"/>
      <w:sz w:val="24"/>
      <w:szCs w:val="24"/>
    </w:rPr>
  </w:style>
  <w:style w:type="character" w:customStyle="1" w:styleId="63">
    <w:name w:val="标题 8 Char"/>
    <w:link w:val="12"/>
    <w:semiHidden/>
    <w:uiPriority w:val="9"/>
    <w:rPr>
      <w:rFonts w:ascii="Cambria" w:hAnsi="Cambria"/>
      <w:kern w:val="2"/>
      <w:sz w:val="24"/>
      <w:szCs w:val="24"/>
    </w:rPr>
  </w:style>
  <w:style w:type="character" w:customStyle="1" w:styleId="64">
    <w:name w:val="标题 9 Char"/>
    <w:link w:val="13"/>
    <w:semiHidden/>
    <w:uiPriority w:val="9"/>
    <w:rPr>
      <w:rFonts w:ascii="Cambria" w:hAnsi="Cambria"/>
      <w:kern w:val="2"/>
      <w:sz w:val="21"/>
      <w:szCs w:val="21"/>
    </w:rPr>
  </w:style>
  <w:style w:type="character" w:customStyle="1" w:styleId="65">
    <w:name w:val="题注 Char"/>
    <w:link w:val="17"/>
    <w:uiPriority w:val="0"/>
    <w:rPr>
      <w:rFonts w:ascii="Times New Roman" w:hAnsi="Times New Roman" w:eastAsia="黑体"/>
      <w:sz w:val="24"/>
    </w:rPr>
  </w:style>
  <w:style w:type="character" w:customStyle="1" w:styleId="66">
    <w:name w:val="文档结构图 Char"/>
    <w:link w:val="18"/>
    <w:semiHidden/>
    <w:uiPriority w:val="99"/>
    <w:rPr>
      <w:rFonts w:ascii="宋体" w:hAnsi="Calibri" w:cs="Times New Roman"/>
      <w:kern w:val="2"/>
      <w:sz w:val="18"/>
      <w:szCs w:val="18"/>
    </w:rPr>
  </w:style>
  <w:style w:type="character" w:customStyle="1" w:styleId="67">
    <w:name w:val="批注文字 Char"/>
    <w:link w:val="19"/>
    <w:uiPriority w:val="0"/>
    <w:rPr>
      <w:kern w:val="2"/>
      <w:sz w:val="21"/>
      <w:szCs w:val="21"/>
    </w:rPr>
  </w:style>
  <w:style w:type="character" w:customStyle="1" w:styleId="68">
    <w:name w:val="正文文本缩进 Char"/>
    <w:link w:val="20"/>
    <w:uiPriority w:val="0"/>
    <w:rPr>
      <w:kern w:val="2"/>
      <w:sz w:val="21"/>
      <w:szCs w:val="21"/>
    </w:rPr>
  </w:style>
  <w:style w:type="character" w:customStyle="1" w:styleId="69">
    <w:name w:val="纯文本 Char"/>
    <w:aliases w:val="普通文字 Char"/>
    <w:basedOn w:val="46"/>
    <w:link w:val="23"/>
    <w:uiPriority w:val="99"/>
    <w:rPr>
      <w:rFonts w:ascii="宋体" w:hAnsi="Courier New"/>
      <w:kern w:val="2"/>
      <w:sz w:val="21"/>
    </w:rPr>
  </w:style>
  <w:style w:type="character" w:customStyle="1" w:styleId="70">
    <w:name w:val="日期 Char"/>
    <w:link w:val="25"/>
    <w:semiHidden/>
    <w:uiPriority w:val="99"/>
    <w:rPr>
      <w:kern w:val="2"/>
      <w:sz w:val="21"/>
      <w:szCs w:val="21"/>
    </w:rPr>
  </w:style>
  <w:style w:type="character" w:customStyle="1" w:styleId="71">
    <w:name w:val="正文文本缩进 2 Char"/>
    <w:basedOn w:val="46"/>
    <w:link w:val="26"/>
    <w:uiPriority w:val="0"/>
    <w:rPr>
      <w:rFonts w:ascii="Times New Roman" w:hAnsi="Times New Roman"/>
      <w:kern w:val="2"/>
      <w:sz w:val="21"/>
      <w:szCs w:val="24"/>
    </w:rPr>
  </w:style>
  <w:style w:type="character" w:customStyle="1" w:styleId="72">
    <w:name w:val="尾注文本 Char"/>
    <w:link w:val="27"/>
    <w:semiHidden/>
    <w:uiPriority w:val="0"/>
    <w:rPr>
      <w:rFonts w:ascii="Times New Roman" w:hAnsi="Times New Roman"/>
      <w:kern w:val="2"/>
      <w:sz w:val="28"/>
    </w:rPr>
  </w:style>
  <w:style w:type="character" w:customStyle="1" w:styleId="73">
    <w:name w:val="批注框文本 Char"/>
    <w:link w:val="28"/>
    <w:semiHidden/>
    <w:uiPriority w:val="99"/>
    <w:rPr>
      <w:rFonts w:ascii="Calibri" w:hAnsi="Calibri" w:eastAsia="宋体" w:cs="Times New Roman"/>
      <w:kern w:val="2"/>
      <w:sz w:val="18"/>
      <w:szCs w:val="18"/>
    </w:rPr>
  </w:style>
  <w:style w:type="character" w:customStyle="1" w:styleId="74">
    <w:name w:val="页脚 Char"/>
    <w:link w:val="29"/>
    <w:uiPriority w:val="99"/>
    <w:rPr>
      <w:rFonts w:ascii="Calibri" w:hAnsi="Calibri" w:eastAsia="宋体" w:cs="Times New Roman"/>
      <w:kern w:val="2"/>
      <w:sz w:val="18"/>
      <w:szCs w:val="18"/>
    </w:rPr>
  </w:style>
  <w:style w:type="character" w:customStyle="1" w:styleId="75">
    <w:name w:val="页眉 Char"/>
    <w:link w:val="30"/>
    <w:uiPriority w:val="99"/>
    <w:rPr>
      <w:rFonts w:ascii="Calibri" w:hAnsi="Calibri" w:eastAsia="宋体" w:cs="Times New Roman"/>
      <w:kern w:val="2"/>
      <w:sz w:val="18"/>
      <w:szCs w:val="18"/>
    </w:rPr>
  </w:style>
  <w:style w:type="character" w:customStyle="1" w:styleId="76">
    <w:name w:val="副标题 Char"/>
    <w:link w:val="33"/>
    <w:uiPriority w:val="11"/>
    <w:rPr>
      <w:rFonts w:ascii="Cambria" w:hAnsi="Cambria"/>
      <w:b/>
      <w:bCs/>
      <w:kern w:val="28"/>
      <w:sz w:val="32"/>
      <w:szCs w:val="32"/>
    </w:rPr>
  </w:style>
  <w:style w:type="character" w:customStyle="1" w:styleId="77">
    <w:name w:val="正文文本缩进 3 Char"/>
    <w:link w:val="36"/>
    <w:uiPriority w:val="0"/>
    <w:rPr>
      <w:rFonts w:ascii="Times New Roman" w:hAnsi="Times New Roman"/>
      <w:kern w:val="2"/>
      <w:sz w:val="16"/>
      <w:szCs w:val="16"/>
    </w:rPr>
  </w:style>
  <w:style w:type="character" w:customStyle="1" w:styleId="78">
    <w:name w:val="正文文本 2 Char"/>
    <w:link w:val="39"/>
    <w:semiHidden/>
    <w:uiPriority w:val="99"/>
    <w:rPr>
      <w:kern w:val="2"/>
      <w:sz w:val="21"/>
      <w:szCs w:val="21"/>
    </w:rPr>
  </w:style>
  <w:style w:type="character" w:customStyle="1" w:styleId="79">
    <w:name w:val="标题 Char"/>
    <w:link w:val="41"/>
    <w:uiPriority w:val="10"/>
    <w:rPr>
      <w:rFonts w:ascii="Times New Roman" w:hAnsi="Times New Roman"/>
      <w:b/>
      <w:bCs/>
      <w:kern w:val="2"/>
      <w:sz w:val="32"/>
      <w:szCs w:val="32"/>
    </w:rPr>
  </w:style>
  <w:style w:type="character" w:customStyle="1" w:styleId="80">
    <w:name w:val="批注主题 Char"/>
    <w:link w:val="42"/>
    <w:semiHidden/>
    <w:uiPriority w:val="99"/>
    <w:rPr>
      <w:b/>
      <w:bCs/>
      <w:kern w:val="2"/>
      <w:sz w:val="21"/>
      <w:szCs w:val="21"/>
    </w:rPr>
  </w:style>
  <w:style w:type="character" w:customStyle="1" w:styleId="81">
    <w:name w:val="正文首行缩进 2 Char"/>
    <w:basedOn w:val="68"/>
    <w:link w:val="43"/>
    <w:uiPriority w:val="0"/>
    <w:rPr>
      <w:rFonts w:ascii="Times New Roman" w:hAnsi="Times New Roman"/>
      <w:color w:val="000000"/>
      <w:sz w:val="24"/>
      <w:szCs w:val="24"/>
    </w:rPr>
  </w:style>
  <w:style w:type="paragraph" w:customStyle="1" w:styleId="82">
    <w:name w:val="样式 标题 3 + 首行缩进:  2 字符"/>
    <w:basedOn w:val="4"/>
    <w:qFormat/>
    <w:uiPriority w:val="0"/>
    <w:pPr>
      <w:keepNext w:val="0"/>
      <w:keepLines w:val="0"/>
      <w:numPr>
        <w:ilvl w:val="0"/>
        <w:numId w:val="0"/>
      </w:numPr>
      <w:adjustRightInd/>
      <w:spacing w:before="100" w:beforeAutospacing="1" w:afterAutospacing="1" w:line="480" w:lineRule="exact"/>
      <w:textAlignment w:val="auto"/>
    </w:pPr>
    <w:rPr>
      <w:rFonts w:hint="eastAsia" w:ascii="宋体" w:hAnsi="宋体" w:eastAsia="宋体" w:cs="宋体"/>
      <w:kern w:val="0"/>
      <w:sz w:val="28"/>
      <w:szCs w:val="28"/>
      <w:lang w:val="en-US" w:eastAsia="zh-CN" w:bidi="ar-DZ"/>
    </w:rPr>
  </w:style>
  <w:style w:type="character" w:customStyle="1" w:styleId="83">
    <w:name w:val="表头 Char Char Char"/>
    <w:basedOn w:val="46"/>
    <w:uiPriority w:val="0"/>
    <w:rPr>
      <w:rFonts w:eastAsia="黑体"/>
      <w:kern w:val="24"/>
      <w:sz w:val="24"/>
      <w:szCs w:val="24"/>
      <w:lang w:val="en-US" w:eastAsia="zh-CN" w:bidi="ar-SA"/>
    </w:rPr>
  </w:style>
  <w:style w:type="character" w:customStyle="1" w:styleId="84">
    <w:name w:val="title11"/>
    <w:basedOn w:val="46"/>
    <w:uiPriority w:val="0"/>
    <w:rPr>
      <w:sz w:val="24"/>
    </w:rPr>
  </w:style>
  <w:style w:type="character" w:customStyle="1" w:styleId="85">
    <w:name w:val="文本格式 Char"/>
    <w:link w:val="86"/>
    <w:uiPriority w:val="0"/>
    <w:rPr>
      <w:rFonts w:ascii="Times New Roman" w:hAnsi="Times New Roman"/>
      <w:bCs/>
      <w:kern w:val="2"/>
      <w:sz w:val="26"/>
      <w:szCs w:val="26"/>
    </w:rPr>
  </w:style>
  <w:style w:type="paragraph" w:customStyle="1" w:styleId="86">
    <w:name w:val="文本格式"/>
    <w:basedOn w:val="1"/>
    <w:link w:val="85"/>
    <w:uiPriority w:val="0"/>
    <w:pPr>
      <w:spacing w:line="480" w:lineRule="exact"/>
      <w:ind w:firstLine="520" w:firstLineChars="200"/>
    </w:pPr>
    <w:rPr>
      <w:rFonts w:ascii="Times New Roman" w:hAnsi="Times New Roman"/>
      <w:bCs/>
      <w:sz w:val="26"/>
      <w:szCs w:val="26"/>
    </w:rPr>
  </w:style>
  <w:style w:type="character" w:customStyle="1" w:styleId="87">
    <w:name w:val="font21"/>
    <w:basedOn w:val="46"/>
    <w:uiPriority w:val="0"/>
    <w:rPr>
      <w:rFonts w:hint="eastAsia" w:ascii="宋体" w:hAnsi="宋体" w:eastAsia="宋体" w:cs="宋体"/>
      <w:color w:val="000000"/>
      <w:sz w:val="20"/>
      <w:szCs w:val="20"/>
      <w:u w:val="none"/>
    </w:rPr>
  </w:style>
  <w:style w:type="character" w:customStyle="1" w:styleId="88">
    <w:name w:val="样式 (西文) Times New Roman (中文) 宋体"/>
    <w:uiPriority w:val="0"/>
    <w:rPr>
      <w:rFonts w:ascii="Times New Roman" w:hAnsi="Times New Roman" w:eastAsia="宋体"/>
      <w:sz w:val="24"/>
    </w:rPr>
  </w:style>
  <w:style w:type="character" w:customStyle="1" w:styleId="89">
    <w:name w:val="page number"/>
    <w:basedOn w:val="46"/>
    <w:qFormat/>
    <w:uiPriority w:val="0"/>
  </w:style>
  <w:style w:type="character" w:customStyle="1" w:styleId="90">
    <w:name w:val="样式1 Char"/>
    <w:link w:val="91"/>
    <w:locked/>
    <w:uiPriority w:val="0"/>
    <w:rPr>
      <w:rFonts w:ascii="Arial" w:hAnsi="Arial" w:eastAsia="黑体" w:cs="Arial"/>
      <w:kern w:val="2"/>
      <w:sz w:val="28"/>
    </w:rPr>
  </w:style>
  <w:style w:type="paragraph" w:customStyle="1" w:styleId="91">
    <w:name w:val="样式1"/>
    <w:basedOn w:val="17"/>
    <w:link w:val="90"/>
    <w:uiPriority w:val="0"/>
    <w:pPr>
      <w:adjustRightInd/>
      <w:snapToGrid/>
      <w:spacing w:line="490" w:lineRule="exact"/>
      <w:ind w:firstLine="556"/>
      <w:jc w:val="both"/>
    </w:pPr>
    <w:rPr>
      <w:rFonts w:ascii="Arial" w:hAnsi="Arial"/>
      <w:kern w:val="2"/>
      <w:sz w:val="28"/>
    </w:rPr>
  </w:style>
  <w:style w:type="character" w:customStyle="1" w:styleId="92">
    <w:name w:val="表格文字 Char"/>
    <w:link w:val="93"/>
    <w:uiPriority w:val="0"/>
    <w:rPr>
      <w:rFonts w:ascii="Times New Roman" w:hAnsi="Times New Roman" w:cs="Times New Roman"/>
      <w:kern w:val="2"/>
      <w:sz w:val="21"/>
      <w:szCs w:val="21"/>
    </w:rPr>
  </w:style>
  <w:style w:type="paragraph" w:customStyle="1" w:styleId="93">
    <w:name w:val="表格文字"/>
    <w:basedOn w:val="6"/>
    <w:link w:val="92"/>
    <w:qFormat/>
    <w:uiPriority w:val="0"/>
    <w:pPr>
      <w:spacing w:line="240" w:lineRule="auto"/>
      <w:ind w:firstLine="0" w:firstLineChars="0"/>
      <w:jc w:val="center"/>
    </w:pPr>
    <w:rPr>
      <w:sz w:val="21"/>
    </w:rPr>
  </w:style>
  <w:style w:type="character" w:customStyle="1" w:styleId="94">
    <w:name w:val="段落 Char2"/>
    <w:basedOn w:val="46"/>
    <w:link w:val="95"/>
    <w:uiPriority w:val="0"/>
    <w:rPr>
      <w:rFonts w:ascii="Times New Roman" w:hAnsi="Times New Roman"/>
      <w:spacing w:val="-4"/>
      <w:sz w:val="24"/>
      <w:szCs w:val="24"/>
    </w:rPr>
  </w:style>
  <w:style w:type="paragraph" w:customStyle="1" w:styleId="95">
    <w:name w:val="段落"/>
    <w:basedOn w:val="1"/>
    <w:link w:val="94"/>
    <w:uiPriority w:val="0"/>
    <w:pPr>
      <w:snapToGrid w:val="0"/>
      <w:ind w:right="-29" w:rightChars="-14" w:firstLine="536" w:firstLineChars="231"/>
      <w:jc w:val="left"/>
    </w:pPr>
    <w:rPr>
      <w:rFonts w:ascii="Times New Roman" w:hAnsi="Times New Roman"/>
      <w:spacing w:val="-4"/>
      <w:kern w:val="0"/>
      <w:sz w:val="24"/>
      <w:szCs w:val="24"/>
    </w:rPr>
  </w:style>
  <w:style w:type="character" w:customStyle="1" w:styleId="96">
    <w:name w:val="fontstyle21"/>
    <w:basedOn w:val="46"/>
    <w:qFormat/>
    <w:uiPriority w:val="0"/>
    <w:rPr>
      <w:rFonts w:ascii="TimesNewRomanPSMT" w:hAnsi="TimesNewRomanPSMT" w:eastAsia="TimesNewRomanPSMT" w:cs="TimesNewRomanPSMT"/>
      <w:color w:val="000000"/>
      <w:sz w:val="24"/>
      <w:szCs w:val="24"/>
    </w:rPr>
  </w:style>
  <w:style w:type="character" w:customStyle="1" w:styleId="97">
    <w:name w:val="正文首行缩进 Char1"/>
    <w:basedOn w:val="46"/>
    <w:uiPriority w:val="0"/>
    <w:rPr>
      <w:rFonts w:eastAsia="宋体"/>
      <w:kern w:val="2"/>
      <w:sz w:val="24"/>
      <w:szCs w:val="24"/>
      <w:lang w:val="en-US" w:eastAsia="zh-CN" w:bidi="ar-SA"/>
    </w:rPr>
  </w:style>
  <w:style w:type="character" w:styleId="98">
    <w:name w:val=""/>
    <w:qFormat/>
    <w:uiPriority w:val="32"/>
    <w:rPr>
      <w:b/>
      <w:bCs/>
      <w:smallCaps/>
      <w:color w:val="C0504D"/>
      <w:spacing w:val="5"/>
      <w:u w:val="single"/>
    </w:rPr>
  </w:style>
  <w:style w:type="character" w:styleId="99">
    <w:name w:val=""/>
    <w:qFormat/>
    <w:uiPriority w:val="19"/>
    <w:rPr>
      <w:i/>
      <w:iCs/>
      <w:color w:val="808080"/>
    </w:rPr>
  </w:style>
  <w:style w:type="character" w:customStyle="1" w:styleId="100">
    <w:name w:val=" Char Char9"/>
    <w:basedOn w:val="46"/>
    <w:uiPriority w:val="0"/>
    <w:rPr>
      <w:rFonts w:eastAsia="宋体"/>
      <w:kern w:val="2"/>
      <w:sz w:val="21"/>
      <w:szCs w:val="24"/>
      <w:lang w:val="en-US" w:eastAsia="zh-CN" w:bidi="ar-SA"/>
    </w:rPr>
  </w:style>
  <w:style w:type="character" w:customStyle="1" w:styleId="101">
    <w:name w:val="title1"/>
    <w:basedOn w:val="46"/>
    <w:uiPriority w:val="0"/>
    <w:rPr>
      <w:sz w:val="24"/>
    </w:rPr>
  </w:style>
  <w:style w:type="character" w:customStyle="1" w:styleId="102">
    <w:name w:val="Default Char"/>
    <w:link w:val="103"/>
    <w:uiPriority w:val="0"/>
    <w:rPr>
      <w:rFonts w:ascii="Times New Roman" w:hAnsi="Times New Roman"/>
      <w:color w:val="000000"/>
      <w:sz w:val="24"/>
      <w:szCs w:val="24"/>
      <w:lang w:val="en-US" w:eastAsia="zh-CN" w:bidi="ar-SA"/>
    </w:rPr>
  </w:style>
  <w:style w:type="paragraph" w:customStyle="1" w:styleId="103">
    <w:name w:val="Default"/>
    <w:link w:val="102"/>
    <w:uiPriority w:val="0"/>
    <w:pPr>
      <w:widowControl w:val="0"/>
      <w:autoSpaceDE w:val="0"/>
      <w:autoSpaceDN w:val="0"/>
      <w:adjustRightInd w:val="0"/>
    </w:pPr>
    <w:rPr>
      <w:rFonts w:ascii="Times New Roman" w:hAnsi="Times New Roman"/>
      <w:color w:val="000000"/>
      <w:sz w:val="24"/>
      <w:szCs w:val="24"/>
      <w:lang w:val="en-US" w:eastAsia="zh-CN" w:bidi="ar-SA"/>
    </w:rPr>
  </w:style>
  <w:style w:type="character" w:customStyle="1" w:styleId="104">
    <w:name w:val="fontstyle01"/>
    <w:basedOn w:val="46"/>
    <w:qFormat/>
    <w:uiPriority w:val="0"/>
    <w:rPr>
      <w:rFonts w:ascii="宋体" w:hAnsi="宋体" w:eastAsia="宋体" w:cs="宋体"/>
      <w:color w:val="000000"/>
      <w:sz w:val="24"/>
      <w:szCs w:val="24"/>
    </w:rPr>
  </w:style>
  <w:style w:type="character" w:styleId="105">
    <w:name w:val=""/>
    <w:qFormat/>
    <w:uiPriority w:val="21"/>
    <w:rPr>
      <w:b/>
      <w:bCs/>
      <w:i/>
      <w:iCs/>
      <w:color w:val="4F81BD"/>
    </w:rPr>
  </w:style>
  <w:style w:type="character" w:customStyle="1" w:styleId="106">
    <w:name w:val="表格 Char"/>
    <w:uiPriority w:val="0"/>
    <w:rPr>
      <w:rFonts w:ascii="楷体_GB2312" w:hAnsi="Arial" w:eastAsia="楷体_GB2312"/>
      <w:sz w:val="21"/>
      <w:lang w:val="en-US" w:eastAsia="zh-CN" w:bidi="ar-SA"/>
    </w:rPr>
  </w:style>
  <w:style w:type="character" w:customStyle="1" w:styleId="107">
    <w:name w:val="样式 标题 2 + 段前: 0.5 行 Char"/>
    <w:basedOn w:val="46"/>
    <w:link w:val="108"/>
    <w:uiPriority w:val="0"/>
    <w:rPr>
      <w:rFonts w:cs="宋体"/>
      <w:snapToGrid w:val="0"/>
      <w:color w:val="FF0000"/>
      <w:spacing w:val="4"/>
      <w:kern w:val="2"/>
      <w:sz w:val="24"/>
      <w:szCs w:val="24"/>
    </w:rPr>
  </w:style>
  <w:style w:type="paragraph" w:customStyle="1" w:styleId="108">
    <w:name w:val="样式 标题 2 + 段前: 0.5 行"/>
    <w:basedOn w:val="3"/>
    <w:link w:val="107"/>
    <w:uiPriority w:val="0"/>
    <w:pPr>
      <w:keepNext w:val="0"/>
      <w:keepLines w:val="0"/>
      <w:numPr>
        <w:ilvl w:val="0"/>
        <w:numId w:val="0"/>
      </w:numPr>
      <w:spacing w:line="240" w:lineRule="auto"/>
      <w:textAlignment w:val="baseline"/>
    </w:pPr>
    <w:rPr>
      <w:rFonts w:ascii="Calibri" w:hAnsi="Calibri" w:eastAsia="宋体" w:cs="宋体"/>
      <w:bCs w:val="0"/>
      <w:snapToGrid w:val="0"/>
      <w:color w:val="FF0000"/>
      <w:spacing w:val="4"/>
      <w:szCs w:val="24"/>
      <w:lang w:val="en-US" w:eastAsia="zh-CN"/>
    </w:rPr>
  </w:style>
  <w:style w:type="character" w:customStyle="1" w:styleId="109">
    <w:name w:val="表格标题 Char"/>
    <w:link w:val="110"/>
    <w:uiPriority w:val="0"/>
    <w:rPr>
      <w:rFonts w:ascii="Times New Roman" w:hAnsi="Times New Roman" w:eastAsia="黑体"/>
      <w:kern w:val="2"/>
      <w:sz w:val="24"/>
      <w:szCs w:val="21"/>
    </w:rPr>
  </w:style>
  <w:style w:type="paragraph" w:customStyle="1" w:styleId="110">
    <w:name w:val="表格标题"/>
    <w:basedOn w:val="6"/>
    <w:link w:val="109"/>
    <w:qFormat/>
    <w:uiPriority w:val="0"/>
    <w:pPr>
      <w:ind w:firstLine="0" w:firstLineChars="0"/>
      <w:jc w:val="center"/>
    </w:pPr>
    <w:rPr>
      <w:rFonts w:eastAsia="黑体"/>
    </w:rPr>
  </w:style>
  <w:style w:type="character" w:customStyle="1" w:styleId="111">
    <w:name w:val="明显引用 Char"/>
    <w:link w:val="112"/>
    <w:uiPriority w:val="30"/>
    <w:rPr>
      <w:rFonts w:ascii="Calibri" w:hAnsi="Calibri" w:eastAsia="宋体" w:cs="Times New Roman"/>
      <w:b/>
      <w:bCs/>
      <w:i/>
      <w:iCs/>
      <w:color w:val="4F81BD"/>
      <w:kern w:val="2"/>
      <w:sz w:val="21"/>
      <w:szCs w:val="21"/>
    </w:rPr>
  </w:style>
  <w:style w:type="paragraph" w:styleId="112">
    <w:name w:val="Intense Quote"/>
    <w:basedOn w:val="1"/>
    <w:next w:val="1"/>
    <w:link w:val="111"/>
    <w:qFormat/>
    <w:uiPriority w:val="30"/>
    <w:pPr>
      <w:pBdr>
        <w:bottom w:val="single" w:color="4F81BD" w:sz="4" w:space="4"/>
      </w:pBdr>
      <w:spacing w:before="200" w:after="280"/>
      <w:ind w:left="936" w:right="936"/>
    </w:pPr>
    <w:rPr>
      <w:b/>
      <w:bCs/>
      <w:i/>
      <w:iCs/>
      <w:color w:val="4F81BD"/>
    </w:rPr>
  </w:style>
  <w:style w:type="character" w:customStyle="1" w:styleId="113">
    <w:name w:val="Body Text Char"/>
    <w:basedOn w:val="46"/>
    <w:uiPriority w:val="0"/>
    <w:rPr>
      <w:rFonts w:cs="Times New Roman"/>
      <w:kern w:val="2"/>
      <w:sz w:val="21"/>
    </w:rPr>
  </w:style>
  <w:style w:type="character" w:customStyle="1" w:styleId="114">
    <w:name w:val="表格内容5号 Char"/>
    <w:link w:val="115"/>
    <w:uiPriority w:val="0"/>
    <w:rPr>
      <w:rFonts w:ascii="Times New Roman" w:hAnsi="Times New Roman"/>
      <w:kern w:val="2"/>
      <w:sz w:val="21"/>
      <w:szCs w:val="24"/>
      <w:lang w:val="en-US" w:eastAsia="zh-CN" w:bidi="ar-SA"/>
    </w:rPr>
  </w:style>
  <w:style w:type="paragraph" w:customStyle="1" w:styleId="115">
    <w:name w:val="表格内容5号"/>
    <w:link w:val="114"/>
    <w:uiPriority w:val="0"/>
    <w:pPr>
      <w:widowControl w:val="0"/>
      <w:snapToGrid w:val="0"/>
      <w:spacing w:line="240" w:lineRule="atLeast"/>
      <w:jc w:val="center"/>
    </w:pPr>
    <w:rPr>
      <w:rFonts w:ascii="Times New Roman" w:hAnsi="Times New Roman"/>
      <w:kern w:val="2"/>
      <w:sz w:val="21"/>
      <w:szCs w:val="24"/>
      <w:lang w:val="en-US" w:eastAsia="zh-CN" w:bidi="ar-SA"/>
    </w:rPr>
  </w:style>
  <w:style w:type="character" w:customStyle="1" w:styleId="116">
    <w:name w:val="页码 New"/>
    <w:basedOn w:val="46"/>
    <w:uiPriority w:val="0"/>
    <w:rPr>
      <w:sz w:val="24"/>
    </w:rPr>
  </w:style>
  <w:style w:type="character" w:customStyle="1" w:styleId="117">
    <w:name w:val="引用 Char"/>
    <w:link w:val="118"/>
    <w:uiPriority w:val="29"/>
    <w:rPr>
      <w:rFonts w:ascii="Calibri" w:hAnsi="Calibri" w:eastAsia="宋体" w:cs="Times New Roman"/>
      <w:i/>
      <w:iCs/>
      <w:color w:val="000000"/>
      <w:kern w:val="2"/>
      <w:sz w:val="21"/>
      <w:szCs w:val="21"/>
    </w:rPr>
  </w:style>
  <w:style w:type="paragraph" w:styleId="118">
    <w:name w:val="Quote"/>
    <w:basedOn w:val="1"/>
    <w:next w:val="1"/>
    <w:link w:val="117"/>
    <w:qFormat/>
    <w:uiPriority w:val="29"/>
    <w:rPr>
      <w:i/>
      <w:iCs/>
      <w:color w:val="000000"/>
    </w:rPr>
  </w:style>
  <w:style w:type="character" w:styleId="119">
    <w:name w:val=""/>
    <w:qFormat/>
    <w:uiPriority w:val="31"/>
    <w:rPr>
      <w:smallCaps/>
      <w:color w:val="C0504D"/>
      <w:u w:val="single"/>
    </w:rPr>
  </w:style>
  <w:style w:type="character" w:customStyle="1" w:styleId="120">
    <w:name w:val="ca-4"/>
    <w:basedOn w:val="46"/>
    <w:qFormat/>
    <w:uiPriority w:val="0"/>
  </w:style>
  <w:style w:type="character" w:customStyle="1" w:styleId="121">
    <w:name w:val="count4"/>
    <w:basedOn w:val="46"/>
    <w:uiPriority w:val="0"/>
    <w:rPr>
      <w:sz w:val="24"/>
    </w:rPr>
  </w:style>
  <w:style w:type="character" w:styleId="122">
    <w:name w:val=""/>
    <w:qFormat/>
    <w:uiPriority w:val="33"/>
    <w:rPr>
      <w:b/>
      <w:bCs/>
      <w:smallCaps/>
      <w:spacing w:val="5"/>
    </w:rPr>
  </w:style>
  <w:style w:type="character" w:customStyle="1" w:styleId="123">
    <w:name w:val="zw Char"/>
    <w:link w:val="124"/>
    <w:uiPriority w:val="0"/>
    <w:rPr>
      <w:rFonts w:ascii="Times New Roman" w:hAnsi="Times New Roman"/>
      <w:snapToGrid/>
      <w:sz w:val="24"/>
      <w:szCs w:val="24"/>
      <w:shd w:val="clear" w:color="auto" w:fill="FFFFFF"/>
    </w:rPr>
  </w:style>
  <w:style w:type="paragraph" w:customStyle="1" w:styleId="124">
    <w:name w:val="zw"/>
    <w:basedOn w:val="1"/>
    <w:link w:val="123"/>
    <w:uiPriority w:val="0"/>
    <w:pPr>
      <w:shd w:val="clear" w:color="auto" w:fill="FFFFFF"/>
      <w:adjustRightInd w:val="0"/>
      <w:snapToGrid w:val="0"/>
      <w:spacing w:line="360" w:lineRule="auto"/>
      <w:ind w:firstLine="480" w:firstLineChars="200"/>
    </w:pPr>
    <w:rPr>
      <w:rFonts w:ascii="Times New Roman" w:hAnsi="Times New Roman"/>
      <w:kern w:val="0"/>
      <w:sz w:val="24"/>
      <w:szCs w:val="24"/>
    </w:rPr>
  </w:style>
  <w:style w:type="paragraph" w:customStyle="1" w:styleId="125">
    <w:name w:val="xl69"/>
    <w:basedOn w:val="1"/>
    <w:uiPriority w:val="0"/>
    <w:pPr>
      <w:widowControl/>
      <w:pBdr>
        <w:bottom w:val="single" w:color="auto" w:sz="8" w:space="0"/>
        <w:right w:val="single" w:color="auto" w:sz="8" w:space="0"/>
      </w:pBdr>
      <w:spacing w:before="100" w:beforeAutospacing="1" w:after="100" w:afterAutospacing="1"/>
      <w:jc w:val="center"/>
    </w:pPr>
    <w:rPr>
      <w:rFonts w:ascii="Times New Roman" w:hAnsi="Times New Roman"/>
      <w:color w:val="FF0000"/>
      <w:kern w:val="0"/>
    </w:rPr>
  </w:style>
  <w:style w:type="paragraph" w:customStyle="1" w:styleId="126">
    <w:name w:val="font5"/>
    <w:basedOn w:val="1"/>
    <w:uiPriority w:val="0"/>
    <w:pPr>
      <w:widowControl/>
      <w:spacing w:before="100" w:beforeAutospacing="1" w:after="100" w:afterAutospacing="1"/>
      <w:jc w:val="left"/>
    </w:pPr>
    <w:rPr>
      <w:rFonts w:ascii="Times New Roman" w:hAnsi="Times New Roman"/>
      <w:kern w:val="0"/>
    </w:rPr>
  </w:style>
  <w:style w:type="paragraph" w:customStyle="1" w:styleId="127">
    <w:name w:val="font6"/>
    <w:basedOn w:val="1"/>
    <w:uiPriority w:val="0"/>
    <w:pPr>
      <w:widowControl/>
      <w:spacing w:before="100" w:beforeAutospacing="1" w:after="100" w:afterAutospacing="1"/>
      <w:jc w:val="left"/>
    </w:pPr>
    <w:rPr>
      <w:rFonts w:ascii="宋体" w:hAnsi="宋体" w:cs="宋体"/>
      <w:kern w:val="0"/>
    </w:rPr>
  </w:style>
  <w:style w:type="paragraph" w:customStyle="1" w:styleId="128">
    <w:name w:val="样式 宋体 小四 左 行距: 固定值 22 磅"/>
    <w:basedOn w:val="1"/>
    <w:uiPriority w:val="0"/>
    <w:pPr>
      <w:spacing w:line="440" w:lineRule="exact"/>
      <w:ind w:firstLine="200" w:firstLineChars="200"/>
      <w:jc w:val="left"/>
    </w:pPr>
    <w:rPr>
      <w:rFonts w:ascii="宋体" w:hAnsi="宋体" w:cs="宋体"/>
      <w:sz w:val="24"/>
      <w:szCs w:val="20"/>
    </w:rPr>
  </w:style>
  <w:style w:type="paragraph" w:customStyle="1" w:styleId="129">
    <w:name w:val="xl70"/>
    <w:basedOn w:val="1"/>
    <w:uiPriority w:val="0"/>
    <w:pPr>
      <w:widowControl/>
      <w:pBdr>
        <w:bottom w:val="single" w:color="auto" w:sz="12" w:space="0"/>
        <w:right w:val="single" w:color="auto" w:sz="8" w:space="0"/>
      </w:pBdr>
      <w:spacing w:before="100" w:beforeAutospacing="1" w:after="100" w:afterAutospacing="1"/>
      <w:jc w:val="center"/>
    </w:pPr>
    <w:rPr>
      <w:rFonts w:cs="宋体"/>
      <w:kern w:val="0"/>
    </w:rPr>
  </w:style>
  <w:style w:type="paragraph" w:customStyle="1" w:styleId="130">
    <w:name w:val=" Char2 Char Char Char Char Char"/>
    <w:basedOn w:val="4"/>
    <w:uiPriority w:val="0"/>
    <w:pPr>
      <w:numPr>
        <w:ilvl w:val="0"/>
        <w:numId w:val="0"/>
      </w:numPr>
      <w:tabs>
        <w:tab w:val="left" w:pos="360"/>
        <w:tab w:val="left" w:pos="900"/>
      </w:tabs>
      <w:adjustRightInd/>
      <w:spacing w:before="120" w:after="120"/>
      <w:ind w:left="542" w:leftChars="-12" w:firstLine="200" w:firstLineChars="200"/>
      <w:jc w:val="left"/>
    </w:pPr>
    <w:rPr>
      <w:rFonts w:eastAsia="黑体"/>
      <w:bCs w:val="0"/>
      <w:snapToGrid w:val="0"/>
      <w:szCs w:val="24"/>
      <w:lang w:val="en-US" w:eastAsia="zh-CN"/>
    </w:rPr>
  </w:style>
  <w:style w:type="paragraph" w:customStyle="1" w:styleId="131">
    <w:name w:val="xl88"/>
    <w:basedOn w:val="1"/>
    <w:uiPriority w:val="0"/>
    <w:pPr>
      <w:widowControl/>
      <w:pBdr>
        <w:top w:val="single" w:color="auto" w:sz="8" w:space="0"/>
        <w:left w:val="single" w:color="auto" w:sz="12" w:space="0"/>
        <w:right w:val="single" w:color="auto" w:sz="8" w:space="0"/>
      </w:pBdr>
      <w:spacing w:before="100" w:beforeAutospacing="1" w:after="100" w:afterAutospacing="1"/>
      <w:jc w:val="center"/>
    </w:pPr>
    <w:rPr>
      <w:rFonts w:ascii="Times New Roman" w:hAnsi="Times New Roman"/>
      <w:kern w:val="0"/>
    </w:rPr>
  </w:style>
  <w:style w:type="paragraph" w:customStyle="1" w:styleId="132">
    <w:name w:val="样式 小四 行距: 1.5 倍行距2"/>
    <w:basedOn w:val="1"/>
    <w:uiPriority w:val="0"/>
    <w:pPr>
      <w:spacing w:line="360" w:lineRule="auto"/>
      <w:ind w:firstLine="480" w:firstLineChars="200"/>
      <w:jc w:val="left"/>
    </w:pPr>
    <w:rPr>
      <w:rFonts w:ascii="Times New Roman" w:hAnsi="Times New Roman" w:cs="宋体"/>
      <w:sz w:val="24"/>
      <w:szCs w:val="20"/>
    </w:rPr>
  </w:style>
  <w:style w:type="paragraph" w:customStyle="1" w:styleId="133">
    <w:name w:val="正文001"/>
    <w:basedOn w:val="1"/>
    <w:qFormat/>
    <w:uiPriority w:val="0"/>
    <w:pPr>
      <w:spacing w:before="60" w:line="460" w:lineRule="exact"/>
      <w:ind w:firstLine="482"/>
    </w:pPr>
    <w:rPr>
      <w:sz w:val="24"/>
      <w:szCs w:val="20"/>
    </w:rPr>
  </w:style>
  <w:style w:type="paragraph" w:styleId="134">
    <w:name w:val="List Paragraph"/>
    <w:basedOn w:val="1"/>
    <w:qFormat/>
    <w:uiPriority w:val="34"/>
    <w:pPr>
      <w:ind w:firstLine="420" w:firstLineChars="200"/>
    </w:pPr>
  </w:style>
  <w:style w:type="paragraph" w:customStyle="1" w:styleId="135">
    <w:name w:val="xl92"/>
    <w:basedOn w:val="1"/>
    <w:uiPriority w:val="0"/>
    <w:pPr>
      <w:widowControl/>
      <w:pBdr>
        <w:top w:val="single" w:color="auto" w:sz="8" w:space="0"/>
        <w:left w:val="single" w:color="auto" w:sz="8" w:space="0"/>
        <w:right w:val="single" w:color="auto" w:sz="12" w:space="0"/>
      </w:pBdr>
      <w:spacing w:before="100" w:beforeAutospacing="1" w:after="100" w:afterAutospacing="1"/>
      <w:jc w:val="center"/>
    </w:pPr>
    <w:rPr>
      <w:rFonts w:ascii="Times New Roman" w:hAnsi="Times New Roman"/>
      <w:kern w:val="0"/>
    </w:rPr>
  </w:style>
  <w:style w:type="paragraph" w:customStyle="1" w:styleId="136">
    <w:name w:val="表头"/>
    <w:basedOn w:val="1"/>
    <w:next w:val="1"/>
    <w:uiPriority w:val="0"/>
    <w:pPr>
      <w:tabs>
        <w:tab w:val="left" w:pos="1021"/>
      </w:tabs>
      <w:spacing w:line="420" w:lineRule="exact"/>
      <w:jc w:val="center"/>
    </w:pPr>
    <w:rPr>
      <w:rFonts w:ascii="Times New Roman" w:hAnsi="Times New Roman"/>
      <w:sz w:val="24"/>
      <w:szCs w:val="24"/>
      <w:lang/>
    </w:rPr>
  </w:style>
  <w:style w:type="paragraph" w:customStyle="1" w:styleId="137">
    <w:name w:val="Char1"/>
    <w:basedOn w:val="1"/>
    <w:uiPriority w:val="0"/>
    <w:pPr>
      <w:keepNext/>
      <w:keepLines/>
      <w:tabs>
        <w:tab w:val="left" w:pos="2160"/>
      </w:tabs>
      <w:adjustRightInd w:val="0"/>
      <w:snapToGrid w:val="0"/>
      <w:spacing w:before="120" w:after="120" w:line="360" w:lineRule="auto"/>
      <w:ind w:left="2160" w:hanging="420"/>
      <w:outlineLvl w:val="3"/>
    </w:pPr>
    <w:rPr>
      <w:rFonts w:ascii="Times New Roman" w:hAnsi="Times New Roman"/>
      <w:szCs w:val="24"/>
    </w:rPr>
  </w:style>
  <w:style w:type="paragraph" w:customStyle="1" w:styleId="138">
    <w:name w:val="xl80"/>
    <w:basedOn w:val="1"/>
    <w:uiPriority w:val="0"/>
    <w:pPr>
      <w:widowControl/>
      <w:pBdr>
        <w:top w:val="single" w:color="auto" w:sz="12" w:space="0"/>
        <w:bottom w:val="single" w:color="auto" w:sz="8" w:space="0"/>
      </w:pBdr>
      <w:spacing w:before="100" w:beforeAutospacing="1" w:after="100" w:afterAutospacing="1"/>
      <w:jc w:val="center"/>
    </w:pPr>
    <w:rPr>
      <w:rFonts w:ascii="宋体" w:hAnsi="宋体" w:cs="宋体"/>
      <w:kern w:val="0"/>
    </w:rPr>
  </w:style>
  <w:style w:type="paragraph" w:customStyle="1" w:styleId="139">
    <w:name w:val="表头 Char"/>
    <w:basedOn w:val="1"/>
    <w:uiPriority w:val="0"/>
    <w:pPr>
      <w:tabs>
        <w:tab w:val="left" w:pos="1021"/>
      </w:tabs>
      <w:spacing w:line="360" w:lineRule="auto"/>
      <w:jc w:val="center"/>
    </w:pPr>
    <w:rPr>
      <w:rFonts w:ascii="Times New Roman" w:hAnsi="Times New Roman"/>
      <w:bCs/>
      <w:kern w:val="24"/>
      <w:sz w:val="24"/>
      <w:szCs w:val="24"/>
      <w:lang/>
    </w:rPr>
  </w:style>
  <w:style w:type="paragraph" w:customStyle="1" w:styleId="140">
    <w:name w:val="xl95"/>
    <w:basedOn w:val="1"/>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color w:val="FF0000"/>
      <w:kern w:val="0"/>
    </w:rPr>
  </w:style>
  <w:style w:type="paragraph" w:customStyle="1" w:styleId="141">
    <w:name w:val="xl67"/>
    <w:basedOn w:val="1"/>
    <w:uiPriority w:val="0"/>
    <w:pPr>
      <w:widowControl/>
      <w:pBdr>
        <w:bottom w:val="single" w:color="auto" w:sz="8" w:space="0"/>
        <w:right w:val="single" w:color="auto" w:sz="8" w:space="0"/>
      </w:pBdr>
      <w:spacing w:before="100" w:beforeAutospacing="1" w:after="100" w:afterAutospacing="1"/>
      <w:jc w:val="center"/>
    </w:pPr>
    <w:rPr>
      <w:rFonts w:cs="宋体"/>
      <w:kern w:val="0"/>
    </w:rPr>
  </w:style>
  <w:style w:type="paragraph" w:customStyle="1" w:styleId="142">
    <w:name w:val="xl29"/>
    <w:basedOn w:val="1"/>
    <w:semiHidden/>
    <w:uiPriority w:val="0"/>
    <w:pPr>
      <w:widowControl/>
      <w:pBdr>
        <w:left w:val="single" w:color="auto" w:sz="4" w:space="0"/>
        <w:bottom w:val="single" w:color="auto" w:sz="4" w:space="0"/>
        <w:right w:val="single" w:color="auto" w:sz="4" w:space="0"/>
      </w:pBdr>
      <w:shd w:val="clear" w:color="auto" w:fill="FFFFFF"/>
      <w:adjustRightInd w:val="0"/>
      <w:spacing w:before="100" w:beforeAutospacing="1" w:after="100" w:afterAutospacing="1"/>
      <w:jc w:val="center"/>
      <w:textAlignment w:val="center"/>
    </w:pPr>
    <w:rPr>
      <w:rFonts w:ascii="Times New Roman" w:hAnsi="Times New Roman"/>
      <w:color w:val="000000"/>
      <w:w w:val="80"/>
      <w:kern w:val="0"/>
      <w:sz w:val="18"/>
      <w:szCs w:val="18"/>
    </w:rPr>
  </w:style>
  <w:style w:type="paragraph" w:customStyle="1" w:styleId="143">
    <w:name w:val="xl78"/>
    <w:basedOn w:val="1"/>
    <w:uiPriority w:val="0"/>
    <w:pPr>
      <w:widowControl/>
      <w:pBdr>
        <w:top w:val="single" w:color="auto" w:sz="12" w:space="0"/>
        <w:left w:val="single" w:color="auto" w:sz="8" w:space="0"/>
      </w:pBdr>
      <w:spacing w:before="100" w:beforeAutospacing="1" w:after="100" w:afterAutospacing="1"/>
      <w:jc w:val="center"/>
    </w:pPr>
    <w:rPr>
      <w:rFonts w:ascii="宋体" w:hAnsi="宋体" w:cs="宋体"/>
      <w:kern w:val="0"/>
    </w:rPr>
  </w:style>
  <w:style w:type="paragraph" w:customStyle="1" w:styleId="144">
    <w:name w:val="xl81"/>
    <w:basedOn w:val="1"/>
    <w:uiPriority w:val="0"/>
    <w:pPr>
      <w:widowControl/>
      <w:pBdr>
        <w:top w:val="single" w:color="auto" w:sz="12" w:space="0"/>
        <w:left w:val="single" w:color="auto" w:sz="8" w:space="0"/>
        <w:bottom w:val="single" w:color="auto" w:sz="8" w:space="0"/>
      </w:pBdr>
      <w:spacing w:before="100" w:beforeAutospacing="1" w:after="100" w:afterAutospacing="1"/>
      <w:jc w:val="center"/>
    </w:pPr>
    <w:rPr>
      <w:rFonts w:ascii="宋体" w:hAnsi="宋体" w:cs="宋体"/>
      <w:kern w:val="0"/>
    </w:rPr>
  </w:style>
  <w:style w:type="paragraph" w:customStyle="1" w:styleId="145">
    <w:name w:val="xl86"/>
    <w:basedOn w:val="1"/>
    <w:uiPriority w:val="0"/>
    <w:pPr>
      <w:widowControl/>
      <w:pBdr>
        <w:left w:val="single" w:color="auto" w:sz="8" w:space="0"/>
        <w:bottom w:val="single" w:color="auto" w:sz="8" w:space="0"/>
        <w:right w:val="single" w:color="auto" w:sz="12" w:space="0"/>
      </w:pBdr>
      <w:spacing w:before="100" w:beforeAutospacing="1" w:after="100" w:afterAutospacing="1"/>
      <w:jc w:val="center"/>
    </w:pPr>
    <w:rPr>
      <w:rFonts w:ascii="宋体" w:hAnsi="宋体" w:cs="宋体"/>
      <w:kern w:val="0"/>
    </w:rPr>
  </w:style>
  <w:style w:type="paragraph" w:customStyle="1" w:styleId="146">
    <w:name w:val="Body Text Indent 2"/>
    <w:basedOn w:val="1"/>
    <w:uiPriority w:val="0"/>
    <w:pPr>
      <w:adjustRightInd w:val="0"/>
      <w:ind w:firstLine="600"/>
      <w:textAlignment w:val="baseline"/>
    </w:pPr>
    <w:rPr>
      <w:rFonts w:ascii="Times New Roman" w:hAnsi="Times New Roman" w:eastAsia="仿宋_GB2312"/>
      <w:w w:val="80"/>
      <w:kern w:val="24"/>
      <w:sz w:val="28"/>
      <w:szCs w:val="20"/>
    </w:rPr>
  </w:style>
  <w:style w:type="paragraph" w:customStyle="1" w:styleId="147">
    <w:name w:val="xl97"/>
    <w:basedOn w:val="1"/>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color w:val="FF0000"/>
      <w:kern w:val="0"/>
    </w:rPr>
  </w:style>
  <w:style w:type="paragraph" w:customStyle="1" w:styleId="148">
    <w:name w:val="xl89"/>
    <w:basedOn w:val="1"/>
    <w:uiPriority w:val="0"/>
    <w:pPr>
      <w:widowControl/>
      <w:pBdr>
        <w:left w:val="single" w:color="auto" w:sz="12" w:space="0"/>
        <w:bottom w:val="single" w:color="auto" w:sz="8" w:space="0"/>
        <w:right w:val="single" w:color="auto" w:sz="8" w:space="0"/>
      </w:pBdr>
      <w:spacing w:before="100" w:beforeAutospacing="1" w:after="100" w:afterAutospacing="1"/>
      <w:jc w:val="center"/>
    </w:pPr>
    <w:rPr>
      <w:rFonts w:ascii="Times New Roman" w:hAnsi="Times New Roman"/>
      <w:kern w:val="0"/>
    </w:rPr>
  </w:style>
  <w:style w:type="paragraph" w:customStyle="1" w:styleId="149">
    <w:name w:val="xl82"/>
    <w:basedOn w:val="1"/>
    <w:uiPriority w:val="0"/>
    <w:pPr>
      <w:widowControl/>
      <w:pBdr>
        <w:top w:val="single" w:color="auto" w:sz="12" w:space="0"/>
        <w:bottom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50">
    <w:name w:val="xl77"/>
    <w:basedOn w:val="1"/>
    <w:uiPriority w:val="0"/>
    <w:pPr>
      <w:widowControl/>
      <w:pBdr>
        <w:left w:val="single" w:color="auto" w:sz="12" w:space="0"/>
        <w:bottom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51">
    <w:name w:val="图表头"/>
    <w:basedOn w:val="1"/>
    <w:uiPriority w:val="0"/>
    <w:pPr>
      <w:adjustRightInd w:val="0"/>
      <w:spacing w:line="360" w:lineRule="auto"/>
      <w:jc w:val="center"/>
      <w:textAlignment w:val="baseline"/>
    </w:pPr>
    <w:rPr>
      <w:rFonts w:ascii="黑体" w:hAnsi="Times New Roman" w:eastAsia="黑体"/>
      <w:spacing w:val="5"/>
      <w:kern w:val="0"/>
      <w:szCs w:val="20"/>
    </w:rPr>
  </w:style>
  <w:style w:type="paragraph" w:customStyle="1" w:styleId="152">
    <w:name w:val=" Char"/>
    <w:basedOn w:val="1"/>
    <w:uiPriority w:val="0"/>
    <w:pPr>
      <w:spacing w:line="360" w:lineRule="auto"/>
      <w:ind w:firstLine="200" w:firstLineChars="200"/>
    </w:pPr>
    <w:rPr>
      <w:rFonts w:ascii="宋体" w:hAnsi="宋体" w:cs="宋体"/>
      <w:sz w:val="24"/>
      <w:szCs w:val="24"/>
    </w:rPr>
  </w:style>
  <w:style w:type="paragraph" w:customStyle="1" w:styleId="153">
    <w:name w:val="Normal"/>
    <w:uiPriority w:val="0"/>
    <w:pPr>
      <w:jc w:val="both"/>
    </w:pPr>
    <w:rPr>
      <w:rFonts w:ascii="Times New Roman" w:hAnsi="Times New Roman"/>
      <w:kern w:val="2"/>
      <w:sz w:val="21"/>
      <w:szCs w:val="21"/>
      <w:lang w:val="en-US" w:eastAsia="zh-CN" w:bidi="ar-SA"/>
    </w:rPr>
  </w:style>
  <w:style w:type="paragraph" w:customStyle="1" w:styleId="154">
    <w:name w:val="xl94"/>
    <w:basedOn w:val="1"/>
    <w:uiPriority w:val="0"/>
    <w:pPr>
      <w:widowControl/>
      <w:pBdr>
        <w:left w:val="single" w:color="auto" w:sz="8" w:space="0"/>
        <w:bottom w:val="single" w:color="auto" w:sz="8" w:space="0"/>
        <w:right w:val="single" w:color="auto" w:sz="12" w:space="0"/>
      </w:pBdr>
      <w:spacing w:before="100" w:beforeAutospacing="1" w:after="100" w:afterAutospacing="1"/>
      <w:jc w:val="center"/>
    </w:pPr>
    <w:rPr>
      <w:rFonts w:ascii="Times New Roman" w:hAnsi="Times New Roman"/>
      <w:kern w:val="0"/>
    </w:rPr>
  </w:style>
  <w:style w:type="paragraph" w:customStyle="1" w:styleId="155">
    <w:name w:val="CM8"/>
    <w:basedOn w:val="1"/>
    <w:next w:val="1"/>
    <w:uiPriority w:val="0"/>
    <w:pPr>
      <w:autoSpaceDE w:val="0"/>
      <w:autoSpaceDN w:val="0"/>
      <w:adjustRightInd w:val="0"/>
      <w:spacing w:line="468" w:lineRule="atLeast"/>
      <w:jc w:val="left"/>
    </w:pPr>
    <w:rPr>
      <w:rFonts w:ascii="Sim Sun+ 2" w:eastAsia="Sim Sun+ 2"/>
      <w:kern w:val="0"/>
      <w:sz w:val="24"/>
      <w:szCs w:val="24"/>
    </w:rPr>
  </w:style>
  <w:style w:type="paragraph" w:customStyle="1" w:styleId="156">
    <w:name w:val="Char5"/>
    <w:basedOn w:val="1"/>
    <w:uiPriority w:val="0"/>
    <w:pPr>
      <w:spacing w:line="360" w:lineRule="auto"/>
      <w:ind w:firstLine="200" w:firstLineChars="200"/>
    </w:pPr>
    <w:rPr>
      <w:rFonts w:ascii="宋体" w:hAnsi="宋体" w:eastAsia="Times New Roman"/>
      <w:kern w:val="0"/>
      <w:sz w:val="20"/>
      <w:lang/>
    </w:rPr>
  </w:style>
  <w:style w:type="paragraph" w:customStyle="1" w:styleId="157">
    <w:name w:val="xl72"/>
    <w:basedOn w:val="1"/>
    <w:uiPriority w:val="0"/>
    <w:pPr>
      <w:widowControl/>
      <w:pBdr>
        <w:top w:val="single" w:color="auto" w:sz="12" w:space="0"/>
        <w:right w:val="single" w:color="auto" w:sz="8" w:space="0"/>
      </w:pBdr>
      <w:spacing w:before="100" w:beforeAutospacing="1" w:after="100" w:afterAutospacing="1"/>
      <w:jc w:val="center"/>
    </w:pPr>
    <w:rPr>
      <w:rFonts w:ascii="宋体" w:hAnsi="宋体" w:cs="宋体"/>
      <w:kern w:val="0"/>
    </w:rPr>
  </w:style>
  <w:style w:type="paragraph" w:customStyle="1" w:styleId="158">
    <w:name w:val="样式 (西文) 楷体_GB2312 (中文) 楷体_GB2312 (符号) 宋体 小四 首行缩进:  0.8 厘米 行..."/>
    <w:basedOn w:val="1"/>
    <w:uiPriority w:val="0"/>
    <w:pPr>
      <w:adjustRightInd w:val="0"/>
      <w:snapToGrid w:val="0"/>
      <w:spacing w:line="288" w:lineRule="auto"/>
      <w:jc w:val="center"/>
    </w:pPr>
    <w:rPr>
      <w:rFonts w:ascii="Times New Roman" w:hAnsi="Times New Roman"/>
    </w:rPr>
  </w:style>
  <w:style w:type="paragraph" w:customStyle="1" w:styleId="159">
    <w:name w:val="xl83"/>
    <w:basedOn w:val="1"/>
    <w:uiPriority w:val="0"/>
    <w:pPr>
      <w:widowControl/>
      <w:pBdr>
        <w:top w:val="single" w:color="auto" w:sz="12" w:space="0"/>
        <w:left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60">
    <w:name w:val="xl71"/>
    <w:basedOn w:val="1"/>
    <w:uiPriority w:val="0"/>
    <w:pPr>
      <w:widowControl/>
      <w:pBdr>
        <w:left w:val="single" w:color="auto" w:sz="12" w:space="0"/>
        <w:bottom w:val="single" w:color="auto" w:sz="12" w:space="0"/>
        <w:right w:val="single" w:color="auto" w:sz="8" w:space="0"/>
      </w:pBdr>
      <w:spacing w:before="100" w:beforeAutospacing="1" w:after="100" w:afterAutospacing="1"/>
      <w:jc w:val="center"/>
    </w:pPr>
    <w:rPr>
      <w:rFonts w:ascii="Times New Roman" w:hAnsi="Times New Roman"/>
      <w:kern w:val="0"/>
    </w:rPr>
  </w:style>
  <w:style w:type="paragraph" w:customStyle="1" w:styleId="161">
    <w:name w:val="表文"/>
    <w:basedOn w:val="1"/>
    <w:uiPriority w:val="0"/>
    <w:pPr>
      <w:tabs>
        <w:tab w:val="left" w:pos="1021"/>
      </w:tabs>
      <w:spacing w:line="300" w:lineRule="auto"/>
      <w:ind w:left="368" w:leftChars="175"/>
      <w:jc w:val="center"/>
    </w:pPr>
    <w:rPr>
      <w:rFonts w:ascii="Times New Roman" w:hAnsi="Times New Roman"/>
      <w:spacing w:val="-2"/>
      <w:lang/>
    </w:rPr>
  </w:style>
  <w:style w:type="paragraph" w:customStyle="1" w:styleId="162">
    <w:name w:val="xl85"/>
    <w:basedOn w:val="1"/>
    <w:uiPriority w:val="0"/>
    <w:pPr>
      <w:widowControl/>
      <w:pBdr>
        <w:top w:val="single" w:color="auto" w:sz="12" w:space="0"/>
        <w:left w:val="single" w:color="auto" w:sz="8" w:space="0"/>
        <w:right w:val="single" w:color="auto" w:sz="12" w:space="0"/>
      </w:pBdr>
      <w:spacing w:before="100" w:beforeAutospacing="1" w:after="100" w:afterAutospacing="1"/>
      <w:jc w:val="center"/>
    </w:pPr>
    <w:rPr>
      <w:rFonts w:ascii="宋体" w:hAnsi="宋体" w:cs="宋体"/>
      <w:kern w:val="0"/>
    </w:rPr>
  </w:style>
  <w:style w:type="paragraph" w:customStyle="1" w:styleId="163">
    <w:name w:val="正文 New"/>
    <w:uiPriority w:val="0"/>
    <w:pPr>
      <w:widowControl w:val="0"/>
      <w:adjustRightInd w:val="0"/>
      <w:spacing w:line="360" w:lineRule="auto"/>
      <w:ind w:firstLine="200" w:firstLineChars="200"/>
      <w:textAlignment w:val="baseline"/>
    </w:pPr>
    <w:rPr>
      <w:rFonts w:ascii="Times New Roman" w:hAnsi="Times New Roman"/>
      <w:sz w:val="24"/>
      <w:lang w:val="en-US" w:eastAsia="zh-CN" w:bidi="ar-SA"/>
    </w:rPr>
  </w:style>
  <w:style w:type="paragraph" w:styleId="164">
    <w:name w:val="No Spacing"/>
    <w:qFormat/>
    <w:uiPriority w:val="1"/>
    <w:pPr>
      <w:widowControl w:val="0"/>
      <w:jc w:val="both"/>
    </w:pPr>
    <w:rPr>
      <w:kern w:val="2"/>
      <w:sz w:val="21"/>
      <w:szCs w:val="21"/>
      <w:lang w:val="en-US" w:eastAsia="zh-CN" w:bidi="ar-SA"/>
    </w:rPr>
  </w:style>
  <w:style w:type="paragraph" w:customStyle="1" w:styleId="165">
    <w:name w:val="正文文字"/>
    <w:uiPriority w:val="0"/>
    <w:pPr>
      <w:adjustRightInd w:val="0"/>
      <w:snapToGrid w:val="0"/>
      <w:spacing w:line="480" w:lineRule="exact"/>
      <w:ind w:firstLine="200"/>
    </w:pPr>
    <w:rPr>
      <w:rFonts w:ascii="Times New Roman" w:hAnsi="Times New Roman"/>
      <w:kern w:val="2"/>
      <w:sz w:val="24"/>
      <w:szCs w:val="24"/>
      <w:lang w:val="en-US" w:eastAsia="zh-CN" w:bidi="ar-SA"/>
    </w:rPr>
  </w:style>
  <w:style w:type="paragraph" w:customStyle="1" w:styleId="166">
    <w:name w:val="xl76"/>
    <w:basedOn w:val="1"/>
    <w:uiPriority w:val="0"/>
    <w:pPr>
      <w:widowControl/>
      <w:pBdr>
        <w:top w:val="single" w:color="auto" w:sz="12" w:space="0"/>
        <w:left w:val="single" w:color="auto" w:sz="12" w:space="0"/>
        <w:right w:val="single" w:color="auto" w:sz="8" w:space="0"/>
      </w:pBdr>
      <w:spacing w:before="100" w:beforeAutospacing="1" w:after="100" w:afterAutospacing="1"/>
      <w:jc w:val="center"/>
    </w:pPr>
    <w:rPr>
      <w:rFonts w:ascii="宋体" w:hAnsi="宋体" w:cs="宋体"/>
      <w:kern w:val="0"/>
    </w:rPr>
  </w:style>
  <w:style w:type="paragraph" w:customStyle="1" w:styleId="167">
    <w:name w:val="xl98"/>
    <w:basedOn w:val="1"/>
    <w:uiPriority w:val="0"/>
    <w:pPr>
      <w:widowControl/>
      <w:pBdr>
        <w:left w:val="single" w:color="auto" w:sz="8" w:space="0"/>
        <w:bottom w:val="single" w:color="auto" w:sz="12" w:space="0"/>
        <w:right w:val="single" w:color="auto" w:sz="8" w:space="0"/>
      </w:pBdr>
      <w:spacing w:before="100" w:beforeAutospacing="1" w:after="100" w:afterAutospacing="1"/>
      <w:jc w:val="center"/>
    </w:pPr>
    <w:rPr>
      <w:rFonts w:ascii="宋体" w:hAnsi="宋体" w:cs="宋体"/>
      <w:kern w:val="0"/>
    </w:rPr>
  </w:style>
  <w:style w:type="paragraph" w:customStyle="1" w:styleId="168">
    <w:name w:val="xl65"/>
    <w:basedOn w:val="1"/>
    <w:uiPriority w:val="0"/>
    <w:pPr>
      <w:widowControl/>
      <w:pBdr>
        <w:bottom w:val="single" w:color="auto" w:sz="8" w:space="0"/>
        <w:right w:val="single" w:color="auto" w:sz="8" w:space="0"/>
      </w:pBdr>
      <w:spacing w:before="100" w:beforeAutospacing="1" w:after="100" w:afterAutospacing="1"/>
      <w:jc w:val="center"/>
    </w:pPr>
    <w:rPr>
      <w:rFonts w:ascii="Times New Roman" w:hAnsi="Times New Roman"/>
      <w:kern w:val="0"/>
    </w:rPr>
  </w:style>
  <w:style w:type="paragraph" w:customStyle="1" w:styleId="169">
    <w:name w:val="页眉 New"/>
    <w:basedOn w:val="163"/>
    <w:uiPriority w:val="0"/>
    <w:pPr>
      <w:pBdr>
        <w:bottom w:val="single" w:color="auto" w:sz="6" w:space="1"/>
      </w:pBdr>
      <w:tabs>
        <w:tab w:val="center" w:pos="4153"/>
        <w:tab w:val="right" w:pos="8306"/>
      </w:tabs>
      <w:snapToGrid w:val="0"/>
      <w:jc w:val="center"/>
    </w:pPr>
    <w:rPr>
      <w:rFonts w:eastAsia="行书体"/>
    </w:rPr>
  </w:style>
  <w:style w:type="paragraph" w:customStyle="1" w:styleId="170">
    <w:name w:val="xl74"/>
    <w:basedOn w:val="1"/>
    <w:uiPriority w:val="0"/>
    <w:pPr>
      <w:widowControl/>
      <w:pBdr>
        <w:bottom w:val="single" w:color="auto" w:sz="8" w:space="0"/>
        <w:right w:val="single" w:color="auto" w:sz="8" w:space="0"/>
      </w:pBdr>
      <w:spacing w:before="100" w:beforeAutospacing="1" w:after="100" w:afterAutospacing="1"/>
      <w:jc w:val="center"/>
    </w:pPr>
    <w:rPr>
      <w:rFonts w:cs="宋体"/>
      <w:color w:val="FF0000"/>
      <w:kern w:val="0"/>
    </w:rPr>
  </w:style>
  <w:style w:type="paragraph" w:customStyle="1" w:styleId="171">
    <w:name w:val="xl90"/>
    <w:basedOn w:val="1"/>
    <w:uiPriority w:val="0"/>
    <w:pPr>
      <w:widowControl/>
      <w:pBdr>
        <w:top w:val="single" w:color="auto" w:sz="8" w:space="0"/>
        <w:left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72">
    <w:name w:val="报告书正文"/>
    <w:basedOn w:val="1"/>
    <w:uiPriority w:val="0"/>
    <w:pPr>
      <w:spacing w:line="300" w:lineRule="auto"/>
      <w:ind w:firstLine="200" w:firstLineChars="200"/>
    </w:pPr>
    <w:rPr>
      <w:rFonts w:ascii="Times New Roman" w:hAnsi="Times New Roman"/>
      <w:sz w:val="24"/>
      <w:szCs w:val="20"/>
    </w:rPr>
  </w:style>
  <w:style w:type="paragraph" w:customStyle="1" w:styleId="173">
    <w:name w:val="报告书"/>
    <w:uiPriority w:val="0"/>
    <w:pPr>
      <w:spacing w:line="300" w:lineRule="auto"/>
      <w:ind w:firstLine="480" w:firstLineChars="200"/>
      <w:jc w:val="both"/>
    </w:pPr>
    <w:rPr>
      <w:rFonts w:ascii="Times New Roman" w:hAnsi="Times New Roman"/>
      <w:kern w:val="2"/>
      <w:lang w:val="en-US" w:eastAsia="zh-CN" w:bidi="ar-SA"/>
    </w:rPr>
  </w:style>
  <w:style w:type="paragraph" w:customStyle="1" w:styleId="174">
    <w:name w:val="xl84"/>
    <w:basedOn w:val="1"/>
    <w:uiPriority w:val="0"/>
    <w:pPr>
      <w:widowControl/>
      <w:pBdr>
        <w:left w:val="single" w:color="auto" w:sz="8" w:space="0"/>
        <w:bottom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75">
    <w:name w:val="表尾"/>
    <w:basedOn w:val="1"/>
    <w:uiPriority w:val="0"/>
    <w:pPr>
      <w:tabs>
        <w:tab w:val="left" w:pos="1021"/>
      </w:tabs>
      <w:spacing w:line="160" w:lineRule="atLeast"/>
    </w:pPr>
    <w:rPr>
      <w:rFonts w:ascii="Times New Roman" w:hAnsi="Times New Roman"/>
      <w:sz w:val="10"/>
      <w:szCs w:val="20"/>
      <w:lang/>
    </w:rPr>
  </w:style>
  <w:style w:type="paragraph" w:customStyle="1" w:styleId="176">
    <w:name w:val="Char Char Char Char Char Char Char Char Char Char Char Char Char Char Char Char Char Char Char"/>
    <w:basedOn w:val="1"/>
    <w:uiPriority w:val="0"/>
    <w:pPr>
      <w:tabs>
        <w:tab w:val="left" w:pos="907"/>
      </w:tabs>
      <w:ind w:left="907" w:hanging="453"/>
    </w:pPr>
    <w:rPr>
      <w:rFonts w:ascii="Times New Roman" w:hAnsi="Times New Roman"/>
      <w:sz w:val="24"/>
      <w:szCs w:val="24"/>
    </w:rPr>
  </w:style>
  <w:style w:type="paragraph" w:customStyle="1" w:styleId="177">
    <w:name w:val="xl68"/>
    <w:basedOn w:val="1"/>
    <w:uiPriority w:val="0"/>
    <w:pPr>
      <w:widowControl/>
      <w:pBdr>
        <w:bottom w:val="single" w:color="auto" w:sz="8" w:space="0"/>
        <w:right w:val="single" w:color="auto" w:sz="8" w:space="0"/>
      </w:pBdr>
      <w:spacing w:before="100" w:beforeAutospacing="1" w:after="100" w:afterAutospacing="1"/>
      <w:jc w:val="center"/>
    </w:pPr>
    <w:rPr>
      <w:rFonts w:ascii="Times New Roman" w:hAnsi="Times New Roman"/>
      <w:color w:val="000000"/>
      <w:kern w:val="0"/>
    </w:rPr>
  </w:style>
  <w:style w:type="paragraph" w:customStyle="1" w:styleId="178">
    <w:name w:val="Table Paragraph"/>
    <w:basedOn w:val="1"/>
    <w:qFormat/>
    <w:uiPriority w:val="1"/>
    <w:pPr>
      <w:jc w:val="left"/>
    </w:pPr>
    <w:rPr>
      <w:rFonts w:ascii="Calibri" w:hAnsi="Calibri" w:eastAsia="宋体" w:cs="Times New Roman"/>
      <w:kern w:val="0"/>
      <w:sz w:val="22"/>
      <w:szCs w:val="22"/>
      <w:lang w:eastAsia="en-US"/>
    </w:rPr>
  </w:style>
  <w:style w:type="paragraph" w:customStyle="1" w:styleId="179">
    <w:name w:val="特殊标题３"/>
    <w:basedOn w:val="1"/>
    <w:uiPriority w:val="0"/>
    <w:pPr>
      <w:overflowPunct w:val="0"/>
      <w:autoSpaceDE w:val="0"/>
      <w:autoSpaceDN w:val="0"/>
      <w:adjustRightInd w:val="0"/>
      <w:spacing w:line="360" w:lineRule="auto"/>
      <w:textAlignment w:val="baseline"/>
    </w:pPr>
    <w:rPr>
      <w:rFonts w:ascii="Times New Roman" w:hAnsi="Times New Roman" w:eastAsia="仿宋_GB2312"/>
      <w:kern w:val="0"/>
      <w:sz w:val="28"/>
      <w:szCs w:val="20"/>
    </w:rPr>
  </w:style>
  <w:style w:type="paragraph" w:customStyle="1" w:styleId="180">
    <w:name w:val=" Char2 Char Char"/>
    <w:basedOn w:val="4"/>
    <w:uiPriority w:val="0"/>
    <w:pPr>
      <w:numPr>
        <w:ilvl w:val="0"/>
        <w:numId w:val="0"/>
      </w:numPr>
      <w:tabs>
        <w:tab w:val="left" w:pos="360"/>
        <w:tab w:val="left" w:pos="900"/>
      </w:tabs>
      <w:adjustRightInd/>
      <w:spacing w:before="120" w:after="120"/>
      <w:ind w:left="542" w:leftChars="-12" w:firstLine="200" w:firstLineChars="200"/>
      <w:jc w:val="left"/>
    </w:pPr>
    <w:rPr>
      <w:b/>
      <w:sz w:val="32"/>
      <w:lang w:val="en-US" w:eastAsia="zh-CN"/>
    </w:rPr>
  </w:style>
  <w:style w:type="paragraph" w:customStyle="1" w:styleId="181">
    <w:name w:val="xl66"/>
    <w:basedOn w:val="1"/>
    <w:uiPriority w:val="0"/>
    <w:pPr>
      <w:widowControl/>
      <w:pBdr>
        <w:bottom w:val="single" w:color="auto" w:sz="12" w:space="0"/>
        <w:right w:val="single" w:color="auto" w:sz="8" w:space="0"/>
      </w:pBdr>
      <w:spacing w:before="100" w:beforeAutospacing="1" w:after="100" w:afterAutospacing="1"/>
      <w:jc w:val="center"/>
    </w:pPr>
    <w:rPr>
      <w:rFonts w:ascii="Times New Roman" w:hAnsi="Times New Roman"/>
      <w:kern w:val="0"/>
    </w:rPr>
  </w:style>
  <w:style w:type="paragraph" w:customStyle="1" w:styleId="182">
    <w:name w:val="Char"/>
    <w:basedOn w:val="1"/>
    <w:uiPriority w:val="0"/>
    <w:pPr>
      <w:spacing w:line="360" w:lineRule="auto"/>
      <w:ind w:firstLine="200" w:firstLineChars="200"/>
    </w:pPr>
    <w:rPr>
      <w:rFonts w:ascii="宋体" w:hAnsi="宋体" w:cs="宋体"/>
      <w:sz w:val="24"/>
      <w:szCs w:val="24"/>
    </w:rPr>
  </w:style>
  <w:style w:type="paragraph" w:customStyle="1" w:styleId="183">
    <w:name w:val="xl73"/>
    <w:basedOn w:val="1"/>
    <w:uiPriority w:val="0"/>
    <w:pPr>
      <w:widowControl/>
      <w:pBdr>
        <w:bottom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84">
    <w:name w:val="xl93"/>
    <w:basedOn w:val="1"/>
    <w:uiPriority w:val="0"/>
    <w:pPr>
      <w:widowControl/>
      <w:pBdr>
        <w:left w:val="single" w:color="auto" w:sz="8" w:space="0"/>
        <w:right w:val="single" w:color="auto" w:sz="12" w:space="0"/>
      </w:pBdr>
      <w:spacing w:before="100" w:beforeAutospacing="1" w:after="100" w:afterAutospacing="1"/>
      <w:jc w:val="center"/>
    </w:pPr>
    <w:rPr>
      <w:rFonts w:ascii="Times New Roman" w:hAnsi="Times New Roman"/>
      <w:kern w:val="0"/>
    </w:rPr>
  </w:style>
  <w:style w:type="paragraph" w:customStyle="1" w:styleId="185">
    <w:name w:val="表标题"/>
    <w:basedOn w:val="1"/>
    <w:next w:val="186"/>
    <w:uiPriority w:val="0"/>
    <w:pPr>
      <w:keepNext w:val="0"/>
      <w:keepLines w:val="0"/>
      <w:widowControl w:val="0"/>
      <w:suppressLineNumbers w:val="0"/>
      <w:spacing w:before="0" w:beforeAutospacing="0" w:after="0" w:afterAutospacing="0" w:line="312" w:lineRule="auto"/>
      <w:ind w:left="0" w:right="0"/>
      <w:jc w:val="center"/>
    </w:pPr>
    <w:rPr>
      <w:rFonts w:hint="default" w:ascii="Times New Roman" w:hAnsi="Times New Roman" w:eastAsia="仿宋_GB2312" w:cs="Times New Roman"/>
      <w:kern w:val="2"/>
      <w:sz w:val="28"/>
      <w:szCs w:val="28"/>
      <w:lang w:val="en-US" w:eastAsia="zh-CN" w:bidi="ar"/>
    </w:rPr>
  </w:style>
  <w:style w:type="paragraph" w:customStyle="1" w:styleId="186">
    <w:name w:val="图表正文"/>
    <w:qFormat/>
    <w:uiPriority w:val="6"/>
    <w:pPr>
      <w:spacing w:line="240" w:lineRule="auto"/>
      <w:ind w:firstLine="0"/>
      <w:jc w:val="center"/>
    </w:pPr>
    <w:rPr>
      <w:rFonts w:ascii="Calibri" w:hAnsi="Calibri" w:eastAsia="宋体" w:cs="Times New Roman"/>
      <w:color w:val="000000"/>
      <w:kern w:val="2"/>
      <w:sz w:val="21"/>
      <w:szCs w:val="21"/>
      <w:lang w:val="en-US" w:eastAsia="zh-CN" w:bidi="ar-SA"/>
    </w:rPr>
  </w:style>
  <w:style w:type="paragraph" w:customStyle="1" w:styleId="187">
    <w:name w:val="xl91"/>
    <w:basedOn w:val="1"/>
    <w:uiPriority w:val="0"/>
    <w:pPr>
      <w:widowControl/>
      <w:pBdr>
        <w:left w:val="single" w:color="auto" w:sz="8" w:space="0"/>
        <w:right w:val="single" w:color="auto" w:sz="8" w:space="0"/>
      </w:pBdr>
      <w:spacing w:before="100" w:beforeAutospacing="1" w:after="100" w:afterAutospacing="1"/>
      <w:jc w:val="center"/>
    </w:pPr>
    <w:rPr>
      <w:rFonts w:ascii="宋体" w:hAnsi="宋体" w:cs="宋体"/>
      <w:kern w:val="0"/>
    </w:rPr>
  </w:style>
  <w:style w:type="paragraph" w:customStyle="1" w:styleId="188">
    <w:name w:val="样式6 正文"/>
    <w:basedOn w:val="103"/>
    <w:next w:val="103"/>
    <w:uiPriority w:val="0"/>
    <w:rPr>
      <w:color w:val="auto"/>
    </w:rPr>
  </w:style>
  <w:style w:type="paragraph" w:customStyle="1" w:styleId="189">
    <w:name w:val="xl79"/>
    <w:basedOn w:val="1"/>
    <w:uiPriority w:val="0"/>
    <w:pPr>
      <w:widowControl/>
      <w:pBdr>
        <w:left w:val="single" w:color="auto" w:sz="8" w:space="0"/>
        <w:bottom w:val="single" w:color="auto" w:sz="8" w:space="0"/>
      </w:pBdr>
      <w:spacing w:before="100" w:beforeAutospacing="1" w:after="100" w:afterAutospacing="1"/>
      <w:jc w:val="center"/>
    </w:pPr>
    <w:rPr>
      <w:rFonts w:ascii="宋体" w:hAnsi="宋体" w:cs="宋体"/>
      <w:kern w:val="0"/>
    </w:rPr>
  </w:style>
  <w:style w:type="paragraph" w:customStyle="1" w:styleId="190">
    <w:name w:val="xl87"/>
    <w:basedOn w:val="1"/>
    <w:uiPriority w:val="0"/>
    <w:pPr>
      <w:widowControl/>
      <w:pBdr>
        <w:left w:val="single" w:color="auto" w:sz="12" w:space="0"/>
        <w:right w:val="single" w:color="auto" w:sz="8" w:space="0"/>
      </w:pBdr>
      <w:spacing w:before="100" w:beforeAutospacing="1" w:after="100" w:afterAutospacing="1"/>
      <w:jc w:val="center"/>
    </w:pPr>
    <w:rPr>
      <w:rFonts w:ascii="Times New Roman" w:hAnsi="Times New Roman"/>
      <w:kern w:val="0"/>
    </w:rPr>
  </w:style>
  <w:style w:type="paragraph" w:customStyle="1" w:styleId="191">
    <w:name w:val="标题3，小四黑体，6磅"/>
    <w:basedOn w:val="1"/>
    <w:uiPriority w:val="0"/>
    <w:pPr>
      <w:keepNext/>
      <w:keepLines/>
      <w:spacing w:before="120" w:after="120" w:line="415" w:lineRule="auto"/>
      <w:outlineLvl w:val="2"/>
    </w:pPr>
    <w:rPr>
      <w:rFonts w:ascii="黑体" w:hAnsi="Times New Roman" w:eastAsia="黑体"/>
      <w:b/>
      <w:bCs/>
      <w:sz w:val="24"/>
      <w:szCs w:val="32"/>
    </w:rPr>
  </w:style>
  <w:style w:type="paragraph" w:customStyle="1" w:styleId="192">
    <w:name w:val="一级标题"/>
    <w:basedOn w:val="2"/>
    <w:uiPriority w:val="0"/>
    <w:pPr>
      <w:tabs>
        <w:tab w:val="left" w:pos="432"/>
      </w:tabs>
      <w:adjustRightInd/>
      <w:snapToGrid/>
      <w:spacing w:before="340" w:after="330" w:line="578" w:lineRule="auto"/>
      <w:ind w:firstLine="0"/>
    </w:pPr>
    <w:rPr>
      <w:rFonts w:eastAsia="仿宋_GB2312"/>
      <w:b/>
      <w:sz w:val="44"/>
    </w:rPr>
  </w:style>
  <w:style w:type="paragraph" w:customStyle="1" w:styleId="193">
    <w:name w:val="xl75"/>
    <w:basedOn w:val="1"/>
    <w:uiPriority w:val="0"/>
    <w:pPr>
      <w:widowControl/>
      <w:pBdr>
        <w:bottom w:val="single" w:color="auto" w:sz="12" w:space="0"/>
        <w:right w:val="single" w:color="auto" w:sz="8" w:space="0"/>
      </w:pBdr>
      <w:spacing w:before="100" w:beforeAutospacing="1" w:after="100" w:afterAutospacing="1"/>
      <w:jc w:val="center"/>
    </w:pPr>
    <w:rPr>
      <w:rFonts w:ascii="Times New Roman" w:hAnsi="Times New Roman"/>
      <w:color w:val="FF0000"/>
      <w:kern w:val="0"/>
    </w:rPr>
  </w:style>
  <w:style w:type="paragraph" w:customStyle="1" w:styleId="194">
    <w:name w:val="xl96"/>
    <w:basedOn w:val="1"/>
    <w:uiPriority w:val="0"/>
    <w:pPr>
      <w:widowControl/>
      <w:pBdr>
        <w:left w:val="single" w:color="auto" w:sz="8" w:space="0"/>
        <w:right w:val="single" w:color="auto" w:sz="8" w:space="0"/>
      </w:pBdr>
      <w:spacing w:before="100" w:beforeAutospacing="1" w:after="100" w:afterAutospacing="1"/>
      <w:jc w:val="center"/>
    </w:pPr>
    <w:rPr>
      <w:rFonts w:ascii="宋体" w:hAnsi="宋体" w:cs="宋体"/>
      <w:color w:val="FF0000"/>
      <w:kern w:val="0"/>
    </w:rPr>
  </w:style>
  <w:style w:type="paragraph" w:customStyle="1" w:styleId="195">
    <w:name w:val="样式 段落 + 两端对齐"/>
    <w:basedOn w:val="1"/>
    <w:next w:val="1"/>
    <w:uiPriority w:val="0"/>
    <w:rPr>
      <w:rFonts w:ascii="Times New Roman" w:hAnsi="Times New Roman"/>
      <w:szCs w:val="24"/>
    </w:rPr>
  </w:style>
  <w:style w:type="paragraph" w:customStyle="1" w:styleId="196">
    <w:name w:val="居中表格"/>
    <w:basedOn w:val="1"/>
    <w:qFormat/>
    <w:uiPriority w:val="0"/>
    <w:pPr>
      <w:ind w:firstLine="0" w:firstLineChars="0"/>
      <w:jc w:val="center"/>
    </w:pPr>
    <w:rPr>
      <w:snapToGrid w:val="0"/>
      <w:kern w:val="0"/>
      <w:sz w:val="20"/>
      <w:szCs w:val="21"/>
    </w:rPr>
  </w:style>
  <w:style w:type="paragraph" w:customStyle="1" w:styleId="197">
    <w:name w:val="xl99"/>
    <w:basedOn w:val="1"/>
    <w:uiPriority w:val="0"/>
    <w:pPr>
      <w:widowControl/>
      <w:pBdr>
        <w:left w:val="single" w:color="auto" w:sz="8" w:space="0"/>
        <w:bottom w:val="single" w:color="auto" w:sz="12" w:space="0"/>
        <w:right w:val="single" w:color="auto" w:sz="12" w:space="0"/>
      </w:pBdr>
      <w:spacing w:before="100" w:beforeAutospacing="1" w:after="100" w:afterAutospacing="1"/>
      <w:jc w:val="center"/>
    </w:pPr>
    <w:rPr>
      <w:rFonts w:ascii="Times New Roman" w:hAnsi="Times New Roman"/>
      <w:kern w:val="0"/>
    </w:rPr>
  </w:style>
  <w:style w:type="paragraph" w:customStyle="1" w:styleId="198">
    <w:name w:val="正本"/>
    <w:basedOn w:val="1"/>
    <w:uiPriority w:val="0"/>
    <w:pPr>
      <w:adjustRightInd w:val="0"/>
      <w:snapToGrid w:val="0"/>
      <w:spacing w:line="360" w:lineRule="auto"/>
      <w:ind w:firstLine="200" w:firstLineChars="200"/>
    </w:pPr>
    <w:rPr>
      <w:rFonts w:ascii="宋体" w:hAnsi="Times New Roman"/>
      <w:sz w:val="24"/>
      <w:szCs w:val="24"/>
    </w:rPr>
  </w:style>
  <w:style w:type="paragraph" w:customStyle="1" w:styleId="199">
    <w:name w:val="album-div1"/>
    <w:basedOn w:val="1"/>
    <w:uiPriority w:val="0"/>
    <w:pPr>
      <w:widowControl/>
      <w:shd w:val="clear" w:color="auto" w:fill="FFFFFF"/>
      <w:spacing w:before="100" w:beforeAutospacing="1" w:after="100" w:afterAutospacing="1"/>
      <w:jc w:val="left"/>
    </w:pPr>
    <w:rPr>
      <w:rFonts w:ascii="宋体" w:hAnsi="宋体" w:cs="宋体"/>
      <w:kern w:val="0"/>
      <w:sz w:val="24"/>
      <w:szCs w:val="24"/>
    </w:rPr>
  </w:style>
  <w:style w:type="paragraph" w:customStyle="1" w:styleId="200">
    <w:name w:val="表文字"/>
    <w:basedOn w:val="1"/>
    <w:uiPriority w:val="0"/>
    <w:pPr>
      <w:snapToGrid w:val="0"/>
      <w:ind w:hanging="35"/>
      <w:jc w:val="center"/>
    </w:pPr>
    <w:rPr>
      <w:rFonts w:ascii="宋体" w:hAnsi="Times New Roman"/>
      <w:color w:val="000000"/>
      <w:szCs w:val="28"/>
    </w:rPr>
  </w:style>
  <w:style w:type="paragraph" w:customStyle="1" w:styleId="201">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202">
    <w:name w:val="页脚 New"/>
    <w:basedOn w:val="163"/>
    <w:uiPriority w:val="0"/>
    <w:pPr>
      <w:tabs>
        <w:tab w:val="center" w:pos="4153"/>
        <w:tab w:val="right" w:pos="8306"/>
      </w:tabs>
      <w:snapToGrid w:val="0"/>
      <w:spacing w:line="240" w:lineRule="atLeast"/>
    </w:pPr>
    <w:rPr>
      <w:rFonts w:eastAsia="行书体"/>
      <w:sz w:val="18"/>
      <w:szCs w:val="18"/>
    </w:rPr>
  </w:style>
  <w:style w:type="paragraph" w:customStyle="1" w:styleId="203">
    <w:name w:val="表格文字居中"/>
    <w:uiPriority w:val="0"/>
    <w:pPr>
      <w:widowControl w:val="0"/>
      <w:adjustRightInd w:val="0"/>
      <w:snapToGrid w:val="0"/>
      <w:spacing w:line="288" w:lineRule="auto"/>
      <w:jc w:val="center"/>
      <w:textAlignment w:val="baseline"/>
    </w:pPr>
    <w:rPr>
      <w:rFonts w:ascii="宋体" w:hAnsi="Times New Roman"/>
      <w:snapToGrid w:val="0"/>
      <w:kern w:val="24"/>
      <w:sz w:val="24"/>
      <w:lang w:val="en-US" w:eastAsia="zh-CN" w:bidi="ar-SA"/>
    </w:rPr>
  </w:style>
  <w:style w:type="table" w:customStyle="1" w:styleId="204">
    <w:name w:val="Table Normal"/>
    <w:unhideWhenUsed/>
    <w:qFormat/>
    <w:uiPriority w:val="2"/>
    <w:pPr>
      <w:widowControl w:val="0"/>
    </w:pPr>
    <w:rPr>
      <w:sz w:val="22"/>
      <w:szCs w:val="22"/>
      <w:lang w:val="en-US" w:eastAsia="en-US" w:bidi="ar-SA"/>
    </w:rPr>
    <w:tblPr>
      <w:tblStyle w:val="44"/>
      <w:tblCellMar>
        <w:top w:w="0" w:type="dxa"/>
        <w:left w:w="0" w:type="dxa"/>
        <w:bottom w:w="0" w:type="dxa"/>
        <w:right w:w="0" w:type="dxa"/>
      </w:tblCellMar>
    </w:tblPr>
  </w:style>
  <w:style w:type="table" w:customStyle="1" w:styleId="205">
    <w:name w:val="表格"/>
    <w:basedOn w:val="44"/>
    <w:uiPriority w:val="0"/>
    <w:pPr>
      <w:jc w:val="center"/>
    </w:pPr>
    <w:rPr>
      <w:rFonts w:ascii="Times New Roman" w:hAnsi="Times New Roman"/>
      <w:sz w:val="21"/>
    </w:rPr>
    <w:tblPr>
      <w:tblStyle w:val="44"/>
      <w:tblBorders>
        <w:top w:val="single" w:color="auto" w:sz="4" w:space="0"/>
        <w:bottom w:val="single" w:color="auto" w:sz="4" w:space="0"/>
        <w:insideH w:val="single" w:color="auto" w:sz="4" w:space="0"/>
        <w:insideV w:val="single" w:color="auto" w:sz="4" w:space="0"/>
      </w:tblBorders>
    </w:tblPr>
    <w:tcPr>
      <w:vAlign w:val="center"/>
    </w:tcPr>
  </w:style>
  <w:style w:type="paragraph" w:customStyle="1" w:styleId="206">
    <w:name w:val="报告正文"/>
    <w:basedOn w:val="1"/>
    <w:qFormat/>
    <w:uiPriority w:val="0"/>
    <w:pPr>
      <w:widowControl w:val="0"/>
      <w:spacing w:after="0" w:line="300" w:lineRule="auto"/>
      <w:jc w:val="both"/>
    </w:pPr>
    <w:rPr>
      <w:rFonts w:ascii="宋体" w:hAnsi="Times New Roman" w:eastAsia="宋体" w:cs="Times New Roman"/>
      <w:kern w:val="2"/>
      <w:sz w:val="28"/>
      <w:szCs w:val="20"/>
    </w:rPr>
  </w:style>
  <w:style w:type="paragraph" w:customStyle="1" w:styleId="207">
    <w:name w:val="正文首行缩进 2 Char Char Char Char"/>
    <w:basedOn w:val="208"/>
    <w:qFormat/>
    <w:uiPriority w:val="99"/>
    <w:pPr>
      <w:spacing w:line="240" w:lineRule="auto"/>
      <w:ind w:firstLine="420"/>
    </w:pPr>
    <w:rPr>
      <w:sz w:val="21"/>
    </w:rPr>
  </w:style>
  <w:style w:type="paragraph" w:customStyle="1" w:styleId="208">
    <w:name w:val="正文文本缩进 Char Char Char Char"/>
    <w:basedOn w:val="1"/>
    <w:qFormat/>
    <w:uiPriority w:val="0"/>
    <w:pPr>
      <w:spacing w:after="120"/>
      <w:ind w:left="420" w:leftChars="200"/>
    </w:pPr>
  </w:style>
  <w:style w:type="paragraph" w:customStyle="1" w:styleId="209">
    <w:name w:val="正文文文文"/>
    <w:basedOn w:val="1"/>
    <w:uiPriority w:val="0"/>
    <w:pPr>
      <w:spacing w:line="500" w:lineRule="exact"/>
      <w:ind w:firstLine="200" w:firstLineChars="20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jpe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43</Pages>
  <Words>19955</Words>
  <Characters>21240</Characters>
  <Lines>1</Lines>
  <Paragraphs>1</Paragraphs>
  <TotalTime>19</TotalTime>
  <ScaleCrop>false</ScaleCrop>
  <LinksUpToDate>false</LinksUpToDate>
  <CharactersWithSpaces>21909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2016-09-27T01:47:00Z</dcterms:created>
  <dc:creator>zwh</dc:creator>
  <cp:lastModifiedBy>温柔只给意中人</cp:lastModifiedBy>
  <cp:lastPrinted>2023-12-07T06:51:21Z</cp:lastPrinted>
  <dcterms:modified xsi:type="dcterms:W3CDTF">2024-03-15T03:13:49Z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E7449FB1EE094049A72E5818FF3EAF30_13</vt:lpwstr>
  </property>
</Properties>
</file>