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cs="Times New Roman"/>
          <w:b/>
          <w:bCs/>
          <w:sz w:val="52"/>
          <w:szCs w:val="52"/>
          <w:lang w:val="zh-CN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Times New Roman" w:hAnsi="Times New Roman" w:cs="Times New Roman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52"/>
          <w:szCs w:val="52"/>
          <w:lang w:val="zh-CN" w:eastAsia="zh-CN"/>
        </w:rPr>
        <w:t>袁州区翡丽江悦房地产开发项目</w:t>
      </w:r>
      <w:r>
        <w:rPr>
          <w:rFonts w:hint="eastAsia" w:ascii="Times New Roman" w:hAnsi="Times New Roman" w:cs="Times New Roman"/>
          <w:b/>
          <w:bCs/>
          <w:sz w:val="52"/>
          <w:szCs w:val="52"/>
          <w:lang w:val="en-US" w:eastAsia="zh-CN"/>
        </w:rPr>
        <w:t>一期</w:t>
      </w:r>
      <w:r>
        <w:rPr>
          <w:rFonts w:hint="default" w:ascii="Times New Roman" w:hAnsi="Times New Roman" w:cs="Times New Roman"/>
          <w:b/>
          <w:bCs/>
          <w:sz w:val="52"/>
          <w:szCs w:val="52"/>
          <w:lang w:val="zh-CN"/>
        </w:rPr>
        <w:t>竣工环境保护验收监测报告</w:t>
      </w:r>
      <w:r>
        <w:rPr>
          <w:rFonts w:hint="eastAsia" w:ascii="Times New Roman" w:hAnsi="Times New Roman" w:cs="Times New Roman"/>
          <w:b/>
          <w:bCs/>
          <w:sz w:val="52"/>
          <w:szCs w:val="52"/>
          <w:lang w:val="en-US" w:eastAsia="zh-CN"/>
        </w:rPr>
        <w:t>表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ind w:firstLine="1807" w:firstLineChars="600"/>
        <w:jc w:val="center"/>
        <w:rPr>
          <w:rFonts w:hint="default" w:ascii="Times New Roman" w:hAnsi="Times New Roman" w:cs="Times New Roman"/>
          <w:b/>
          <w:bCs/>
          <w:sz w:val="30"/>
          <w:szCs w:val="30"/>
          <w:u w:val="single"/>
        </w:rPr>
      </w:pPr>
    </w:p>
    <w:p>
      <w:pPr>
        <w:pStyle w:val="24"/>
        <w:ind w:firstLine="0" w:firstLineChars="0"/>
        <w:jc w:val="center"/>
        <w:rPr>
          <w:rFonts w:hint="default" w:ascii="Times New Roman" w:hAnsi="Times New Roman" w:cs="Times New Roman"/>
        </w:rPr>
      </w:pPr>
    </w:p>
    <w:p>
      <w:pPr>
        <w:pStyle w:val="24"/>
        <w:ind w:firstLine="0" w:firstLineChars="0"/>
        <w:jc w:val="center"/>
        <w:rPr>
          <w:rFonts w:hint="default" w:ascii="Times New Roman" w:hAnsi="Times New Roman" w:cs="Times New Roman"/>
        </w:rPr>
      </w:pPr>
    </w:p>
    <w:p>
      <w:pPr>
        <w:pStyle w:val="24"/>
        <w:ind w:firstLine="0" w:firstLineChars="0"/>
        <w:jc w:val="center"/>
        <w:rPr>
          <w:rFonts w:hint="default" w:ascii="Times New Roman" w:hAnsi="Times New Roman" w:cs="Times New Roman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zh-CN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zh-CN"/>
        </w:rPr>
        <w:t>建设单位：</w:t>
      </w:r>
      <w:r>
        <w:rPr>
          <w:rFonts w:hint="eastAsia" w:ascii="Times New Roman" w:hAnsi="Times New Roman" w:cs="Times New Roman"/>
          <w:bCs/>
          <w:sz w:val="30"/>
          <w:szCs w:val="30"/>
          <w:u w:val="single"/>
          <w:lang w:val="zh-CN"/>
        </w:rPr>
        <w:t>宜春正泽置业有限公司</w:t>
      </w:r>
    </w:p>
    <w:p>
      <w:pPr>
        <w:autoSpaceDE w:val="0"/>
        <w:autoSpaceDN w:val="0"/>
        <w:adjustRightInd w:val="0"/>
        <w:spacing w:line="360" w:lineRule="auto"/>
        <w:ind w:firstLine="1928" w:firstLineChars="600"/>
        <w:jc w:val="both"/>
        <w:rPr>
          <w:rFonts w:hint="default" w:ascii="Times New Roman" w:hAnsi="Times New Roman" w:cs="Times New Roman" w:eastAsiaTheme="minorEastAsia"/>
          <w:b/>
          <w:bCs/>
          <w:sz w:val="32"/>
          <w:szCs w:val="32"/>
          <w:u w:val="single" w:color="00000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zh-CN"/>
        </w:rPr>
        <w:t>编制单位：</w:t>
      </w:r>
      <w:r>
        <w:rPr>
          <w:rFonts w:hint="eastAsia" w:ascii="Times New Roman" w:hAnsi="Times New Roman" w:cs="Times New Roman"/>
          <w:bCs/>
          <w:sz w:val="30"/>
          <w:szCs w:val="30"/>
          <w:u w:val="single"/>
          <w:lang w:val="en-US" w:eastAsia="zh-CN"/>
        </w:rPr>
        <w:t>江西六佳环保科技有限公司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b/>
          <w:bCs/>
          <w:szCs w:val="28"/>
          <w:lang w:val="zh-CN"/>
        </w:rPr>
      </w:pPr>
    </w:p>
    <w:p>
      <w:pPr>
        <w:pStyle w:val="4"/>
        <w:rPr>
          <w:rFonts w:hint="default" w:ascii="Times New Roman" w:hAnsi="Times New Roman" w:cs="Times New Roman"/>
          <w:lang w:val="zh-CN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cs="Times New Roman"/>
          <w:b/>
          <w:bCs/>
          <w:sz w:val="72"/>
        </w:rPr>
        <w:sectPr>
          <w:headerReference r:id="rId3" w:type="default"/>
          <w:footerReference r:id="rId4" w:type="default"/>
          <w:pgSz w:w="11906" w:h="16838"/>
          <w:pgMar w:top="1440" w:right="1417" w:bottom="1440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type="lines" w:linePitch="312" w:charSpace="0"/>
        </w:sectPr>
      </w:pPr>
      <w:r>
        <w:rPr>
          <w:rFonts w:hint="default" w:ascii="Times New Roman" w:hAnsi="Times New Roman" w:cs="Times New Roman"/>
          <w:b/>
          <w:bCs/>
          <w:sz w:val="30"/>
          <w:szCs w:val="30"/>
          <w:lang w:val="zh-CN"/>
        </w:rPr>
        <w:t>编制时间：20</w:t>
      </w:r>
      <w:r>
        <w:rPr>
          <w:rFonts w:hint="default" w:ascii="Times New Roman" w:hAnsi="Times New Roman" w:cs="Times New Roman"/>
          <w:b/>
          <w:bCs/>
          <w:sz w:val="30"/>
          <w:szCs w:val="30"/>
          <w:lang w:val="en-US" w:eastAsia="zh-CN"/>
        </w:rPr>
        <w:t>2</w:t>
      </w:r>
      <w:r>
        <w:rPr>
          <w:rFonts w:hint="eastAsia" w:ascii="Times New Roman" w:hAnsi="Times New Roman" w:cs="Times New Roman"/>
          <w:b/>
          <w:bCs/>
          <w:sz w:val="30"/>
          <w:szCs w:val="30"/>
          <w:lang w:val="en-US" w:eastAsia="zh-CN"/>
        </w:rPr>
        <w:t>4</w:t>
      </w:r>
      <w:r>
        <w:rPr>
          <w:rFonts w:hint="default" w:ascii="Times New Roman" w:hAnsi="Times New Roman" w:cs="Times New Roman"/>
          <w:b/>
          <w:bCs/>
          <w:sz w:val="30"/>
          <w:szCs w:val="30"/>
          <w:lang w:val="zh-CN"/>
        </w:rPr>
        <w:t>年</w:t>
      </w:r>
      <w:r>
        <w:rPr>
          <w:rFonts w:hint="eastAsia" w:ascii="Times New Roman" w:hAnsi="Times New Roman" w:cs="Times New Roman"/>
          <w:b/>
          <w:bCs/>
          <w:sz w:val="30"/>
          <w:szCs w:val="30"/>
          <w:lang w:val="en-US" w:eastAsia="zh-CN"/>
        </w:rPr>
        <w:t>01</w:t>
      </w:r>
      <w:r>
        <w:rPr>
          <w:rFonts w:hint="default" w:ascii="Times New Roman" w:hAnsi="Times New Roman" w:cs="Times New Roman"/>
          <w:b/>
          <w:bCs/>
          <w:sz w:val="30"/>
          <w:szCs w:val="30"/>
          <w:lang w:val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80" w:lineRule="auto"/>
        <w:textAlignment w:val="auto"/>
        <w:outlineLvl w:val="9"/>
        <w:rPr>
          <w:rFonts w:hint="default" w:ascii="Times New Roman" w:hAnsi="Times New Roman" w:cs="Times New Roman"/>
          <w:sz w:val="30"/>
          <w:szCs w:val="30"/>
          <w:lang w:eastAsia="zh-CN"/>
        </w:rPr>
      </w:pPr>
      <w:r>
        <w:rPr>
          <w:rFonts w:hint="default" w:ascii="Times New Roman" w:hAnsi="Times New Roman" w:cs="Times New Roman"/>
          <w:sz w:val="30"/>
          <w:szCs w:val="30"/>
          <w:lang w:eastAsia="zh-CN"/>
        </w:rPr>
        <w:t>建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30"/>
          <w:szCs w:val="30"/>
          <w:lang w:eastAsia="zh-CN"/>
        </w:rPr>
        <w:t>设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30"/>
          <w:szCs w:val="30"/>
          <w:lang w:eastAsia="zh-CN"/>
        </w:rPr>
        <w:t>单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30"/>
          <w:szCs w:val="30"/>
          <w:lang w:eastAsia="zh-CN"/>
        </w:rPr>
        <w:t>位：</w:t>
      </w:r>
      <w:r>
        <w:rPr>
          <w:rFonts w:hint="eastAsia" w:ascii="Times New Roman" w:hAnsi="Times New Roman" w:cs="Times New Roman"/>
          <w:sz w:val="30"/>
          <w:szCs w:val="30"/>
          <w:lang w:val="zh-CN" w:eastAsia="zh-CN"/>
        </w:rPr>
        <w:t>宜春正泽置业有限公司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80" w:lineRule="auto"/>
        <w:textAlignment w:val="auto"/>
        <w:outlineLvl w:val="9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cs="Times New Roman"/>
          <w:sz w:val="30"/>
          <w:szCs w:val="30"/>
          <w:lang w:eastAsia="zh-CN"/>
        </w:rPr>
        <w:t>法          人：</w:t>
      </w: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洪剑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80" w:lineRule="auto"/>
        <w:textAlignment w:val="auto"/>
        <w:outlineLvl w:val="9"/>
        <w:rPr>
          <w:rFonts w:hint="default" w:ascii="Times New Roman" w:hAnsi="Times New Roman" w:cs="Times New Roman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80" w:lineRule="auto"/>
        <w:textAlignment w:val="auto"/>
        <w:outlineLvl w:val="9"/>
        <w:rPr>
          <w:rFonts w:hint="eastAsia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编制</w:t>
      </w:r>
      <w:r>
        <w:rPr>
          <w:rFonts w:hint="default" w:ascii="Times New Roman" w:hAnsi="Times New Roman" w:cs="Times New Roman"/>
          <w:sz w:val="30"/>
          <w:szCs w:val="30"/>
        </w:rPr>
        <w:t xml:space="preserve">  单  位：</w:t>
      </w: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江西六佳环保科技有限公司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80" w:lineRule="auto"/>
        <w:textAlignment w:val="auto"/>
        <w:outlineLvl w:val="9"/>
        <w:rPr>
          <w:rFonts w:hint="eastAsia" w:ascii="Times New Roman" w:hAnsi="Times New Roman" w:cs="Times New Roman" w:eastAsiaTheme="minorEastAsia"/>
          <w:sz w:val="30"/>
          <w:szCs w:val="30"/>
          <w:lang w:eastAsia="zh-CN"/>
        </w:rPr>
      </w:pPr>
      <w:r>
        <w:rPr>
          <w:rFonts w:hint="default" w:ascii="Times New Roman" w:hAnsi="Times New Roman" w:cs="Times New Roman"/>
          <w:sz w:val="30"/>
          <w:szCs w:val="30"/>
        </w:rPr>
        <w:t>法          人：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 w:eastAsiaTheme="minorEastAsia"/>
          <w:sz w:val="30"/>
          <w:szCs w:val="30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/>
          <w:sz w:val="30"/>
          <w:szCs w:val="30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cs="Times New Roman" w:eastAsiaTheme="minorEastAsia"/>
          <w:sz w:val="30"/>
          <w:szCs w:val="30"/>
          <w:lang w:val="en-US" w:eastAsia="zh-CN"/>
        </w:rPr>
      </w:pPr>
    </w:p>
    <w:tbl>
      <w:tblPr>
        <w:tblStyle w:val="17"/>
        <w:tblW w:w="907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3173"/>
        <w:gridCol w:w="1353"/>
        <w:gridCol w:w="31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eastAsia="zh-CN"/>
              </w:rPr>
              <w:t>建设</w:t>
            </w:r>
            <w:r>
              <w:rPr>
                <w:rFonts w:hint="default" w:ascii="Times New Roman" w:hAnsi="Times New Roman" w:cs="Times New Roman"/>
                <w:sz w:val="24"/>
              </w:rPr>
              <w:t>单位：</w:t>
            </w:r>
          </w:p>
        </w:tc>
        <w:tc>
          <w:tcPr>
            <w:tcW w:w="317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宜春正泽置业有限公司</w:t>
            </w:r>
          </w:p>
        </w:tc>
        <w:tc>
          <w:tcPr>
            <w:tcW w:w="135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编制</w:t>
            </w:r>
            <w:r>
              <w:rPr>
                <w:rFonts w:hint="default" w:ascii="Times New Roman" w:hAnsi="Times New Roman" w:cs="Times New Roman"/>
                <w:sz w:val="24"/>
              </w:rPr>
              <w:t>单位：</w:t>
            </w:r>
          </w:p>
        </w:tc>
        <w:tc>
          <w:tcPr>
            <w:tcW w:w="3184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江西六佳环保科技有限公司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电    话：</w:t>
            </w:r>
          </w:p>
        </w:tc>
        <w:tc>
          <w:tcPr>
            <w:tcW w:w="317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  <w:tc>
          <w:tcPr>
            <w:tcW w:w="135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电    话：</w:t>
            </w:r>
          </w:p>
        </w:tc>
        <w:tc>
          <w:tcPr>
            <w:tcW w:w="3184" w:type="dxa"/>
            <w:vAlign w:val="top"/>
          </w:tcPr>
          <w:p>
            <w:pPr>
              <w:spacing w:line="500" w:lineRule="exact"/>
              <w:rPr>
                <w:rFonts w:hint="eastAsia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传    真：</w:t>
            </w:r>
          </w:p>
        </w:tc>
        <w:tc>
          <w:tcPr>
            <w:tcW w:w="317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  <w:tc>
          <w:tcPr>
            <w:tcW w:w="135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传    真：</w:t>
            </w:r>
          </w:p>
        </w:tc>
        <w:tc>
          <w:tcPr>
            <w:tcW w:w="3184" w:type="dxa"/>
            <w:vAlign w:val="top"/>
          </w:tcPr>
          <w:p>
            <w:pPr>
              <w:spacing w:line="500" w:lineRule="exact"/>
              <w:rPr>
                <w:rFonts w:hint="eastAsia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邮    编：</w:t>
            </w:r>
          </w:p>
        </w:tc>
        <w:tc>
          <w:tcPr>
            <w:tcW w:w="317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336000</w:t>
            </w:r>
          </w:p>
        </w:tc>
        <w:tc>
          <w:tcPr>
            <w:tcW w:w="135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邮    编：</w:t>
            </w:r>
          </w:p>
        </w:tc>
        <w:tc>
          <w:tcPr>
            <w:tcW w:w="3184" w:type="dxa"/>
            <w:vAlign w:val="top"/>
          </w:tcPr>
          <w:p>
            <w:pPr>
              <w:spacing w:line="500" w:lineRule="exact"/>
              <w:rPr>
                <w:rFonts w:hint="eastAsia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地    址：</w:t>
            </w:r>
          </w:p>
        </w:tc>
        <w:tc>
          <w:tcPr>
            <w:tcW w:w="317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江西省宜春市袁州区袁州大道</w:t>
            </w:r>
          </w:p>
        </w:tc>
        <w:tc>
          <w:tcPr>
            <w:tcW w:w="1353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地    址：</w:t>
            </w:r>
          </w:p>
        </w:tc>
        <w:tc>
          <w:tcPr>
            <w:tcW w:w="3184" w:type="dxa"/>
            <w:vAlign w:val="top"/>
          </w:tcPr>
          <w:p>
            <w:pPr>
              <w:spacing w:line="500" w:lineRule="exact"/>
              <w:rPr>
                <w:rFonts w:hint="default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江西省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宜春市</w:t>
            </w:r>
          </w:p>
        </w:tc>
      </w:tr>
    </w:tbl>
    <w:p>
      <w:pPr>
        <w:tabs>
          <w:tab w:val="center" w:pos="4536"/>
        </w:tabs>
        <w:jc w:val="left"/>
        <w:rPr>
          <w:rFonts w:hint="default" w:ascii="Times New Roman" w:hAnsi="Times New Roman" w:cs="Times New Roman"/>
        </w:rPr>
        <w:sectPr>
          <w:headerReference r:id="rId5" w:type="default"/>
          <w:footerReference r:id="rId6" w:type="default"/>
          <w:pgSz w:w="11906" w:h="16838"/>
          <w:pgMar w:top="1440" w:right="1417" w:bottom="1440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upperRoman" w:start="1"/>
          <w:cols w:space="720" w:num="1"/>
          <w:docGrid w:type="lines" w:linePitch="312" w:charSpace="0"/>
        </w:sectPr>
      </w:pPr>
      <w:bookmarkStart w:id="0" w:name="_Toc7910"/>
      <w:bookmarkStart w:id="1" w:name="_Toc12054"/>
    </w:p>
    <w:p>
      <w:pPr>
        <w:pStyle w:val="2"/>
        <w:rPr>
          <w:rFonts w:hint="default" w:ascii="Times New Roman" w:hAnsi="Times New Roman" w:cs="Times New Roman"/>
          <w:sz w:val="28"/>
          <w:szCs w:val="28"/>
        </w:rPr>
      </w:pPr>
      <w:bookmarkStart w:id="2" w:name="_Toc19142"/>
      <w:r>
        <w:rPr>
          <w:rFonts w:hint="default" w:ascii="Times New Roman" w:hAnsi="Times New Roman" w:cs="Times New Roman"/>
          <w:sz w:val="28"/>
          <w:szCs w:val="28"/>
        </w:rPr>
        <w:t>表一</w:t>
      </w:r>
      <w:bookmarkEnd w:id="0"/>
      <w:bookmarkEnd w:id="1"/>
      <w:r>
        <w:rPr>
          <w:rFonts w:hint="default" w:ascii="Times New Roman" w:hAnsi="Times New Roman" w:cs="Times New Roman"/>
          <w:sz w:val="28"/>
          <w:szCs w:val="28"/>
        </w:rPr>
        <w:t xml:space="preserve">  建设项目概况</w:t>
      </w:r>
      <w:bookmarkEnd w:id="2"/>
    </w:p>
    <w:tbl>
      <w:tblPr>
        <w:tblStyle w:val="18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5"/>
        <w:gridCol w:w="1762"/>
        <w:gridCol w:w="913"/>
        <w:gridCol w:w="939"/>
        <w:gridCol w:w="1299"/>
        <w:gridCol w:w="157"/>
        <w:gridCol w:w="1188"/>
        <w:gridCol w:w="1375"/>
        <w:gridCol w:w="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建设项目名称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翡丽江悦房地产开发项目（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一期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建设单位名称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宜春正泽置业有限公司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12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建设项目性质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新建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建设地点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4"/>
                <w:lang w:eastAsia="zh-CN"/>
              </w:rPr>
              <w:t>江西省宜春市袁州区下浦街道锦绣大道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主要产品名称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设计生产能力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color w:val="FF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实际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建设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FF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1、2、3、5栋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highlight w:val="none"/>
              </w:rPr>
              <w:t>建设项目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环境影响</w:t>
            </w:r>
            <w:r>
              <w:rPr>
                <w:rFonts w:hint="eastAsia" w:ascii="Times New Roman" w:hAnsi="Times New Roman" w:cs="Times New Roman"/>
                <w:sz w:val="24"/>
                <w:highlight w:val="none"/>
                <w:lang w:eastAsia="zh-CN"/>
              </w:rPr>
              <w:t>报告表编制日期</w:t>
            </w:r>
          </w:p>
        </w:tc>
        <w:tc>
          <w:tcPr>
            <w:tcW w:w="13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20</w:t>
            </w: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21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年</w:t>
            </w: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07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月</w:t>
            </w:r>
          </w:p>
        </w:tc>
        <w:tc>
          <w:tcPr>
            <w:tcW w:w="112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highlight w:val="none"/>
              </w:rPr>
              <w:t>开工建设时间</w:t>
            </w:r>
          </w:p>
        </w:tc>
        <w:tc>
          <w:tcPr>
            <w:tcW w:w="137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2021年07月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highlight w:val="none"/>
              </w:rPr>
              <w:t>竣工时间</w:t>
            </w:r>
          </w:p>
        </w:tc>
        <w:tc>
          <w:tcPr>
            <w:tcW w:w="13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2023年12月</w:t>
            </w:r>
          </w:p>
        </w:tc>
        <w:tc>
          <w:tcPr>
            <w:tcW w:w="112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highlight w:val="none"/>
              </w:rPr>
              <w:t>验收监测时间</w:t>
            </w:r>
          </w:p>
        </w:tc>
        <w:tc>
          <w:tcPr>
            <w:tcW w:w="137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环保设施设计单位</w:t>
            </w:r>
          </w:p>
        </w:tc>
        <w:tc>
          <w:tcPr>
            <w:tcW w:w="13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宜春正泽置业有限公司</w:t>
            </w:r>
          </w:p>
        </w:tc>
        <w:tc>
          <w:tcPr>
            <w:tcW w:w="112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环保设施施工单位</w:t>
            </w:r>
          </w:p>
        </w:tc>
        <w:tc>
          <w:tcPr>
            <w:tcW w:w="137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宜春正泽置业有限公司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投资总概算</w:t>
            </w:r>
          </w:p>
        </w:tc>
        <w:tc>
          <w:tcPr>
            <w:tcW w:w="8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30000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万元</w:t>
            </w:r>
          </w:p>
        </w:tc>
        <w:tc>
          <w:tcPr>
            <w:tcW w:w="92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  <w:t>环保投资总概算</w:t>
            </w:r>
          </w:p>
        </w:tc>
        <w:tc>
          <w:tcPr>
            <w:tcW w:w="7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300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万元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比例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实际总概算</w:t>
            </w:r>
          </w:p>
        </w:tc>
        <w:tc>
          <w:tcPr>
            <w:tcW w:w="8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10000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万元</w:t>
            </w:r>
          </w:p>
        </w:tc>
        <w:tc>
          <w:tcPr>
            <w:tcW w:w="18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  <w:highlight w:val="no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  <w:t>环保投资总概算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400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万元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比例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1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验收监测依据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（1）中华人民共和国国务院令第682号《国务院关于修改&lt;建设项目环境保护管理条例&gt;的决定》（2017年07月16日）；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（2）国环规环评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〔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2017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〕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4号《关于发布&lt;建设项目竣工环境保护验收暂行办法&gt;的公告》（2017年11月20日）；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（3）生态环境部公告（公告2018年第9号）关于发布《建设项目竣工环境保护验收技术指南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污染影响类》的公告（2018年5月15日）；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）《建设项目竣工环境保护验收技术指南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  <w:t>污染影响类》2018年5月16日；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）《中华人民共和国环境保护法》（2015年1月1日）；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）《中华人民共和国环境影响评价法》（2018年修正版，2018年12月29日实施）；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）《中华人民共和国水污染防治法》（2017年6月27日第二次修订）；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）《中华人民共和国大气污染防治法》（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2018年10月26日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）《中华人民共和国环境噪声污染防治法》（2018年修正版，2018年12月29日实施）；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）《中华人民共和国固体废物污染环境防治法》（2020年04月29日第二次修订，2020年9月1日实施）；</w:t>
            </w:r>
          </w:p>
          <w:p>
            <w:pPr>
              <w:pStyle w:val="21"/>
              <w:jc w:val="both"/>
              <w:rPr>
                <w:rFonts w:hint="default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/>
                <w:lang w:val="en-US" w:eastAsia="zh-CN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  <w:p>
            <w:pPr>
              <w:pStyle w:val="21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6" w:hRule="atLeast"/>
          <w:jc w:val="center"/>
        </w:trPr>
        <w:tc>
          <w:tcPr>
            <w:tcW w:w="11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验收监测评价标准、标号、级别</w:t>
            </w:r>
          </w:p>
        </w:tc>
        <w:tc>
          <w:tcPr>
            <w:tcW w:w="3842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highlight w:val="none"/>
                <w:lang w:eastAsia="zh-CN"/>
              </w:rPr>
              <w:t>根据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《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z w:val="24"/>
                <w:highlight w:val="none"/>
                <w:lang w:eastAsia="zh-CN"/>
              </w:rPr>
              <w:t>翡丽江悦房地产开发项目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》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highlight w:val="none"/>
                <w:lang w:eastAsia="zh-CN"/>
              </w:rPr>
              <w:t>，本项目环境保护验收执行标准如下：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废水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left"/>
              <w:textAlignment w:val="auto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项目营运期排水系统实行雨污分流。项目外排废水主要为居民生活污水，项目废水经预处理达到《污水综合排放标准》(GB8978-1996)表4中三级标准后，纳入市政污水管网，经宜春市城北污水处理厂深度处理达《城镇污水处理厂污染物排放标准》(GB 18918-2002)一级A标准后排入袁河。</w:t>
            </w:r>
          </w:p>
          <w:p>
            <w:pPr>
              <w:pStyle w:val="31"/>
              <w:ind w:firstLine="0" w:firstLineChars="0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表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1"/>
                <w:szCs w:val="21"/>
                <w:lang w:val="en-US" w:eastAsia="zh-CN"/>
              </w:rPr>
              <w:t>1-1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 xml:space="preserve"> 水污染物排放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1"/>
                <w:szCs w:val="21"/>
              </w:rPr>
              <w:t>标准</w:t>
            </w: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（单位：除PH值外，其它为mg/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1"/>
                <w:szCs w:val="21"/>
              </w:rPr>
              <w:t>L</w:t>
            </w: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）</w:t>
            </w:r>
          </w:p>
          <w:tbl>
            <w:tblPr>
              <w:tblStyle w:val="17"/>
              <w:tblW w:w="7433" w:type="dxa"/>
              <w:tblInd w:w="1" w:type="dxa"/>
              <w:tblBorders>
                <w:top w:val="thinThickSmallGap" w:color="auto" w:sz="12" w:space="0"/>
                <w:left w:val="single" w:color="auto" w:sz="2" w:space="0"/>
                <w:bottom w:val="thinThickSmallGap" w:color="auto" w:sz="12" w:space="0"/>
                <w:right w:val="single" w:color="auto" w:sz="2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50"/>
              <w:gridCol w:w="610"/>
              <w:gridCol w:w="809"/>
              <w:gridCol w:w="696"/>
              <w:gridCol w:w="859"/>
              <w:gridCol w:w="745"/>
              <w:gridCol w:w="1064"/>
            </w:tblGrid>
            <w:tr>
              <w:tblPrEx>
                <w:tblBorders>
                  <w:top w:val="thinThickSmallGap" w:color="auto" w:sz="12" w:space="0"/>
                  <w:left w:val="single" w:color="auto" w:sz="2" w:space="0"/>
                  <w:bottom w:val="thinThickSmallGap" w:color="auto" w:sz="12" w:space="0"/>
                  <w:right w:val="single" w:color="auto" w:sz="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2" w:hRule="atLeast"/>
              </w:trPr>
              <w:tc>
                <w:tcPr>
                  <w:tcW w:w="265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项目</w:t>
                  </w:r>
                </w:p>
              </w:tc>
              <w:tc>
                <w:tcPr>
                  <w:tcW w:w="61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pH</w:t>
                  </w:r>
                </w:p>
              </w:tc>
              <w:tc>
                <w:tcPr>
                  <w:tcW w:w="80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COD</w:t>
                  </w:r>
                </w:p>
              </w:tc>
              <w:tc>
                <w:tcPr>
                  <w:tcW w:w="696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氨氮</w:t>
                  </w:r>
                </w:p>
              </w:tc>
              <w:tc>
                <w:tcPr>
                  <w:tcW w:w="85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BOD</w:t>
                  </w:r>
                  <w:r>
                    <w:rPr>
                      <w:rFonts w:ascii="Times New Roman"/>
                      <w:color w:val="auto"/>
                      <w:sz w:val="21"/>
                      <w:szCs w:val="21"/>
                      <w:vertAlign w:val="subscript"/>
                    </w:rPr>
                    <w:t>5</w:t>
                  </w:r>
                </w:p>
              </w:tc>
              <w:tc>
                <w:tcPr>
                  <w:tcW w:w="745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SS</w:t>
                  </w:r>
                </w:p>
              </w:tc>
              <w:tc>
                <w:tcPr>
                  <w:tcW w:w="1064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sz w:val="21"/>
                      <w:szCs w:val="21"/>
                    </w:rPr>
                    <w:t>动植物油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2" w:space="0"/>
                  <w:bottom w:val="thinThickSmallGap" w:color="auto" w:sz="12" w:space="0"/>
                  <w:right w:val="single" w:color="auto" w:sz="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9" w:hRule="atLeast"/>
              </w:trPr>
              <w:tc>
                <w:tcPr>
                  <w:tcW w:w="265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  <w:t>《污水综合排放标准》(GB8978-1996)表4中三级标准</w:t>
                  </w:r>
                </w:p>
              </w:tc>
              <w:tc>
                <w:tcPr>
                  <w:tcW w:w="61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  <w:t>6-9</w:t>
                  </w:r>
                </w:p>
              </w:tc>
              <w:tc>
                <w:tcPr>
                  <w:tcW w:w="80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  <w:t>500</w:t>
                  </w:r>
                </w:p>
              </w:tc>
              <w:tc>
                <w:tcPr>
                  <w:tcW w:w="696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85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  <w:t>300</w:t>
                  </w:r>
                </w:p>
              </w:tc>
              <w:tc>
                <w:tcPr>
                  <w:tcW w:w="745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  <w:t>400</w:t>
                  </w:r>
                </w:p>
              </w:tc>
              <w:tc>
                <w:tcPr>
                  <w:tcW w:w="1064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 w:eastAsia="宋体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sz w:val="21"/>
                      <w:szCs w:val="21"/>
                      <w:lang w:val="en-US" w:eastAsia="zh-CN"/>
                    </w:rPr>
                    <w:t>100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  <w:lang w:eastAsia="zh-CN"/>
              </w:rPr>
              <w:t>噪声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项目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噪声源主要为社会生活噪声，机动车进出等产生的噪声，外环境交通噪声等，选用高效、低噪声环保设备，对高噪声设备隔声、吸声、消声、隔振措施，从源头上降低噪声源强度，在道路一侧设置绿化带，加强小区绿化，施工期噪声应达到《建筑施工场界环境噪声排放标准》（GB12523-2011）；运行期场界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噪声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应达到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《工业企业厂界环境噪声排放标准》（GB12348-2008）2类标准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。</w:t>
            </w:r>
          </w:p>
          <w:p>
            <w:pPr>
              <w:pStyle w:val="31"/>
              <w:ind w:firstLine="442"/>
              <w:jc w:val="center"/>
              <w:rPr>
                <w:rFonts w:hint="eastAsia" w:ascii="Times New Roman" w:hAnsi="Times New Roman" w:cs="Times New Roman"/>
                <w:b/>
                <w:color w:val="auto"/>
                <w:sz w:val="22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>表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lang w:val="en-US" w:eastAsia="zh-CN"/>
              </w:rPr>
              <w:t>1-2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 xml:space="preserve"> 建筑施工厂界环境噪声排放限值（单位：dB(A)）</w:t>
            </w:r>
          </w:p>
          <w:tbl>
            <w:tblPr>
              <w:tblStyle w:val="17"/>
              <w:tblW w:w="0" w:type="auto"/>
              <w:tblInd w:w="0" w:type="dxa"/>
              <w:tblBorders>
                <w:top w:val="thinThickSmallGap" w:color="auto" w:sz="12" w:space="0"/>
                <w:left w:val="single" w:color="auto" w:sz="4" w:space="0"/>
                <w:bottom w:val="thinThickSmallGap" w:color="auto" w:sz="12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913"/>
              <w:gridCol w:w="3913"/>
            </w:tblGrid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3913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bCs/>
                      <w:color w:val="auto"/>
                      <w:kern w:val="0"/>
                      <w:sz w:val="21"/>
                      <w:szCs w:val="21"/>
                    </w:rPr>
                    <w:t>昼间</w:t>
                  </w:r>
                </w:p>
              </w:tc>
              <w:tc>
                <w:tcPr>
                  <w:tcW w:w="3913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bCs/>
                      <w:color w:val="auto"/>
                      <w:kern w:val="0"/>
                      <w:sz w:val="21"/>
                      <w:szCs w:val="21"/>
                    </w:rPr>
                    <w:t>夜间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3913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70</w:t>
                  </w:r>
                </w:p>
              </w:tc>
              <w:tc>
                <w:tcPr>
                  <w:tcW w:w="3913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55</w:t>
                  </w:r>
                </w:p>
              </w:tc>
            </w:tr>
          </w:tbl>
          <w:p>
            <w:pPr>
              <w:pStyle w:val="31"/>
              <w:spacing w:before="240"/>
              <w:ind w:firstLine="442"/>
              <w:jc w:val="center"/>
              <w:rPr>
                <w:rFonts w:hint="eastAsia" w:ascii="Times New Roman" w:hAnsi="Times New Roman" w:cs="Times New Roman"/>
                <w:b/>
                <w:color w:val="auto"/>
                <w:sz w:val="22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>表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lang w:val="en-US" w:eastAsia="zh-CN"/>
              </w:rPr>
              <w:t>1-3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 xml:space="preserve"> 工业企业厂界环境噪声排放标准（单位：dB(A)）</w:t>
            </w:r>
          </w:p>
          <w:tbl>
            <w:tblPr>
              <w:tblStyle w:val="17"/>
              <w:tblW w:w="0" w:type="auto"/>
              <w:jc w:val="center"/>
              <w:tblBorders>
                <w:top w:val="thinThickSmallGap" w:color="auto" w:sz="12" w:space="0"/>
                <w:left w:val="single" w:color="auto" w:sz="4" w:space="0"/>
                <w:bottom w:val="thinThickSmallGap" w:color="auto" w:sz="12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09"/>
              <w:gridCol w:w="2609"/>
              <w:gridCol w:w="2608"/>
            </w:tblGrid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  <w:jc w:val="center"/>
              </w:trPr>
              <w:tc>
                <w:tcPr>
                  <w:tcW w:w="260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类别</w:t>
                  </w:r>
                </w:p>
              </w:tc>
              <w:tc>
                <w:tcPr>
                  <w:tcW w:w="260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昼间</w:t>
                  </w:r>
                </w:p>
              </w:tc>
              <w:tc>
                <w:tcPr>
                  <w:tcW w:w="2608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夜间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  <w:jc w:val="center"/>
              </w:trPr>
              <w:tc>
                <w:tcPr>
                  <w:tcW w:w="260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2类</w:t>
                  </w:r>
                </w:p>
              </w:tc>
              <w:tc>
                <w:tcPr>
                  <w:tcW w:w="2609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60</w:t>
                  </w:r>
                </w:p>
              </w:tc>
              <w:tc>
                <w:tcPr>
                  <w:tcW w:w="2608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50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  <w:lang w:eastAsia="zh-CN"/>
              </w:rPr>
              <w:t>固废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项目产生的生活垃圾统一收集，及时清运至环卫部门指定地点集中处置。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废气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地下车库内污染物排放执行《工业企业设计卫生标准》(TJ36-79)车间有害物质最高允许浓度。</w:t>
            </w:r>
          </w:p>
          <w:p>
            <w:pPr>
              <w:pStyle w:val="31"/>
              <w:spacing w:before="240"/>
              <w:ind w:firstLine="442"/>
              <w:jc w:val="center"/>
              <w:rPr>
                <w:rFonts w:hint="eastAsia" w:ascii="Times New Roman" w:hAnsi="Times New Roman" w:cs="Times New Roman"/>
                <w:b/>
                <w:color w:val="auto"/>
                <w:sz w:val="22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>表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lang w:val="en-US" w:eastAsia="zh-CN"/>
              </w:rPr>
              <w:t>1-4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lang w:eastAsia="zh-CN"/>
              </w:rPr>
              <w:t>总量控制指标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2"/>
              </w:rPr>
              <w:t>（单位：dB(A)）</w:t>
            </w:r>
          </w:p>
          <w:tbl>
            <w:tblPr>
              <w:tblStyle w:val="17"/>
              <w:tblW w:w="7118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23" w:type="dxa"/>
                <w:bottom w:w="0" w:type="dxa"/>
                <w:right w:w="23" w:type="dxa"/>
              </w:tblCellMar>
            </w:tblPr>
            <w:tblGrid>
              <w:gridCol w:w="1465"/>
              <w:gridCol w:w="3826"/>
              <w:gridCol w:w="182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23" w:type="dxa"/>
                  <w:bottom w:w="0" w:type="dxa"/>
                  <w:right w:w="23" w:type="dxa"/>
                </w:tblCellMar>
              </w:tblPrEx>
              <w:trPr>
                <w:trHeight w:val="341" w:hRule="atLeast"/>
                <w:jc w:val="center"/>
              </w:trPr>
              <w:tc>
                <w:tcPr>
                  <w:tcW w:w="1465" w:type="dxa"/>
                  <w:vMerge w:val="restart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污染物名称</w:t>
                  </w:r>
                </w:p>
              </w:tc>
              <w:tc>
                <w:tcPr>
                  <w:tcW w:w="3826" w:type="dxa"/>
                  <w:vMerge w:val="restart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执行标准及级别</w:t>
                  </w:r>
                </w:p>
              </w:tc>
              <w:tc>
                <w:tcPr>
                  <w:tcW w:w="1827" w:type="dxa"/>
                  <w:vMerge w:val="restart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最高允许排放</w:t>
                  </w:r>
                  <w:r>
                    <w:rPr>
                      <w:rFonts w:hint="eastAsia"/>
                      <w:kern w:val="0"/>
                      <w:szCs w:val="21"/>
                    </w:rPr>
                    <w:t>浓度</w:t>
                  </w:r>
                  <w:r>
                    <w:rPr>
                      <w:kern w:val="0"/>
                      <w:szCs w:val="21"/>
                    </w:rPr>
                    <w:t>mg/m</w:t>
                  </w:r>
                  <w:r>
                    <w:rPr>
                      <w:kern w:val="0"/>
                      <w:szCs w:val="21"/>
                      <w:vertAlign w:val="superscript"/>
                    </w:rPr>
                    <w:t>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23" w:type="dxa"/>
                  <w:bottom w:w="0" w:type="dxa"/>
                  <w:right w:w="23" w:type="dxa"/>
                </w:tblCellMar>
              </w:tblPrEx>
              <w:trPr>
                <w:trHeight w:val="351" w:hRule="atLeast"/>
                <w:jc w:val="center"/>
              </w:trPr>
              <w:tc>
                <w:tcPr>
                  <w:tcW w:w="1465" w:type="dxa"/>
                  <w:vMerge w:val="continue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</w:p>
              </w:tc>
              <w:tc>
                <w:tcPr>
                  <w:tcW w:w="3826" w:type="dxa"/>
                  <w:vMerge w:val="continue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</w:p>
              </w:tc>
              <w:tc>
                <w:tcPr>
                  <w:tcW w:w="1827" w:type="dxa"/>
                  <w:vMerge w:val="continue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  <w:vertAlign w:val="superscript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23" w:type="dxa"/>
                  <w:bottom w:w="0" w:type="dxa"/>
                  <w:right w:w="23" w:type="dxa"/>
                </w:tblCellMar>
              </w:tblPrEx>
              <w:trPr>
                <w:trHeight w:val="982" w:hRule="atLeast"/>
                <w:jc w:val="center"/>
              </w:trPr>
              <w:tc>
                <w:tcPr>
                  <w:tcW w:w="1465" w:type="dxa"/>
                  <w:noWrap w:val="0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hint="default" w:eastAsia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CO</w:t>
                  </w:r>
                </w:p>
              </w:tc>
              <w:tc>
                <w:tcPr>
                  <w:tcW w:w="3826" w:type="dxa"/>
                  <w:noWrap w:val="0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kern w:val="0"/>
                      <w:sz w:val="24"/>
                      <w:szCs w:val="22"/>
                      <w:lang w:val="en-US" w:eastAsia="zh-CN" w:bidi="ar-SA"/>
                    </w:rPr>
                    <w:t>《工业企业设计卫生标准》(TJ36-79)车间有害物质最高允许浓度</w:t>
                  </w:r>
                </w:p>
              </w:tc>
              <w:tc>
                <w:tcPr>
                  <w:tcW w:w="1827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Cs w:val="21"/>
                      <w:lang w:val="en-US" w:eastAsia="zh-CN"/>
                    </w:rPr>
                    <w:t>30</w:t>
                  </w:r>
                </w:p>
              </w:tc>
            </w:tr>
          </w:tbl>
          <w:p>
            <w:pPr>
              <w:wordWrap w:val="0"/>
              <w:spacing w:line="360" w:lineRule="auto"/>
              <w:ind w:firstLine="480" w:firstLineChars="200"/>
              <w:jc w:val="left"/>
              <w:rPr>
                <w:rFonts w:hint="default" w:ascii="Times New Roman" w:hAnsi="Times New Roman" w:cs="Times New Roman"/>
                <w:sz w:val="24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pct"/>
          <w:trHeight w:val="13925" w:hRule="atLeast"/>
          <w:jc w:val="center"/>
        </w:trPr>
        <w:tc>
          <w:tcPr>
            <w:tcW w:w="4987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outlineLvl w:val="0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bookmarkStart w:id="3" w:name="_Toc26766"/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br w:type="page"/>
            </w:r>
            <w:bookmarkStart w:id="4" w:name="_Toc20291"/>
            <w:bookmarkStart w:id="5" w:name="_Toc15299"/>
            <w:bookmarkStart w:id="6" w:name="_Toc25600"/>
            <w:bookmarkStart w:id="7" w:name="_Toc26698"/>
            <w:bookmarkStart w:id="8" w:name="_Toc6848"/>
            <w:bookmarkStart w:id="9" w:name="_Toc11425"/>
            <w:bookmarkStart w:id="10" w:name="_Toc4081"/>
            <w:bookmarkStart w:id="11" w:name="_Toc1472"/>
            <w:bookmarkStart w:id="12" w:name="_Toc22276"/>
            <w:bookmarkStart w:id="13" w:name="_Toc4848"/>
            <w:bookmarkStart w:id="14" w:name="_Toc9476"/>
            <w:bookmarkStart w:id="15" w:name="_Toc32368"/>
            <w:bookmarkStart w:id="16" w:name="_Toc9958"/>
            <w:bookmarkStart w:id="17" w:name="_Toc22272"/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1.1 项目概况及验收任务由来</w:t>
            </w:r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</w:p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翡丽江悦房地产开发项目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采用设计、采购、施工总承包（EPC）模式进行建设。建设单位为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宜春正泽置业有限公司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，设计单位为广州市人防建筑设计研究院有限公司、成都基准方中建筑设计有限公司，施工单位为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江西省新宇建筑工程有限公司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，监理单位为江西永安工程项目管理有限公司。该项目于20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21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年7月开工建设，202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年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月竣工验收，规划用地面积为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38920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㎡，总建筑面积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>109086.0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㎡，房屋总套数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656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套，主要建设内容为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栋2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-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26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层的高层住宅、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18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层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小高层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11层洋房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、1栋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层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商业建筑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eastAsia="zh-CN"/>
              </w:rPr>
              <w:t>以及相关基础配套设施。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本次仅针对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翡丽江悦房地产开发项目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1#2#3#5#栋，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江西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省祥逸检测技术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有限公司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受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宜春正泽置业有限公司</w:t>
            </w:r>
            <w:r>
              <w:rPr>
                <w:rFonts w:hint="default" w:ascii="Times New Roman" w:hAnsi="Times New Roman" w:cs="Times New Roman"/>
                <w:sz w:val="24"/>
              </w:rPr>
              <w:t>委托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，对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翡丽江悦房地产开发项目</w:t>
            </w:r>
            <w:r>
              <w:rPr>
                <w:rFonts w:hint="default" w:ascii="Times New Roman" w:hAnsi="Times New Roman" w:cs="Times New Roman"/>
                <w:sz w:val="24"/>
              </w:rPr>
              <w:t>进行竣工环境保护验收监测，根据《中华人民共和国环境保护法》及其相关的法律和法规的规定和要求，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江西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省祥逸检测技术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有限公司</w:t>
            </w:r>
            <w:r>
              <w:rPr>
                <w:rFonts w:hint="default" w:ascii="Times New Roman" w:hAnsi="Times New Roman" w:cs="Times New Roman"/>
                <w:sz w:val="24"/>
              </w:rPr>
              <w:t>于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202</w:t>
            </w: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年</w:t>
            </w: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月</w:t>
            </w: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19</w:t>
            </w:r>
            <w:r>
              <w:rPr>
                <w:rFonts w:hint="default" w:ascii="Times New Roman" w:hAnsi="Times New Roman" w:cs="Times New Roman"/>
                <w:sz w:val="24"/>
                <w:highlight w:val="none"/>
                <w:lang w:eastAsia="zh-CN"/>
              </w:rPr>
              <w:t>日</w:t>
            </w:r>
            <w:r>
              <w:rPr>
                <w:rFonts w:hint="default" w:ascii="Times New Roman" w:hAnsi="Times New Roman" w:cs="Times New Roman"/>
                <w:sz w:val="24"/>
              </w:rPr>
              <w:t>派员前往现场进行了验收监测，</w:t>
            </w:r>
            <w:r>
              <w:rPr>
                <w:rFonts w:hint="default" w:ascii="Times New Roman" w:hAnsi="Times New Roman" w:cs="Times New Roman"/>
                <w:sz w:val="24"/>
                <w:lang w:eastAsia="zh-CN"/>
              </w:rPr>
              <w:t>并出具了相应监测报告，我公司</w:t>
            </w:r>
            <w:r>
              <w:rPr>
                <w:rFonts w:hint="default" w:ascii="Times New Roman" w:hAnsi="Times New Roman" w:cs="Times New Roman"/>
                <w:sz w:val="24"/>
              </w:rPr>
              <w:t>在此基础上编制了本次验收监测报告。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1.2 本次验收监测范围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翡丽江悦房地产开发项目</w:t>
            </w:r>
            <w:r>
              <w:rPr>
                <w:rFonts w:hint="default" w:ascii="Times New Roman" w:hAnsi="Times New Roman" w:cs="Times New Roman"/>
                <w:sz w:val="24"/>
              </w:rPr>
              <w:t>、辅助及公用工程、环保工程。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1.3 本次验收监测主要内容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废水排放</w:t>
            </w:r>
            <w:r>
              <w:rPr>
                <w:rFonts w:hint="default" w:ascii="Times New Roman" w:hAnsi="Times New Roman" w:cs="Times New Roman"/>
                <w:bCs/>
                <w:sz w:val="24"/>
                <w:lang w:eastAsia="zh-CN"/>
              </w:rPr>
              <w:t>及废水设施检查</w:t>
            </w:r>
            <w:r>
              <w:rPr>
                <w:rFonts w:hint="default" w:ascii="Times New Roman" w:hAnsi="Times New Roman" w:cs="Times New Roman"/>
                <w:bCs/>
                <w:sz w:val="24"/>
              </w:rPr>
              <w:t>；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厂界环境噪声排放监测；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固体废弃物处置情况检查；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风险事故防范与应急措施检查；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eastAsia="zh-CN"/>
              </w:rPr>
              <w:t>小区内绿化环境检查；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  <w:t>环境管理检查。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1.4 项目地理位置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8"/>
                <w:lang w:val="en-US" w:eastAsia="zh-CN"/>
              </w:rPr>
              <w:t>项目位于</w:t>
            </w:r>
            <w:r>
              <w:rPr>
                <w:rFonts w:hint="eastAsia" w:ascii="Times New Roman"/>
                <w:color w:val="auto"/>
                <w:sz w:val="24"/>
                <w:lang w:eastAsia="zh-CN"/>
              </w:rPr>
              <w:t>江西省宜春市袁州区下浦街道锦绣大道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szCs w:val="28"/>
                <w:lang w:val="en-US" w:eastAsia="zh-CN"/>
              </w:rPr>
              <w:t>。</w:t>
            </w:r>
            <w:r>
              <w:rPr>
                <w:rFonts w:hint="default" w:ascii="Times New Roman"/>
                <w:color w:val="auto"/>
                <w:sz w:val="24"/>
                <w:lang w:eastAsia="zh-CN"/>
              </w:rPr>
              <w:t>位于</w:t>
            </w:r>
            <w:r>
              <w:rPr>
                <w:rFonts w:hint="eastAsia" w:ascii="Times New Roman"/>
                <w:color w:val="auto"/>
                <w:sz w:val="24"/>
                <w:lang w:eastAsia="zh-CN"/>
              </w:rPr>
              <w:t>江西省宜春市袁州区下浦街道锦绣大道</w:t>
            </w:r>
            <w:r>
              <w:rPr>
                <w:rFonts w:hint="default" w:ascii="Times New Roman"/>
                <w:color w:val="auto"/>
                <w:sz w:val="24"/>
                <w:lang w:eastAsia="zh-CN"/>
              </w:rPr>
              <w:t>，南临平安东路及沪昆高铁，西临塘浦路，北临袁州大道。</w:t>
            </w:r>
          </w:p>
          <w:p>
            <w:pPr>
              <w:kinsoku w:val="0"/>
              <w:overflowPunct w:val="0"/>
              <w:topLinePunct/>
              <w:autoSpaceDE w:val="0"/>
              <w:autoSpaceDN w:val="0"/>
              <w:spacing w:line="360" w:lineRule="auto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1.5 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  <w:lang w:eastAsia="zh-CN"/>
              </w:rPr>
              <w:t>建设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内容及规模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规划用地面积为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38920.00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㎡，总建筑面积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>109086.0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㎡，房屋总套数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656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套，主要建设内容为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栋2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-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26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层的高层住宅、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18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层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小高层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11层洋房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、1栋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层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商业建筑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eastAsia="zh-CN"/>
              </w:rPr>
              <w:t>以及相关基础配套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设施。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本次验收1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层的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洋房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2栋11层洋房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11层洋房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栋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层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洋房。</w:t>
            </w:r>
          </w:p>
          <w:p>
            <w:pPr>
              <w:spacing w:line="240" w:lineRule="auto"/>
              <w:jc w:val="center"/>
              <w:rPr>
                <w:rFonts w:hint="eastAsia" w:ascii="Times New Roman" w:eastAsiaTheme="minorEastAsia"/>
                <w:b/>
                <w:color w:val="auto"/>
                <w:sz w:val="22"/>
                <w:lang w:eastAsia="zh-CN"/>
              </w:rPr>
            </w:pPr>
            <w:r>
              <w:rPr>
                <w:rFonts w:hint="eastAsia" w:ascii="Times New Roman"/>
                <w:b/>
                <w:color w:val="auto"/>
                <w:sz w:val="22"/>
              </w:rPr>
              <w:t>表</w:t>
            </w:r>
            <w:r>
              <w:rPr>
                <w:rFonts w:hint="eastAsia" w:ascii="Times New Roman"/>
                <w:b/>
                <w:color w:val="auto"/>
                <w:sz w:val="22"/>
                <w:lang w:val="en-US" w:eastAsia="zh-CN"/>
              </w:rPr>
              <w:t>1-5</w:t>
            </w:r>
            <w:r>
              <w:rPr>
                <w:rFonts w:hint="eastAsia" w:ascii="Times New Roman"/>
                <w:b/>
                <w:color w:val="auto"/>
                <w:sz w:val="22"/>
              </w:rPr>
              <w:t xml:space="preserve"> 项目</w:t>
            </w:r>
            <w:r>
              <w:rPr>
                <w:rFonts w:hint="eastAsia" w:ascii="Times New Roman"/>
                <w:b/>
                <w:color w:val="auto"/>
                <w:sz w:val="22"/>
                <w:lang w:eastAsia="zh-CN"/>
              </w:rPr>
              <w:t>建设内容</w:t>
            </w:r>
          </w:p>
          <w:tbl>
            <w:tblPr>
              <w:tblStyle w:val="17"/>
              <w:tblW w:w="4995" w:type="pct"/>
              <w:tblInd w:w="0" w:type="dxa"/>
              <w:tblBorders>
                <w:top w:val="thinThickSmallGap" w:color="auto" w:sz="12" w:space="0"/>
                <w:left w:val="single" w:color="auto" w:sz="4" w:space="0"/>
                <w:bottom w:val="thinThickSmallGap" w:color="auto" w:sz="12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7"/>
              <w:gridCol w:w="1118"/>
              <w:gridCol w:w="1700"/>
              <w:gridCol w:w="5807"/>
            </w:tblGrid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hAnsi="宋体"/>
                      <w:color w:val="auto"/>
                      <w:kern w:val="0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1452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hAnsi="宋体"/>
                      <w:color w:val="auto"/>
                      <w:kern w:val="0"/>
                      <w:sz w:val="21"/>
                      <w:szCs w:val="21"/>
                    </w:rPr>
                    <w:t>建设内容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hAnsi="宋体"/>
                      <w:color w:val="auto"/>
                      <w:kern w:val="0"/>
                      <w:sz w:val="21"/>
                      <w:szCs w:val="21"/>
                    </w:rPr>
                    <w:t>楼层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1452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主体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1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栋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11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层的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洋房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、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栋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11层洋房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、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3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栋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11层洋房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、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5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栋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11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eastAsia="zh-CN"/>
                    </w:rPr>
                    <w:t>层</w:t>
                  </w:r>
                  <w:r>
                    <w:rPr>
                      <w:rFonts w:hint="eastAsia" w:hAnsi="宋体" w:cs="宋体"/>
                      <w:color w:val="auto"/>
                      <w:kern w:val="0"/>
                      <w:sz w:val="22"/>
                      <w:szCs w:val="22"/>
                      <w:lang w:val="en-US" w:eastAsia="zh-CN"/>
                    </w:rPr>
                    <w:t>洋房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vMerge w:val="restar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576" w:type="pct"/>
                  <w:vMerge w:val="restar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公用工程</w:t>
                  </w:r>
                </w:p>
              </w:tc>
              <w:tc>
                <w:tcPr>
                  <w:tcW w:w="876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供水系统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pStyle w:val="30"/>
                    <w:spacing w:line="240" w:lineRule="auto"/>
                    <w:rPr>
                      <w:rFonts w:hint="eastAsia" w:hAnsi="宋体"/>
                      <w:color w:val="auto"/>
                      <w:kern w:val="0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auto"/>
                      <w:kern w:val="0"/>
                      <w:sz w:val="21"/>
                    </w:rPr>
                    <w:t>来自市政管网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76" w:type="pct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76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供电系统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pStyle w:val="30"/>
                    <w:spacing w:line="240" w:lineRule="auto"/>
                    <w:rPr>
                      <w:rFonts w:hint="eastAsia" w:hAnsi="宋体"/>
                      <w:color w:val="auto"/>
                      <w:kern w:val="0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auto"/>
                      <w:kern w:val="0"/>
                      <w:sz w:val="21"/>
                    </w:rPr>
                    <w:t>消耗电力由市政电网提供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vMerge w:val="restar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576" w:type="pct"/>
                  <w:vMerge w:val="restar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环保工程</w:t>
                  </w:r>
                </w:p>
              </w:tc>
              <w:tc>
                <w:tcPr>
                  <w:tcW w:w="876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废水治理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pStyle w:val="30"/>
                    <w:spacing w:line="240" w:lineRule="auto"/>
                    <w:rPr>
                      <w:rFonts w:cs="Times New Roman"/>
                      <w:color w:val="auto"/>
                      <w:kern w:val="0"/>
                      <w:sz w:val="21"/>
                    </w:rPr>
                  </w:pPr>
                  <w:r>
                    <w:rPr>
                      <w:rFonts w:cs="Times New Roman"/>
                      <w:bCs/>
                      <w:color w:val="auto"/>
                      <w:sz w:val="21"/>
                    </w:rPr>
                    <w:t>生活污水通过化粪池</w:t>
                  </w:r>
                  <w:r>
                    <w:rPr>
                      <w:rFonts w:hint="eastAsia" w:cs="Times New Roman"/>
                      <w:bCs/>
                      <w:color w:val="auto"/>
                      <w:sz w:val="21"/>
                    </w:rPr>
                    <w:t>预</w:t>
                  </w:r>
                  <w:r>
                    <w:rPr>
                      <w:rFonts w:cs="Times New Roman"/>
                      <w:bCs/>
                      <w:color w:val="auto"/>
                      <w:sz w:val="21"/>
                    </w:rPr>
                    <w:t>处理后</w:t>
                  </w:r>
                  <w:r>
                    <w:rPr>
                      <w:rFonts w:hint="eastAsia" w:cs="Times New Roman"/>
                      <w:bCs/>
                      <w:color w:val="auto"/>
                      <w:sz w:val="21"/>
                    </w:rPr>
                    <w:t>经市政</w:t>
                  </w:r>
                  <w:r>
                    <w:rPr>
                      <w:rFonts w:cs="Times New Roman"/>
                      <w:bCs/>
                      <w:color w:val="auto"/>
                      <w:sz w:val="21"/>
                    </w:rPr>
                    <w:t>污水管网</w:t>
                  </w:r>
                  <w:r>
                    <w:rPr>
                      <w:rFonts w:hint="eastAsia" w:cs="Times New Roman"/>
                      <w:bCs/>
                      <w:color w:val="auto"/>
                      <w:sz w:val="21"/>
                    </w:rPr>
                    <w:t>进入</w:t>
                  </w:r>
                  <w:r>
                    <w:rPr>
                      <w:rFonts w:hint="eastAsia" w:cs="Times New Roman"/>
                      <w:bCs/>
                      <w:color w:val="auto"/>
                      <w:sz w:val="21"/>
                      <w:lang w:val="en-US" w:eastAsia="zh-CN"/>
                    </w:rPr>
                    <w:t>城北污水处理厂</w:t>
                  </w:r>
                  <w:r>
                    <w:rPr>
                      <w:rFonts w:hint="eastAsia" w:cs="Times New Roman"/>
                      <w:bCs/>
                      <w:color w:val="auto"/>
                      <w:sz w:val="21"/>
                    </w:rPr>
                    <w:t>进一步处理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76" w:type="pct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76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废气治理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pStyle w:val="30"/>
                    <w:spacing w:line="240" w:lineRule="auto"/>
                    <w:rPr>
                      <w:rFonts w:cs="Times New Roman"/>
                      <w:bCs/>
                      <w:color w:val="auto"/>
                      <w:sz w:val="21"/>
                    </w:rPr>
                  </w:pPr>
                  <w:r>
                    <w:rPr>
                      <w:rFonts w:ascii="Times New Roman" w:cs="Times New Roman"/>
                      <w:bCs/>
                      <w:color w:val="auto"/>
                      <w:sz w:val="21"/>
                    </w:rPr>
                    <w:t>居民均采用家用吸排油烟机，经处理后的厨房油烟经竖向专用烟道引出各住宅楼屋顶集中排放；地下车库通风6次/h，于地面</w:t>
                  </w:r>
                  <w:r>
                    <w:rPr>
                      <w:rFonts w:hint="eastAsia" w:ascii="Times New Roman" w:cs="Times New Roman"/>
                      <w:bCs/>
                      <w:color w:val="auto"/>
                      <w:sz w:val="21"/>
                      <w:lang w:val="en-US" w:eastAsia="zh-CN"/>
                    </w:rPr>
                    <w:t>3</w:t>
                  </w:r>
                  <w:r>
                    <w:rPr>
                      <w:rFonts w:ascii="Times New Roman" w:cs="Times New Roman"/>
                      <w:bCs/>
                      <w:color w:val="auto"/>
                      <w:sz w:val="21"/>
                    </w:rPr>
                    <w:t>m排放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55" w:type="pct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76" w:type="pct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76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</w:rPr>
                    <w:t>固废治理</w:t>
                  </w:r>
                </w:p>
              </w:tc>
              <w:tc>
                <w:tcPr>
                  <w:tcW w:w="2992" w:type="pct"/>
                  <w:noWrap w:val="0"/>
                  <w:vAlign w:val="center"/>
                </w:tcPr>
                <w:p>
                  <w:pPr>
                    <w:pStyle w:val="30"/>
                    <w:spacing w:line="240" w:lineRule="auto"/>
                    <w:rPr>
                      <w:rFonts w:ascii="Times New Roman" w:cs="Times New Roman"/>
                      <w:bCs/>
                      <w:color w:val="auto"/>
                      <w:sz w:val="21"/>
                    </w:rPr>
                  </w:pPr>
                  <w:r>
                    <w:rPr>
                      <w:rFonts w:hint="eastAsia" w:ascii="Times New Roman" w:cs="Times New Roman"/>
                      <w:bCs/>
                      <w:color w:val="auto"/>
                      <w:sz w:val="21"/>
                    </w:rPr>
                    <w:t>每栋楼设置一个垃圾桶，</w:t>
                  </w:r>
                  <w:r>
                    <w:rPr>
                      <w:rFonts w:ascii="Times New Roman" w:cs="Times New Roman"/>
                      <w:bCs/>
                      <w:color w:val="auto"/>
                      <w:sz w:val="21"/>
                    </w:rPr>
                    <w:t>垃圾经统一收集后，由当地环卫部门清运送至垃圾填埋场卫生填埋处理</w:t>
                  </w:r>
                </w:p>
              </w:tc>
            </w:tr>
          </w:tbl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 公用工程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给水：由市政供水管网供给；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排水：本项目采取雨污分流。雨水经雨水管网收集后外排；生活污水经化粪池收集处理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达到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《污水综合排放标准》(GB8978-1996)表4中三级标准后，纳入市政污水管网，经宜春市城北污水处理厂深度处理达《城镇污水处理厂污染物排放标准》(GB 18918-2002)一级A标准后排入袁河。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用气</w:t>
            </w:r>
            <w:r>
              <w:rPr>
                <w:rFonts w:hint="eastAsia" w:ascii="Times New Roman" w:hAnsi="Times New Roman" w:cs="Times New Roman" w:eastAsiaTheme="minorEastAsia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：</w:t>
            </w:r>
            <w:r>
              <w:rPr>
                <w:rFonts w:hint="eastAsia" w:ascii="Times New Roman" w:hAnsi="Times New Roman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项目</w:t>
            </w:r>
            <w:r>
              <w:rPr>
                <w:rFonts w:hint="eastAsia" w:ascii="Times New Roman"/>
                <w:color w:val="auto"/>
                <w:sz w:val="24"/>
              </w:rPr>
              <w:t>气源为管道天然气，小区用燃气引自市政燃气管道，在小区设置一处燃气调压站，将市政管道引入的燃气调至低压，供用户燃气末端设备使用。</w:t>
            </w:r>
          </w:p>
          <w:p>
            <w:pPr>
              <w:spacing w:line="360" w:lineRule="auto"/>
              <w:ind w:firstLine="480" w:firstLineChars="200"/>
              <w:rPr>
                <w:rFonts w:hint="eastAsia" w:ascii="Times New Roman"/>
                <w:color w:val="auto"/>
                <w:sz w:val="24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用电：</w:t>
            </w:r>
            <w:r>
              <w:rPr>
                <w:rFonts w:hint="eastAsia" w:ascii="Times New Roman"/>
                <w:color w:val="auto"/>
                <w:sz w:val="24"/>
              </w:rPr>
              <w:t>本工程由市政引来两回路的10kV高压电源。在地下一层设变配电所，地面一层设开闭所。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消防：小高层住宅、商场每层按要求设消火栓，相邻高层住宅合用一套消防给水系统。消防泵设在公寓地下室泵房内，直接从消防水池抽水，相应屋顶水箱储存初期消防水量，消火栓栓口动压超过0.50Mpa时设孔板减压。室外设水泵接合器及地上式消火栓。商场、地下车库设自动喷淋，相邻商场、地下汽车库合用一套喷淋给水系统，喷淋泵设在地下车库泵房内，直接从消防水池抽水，相应屋顶水箱储存初期喷淋水量。室外设水泵接合器。</w:t>
            </w:r>
          </w:p>
          <w:p>
            <w:pPr>
              <w:kinsoku w:val="0"/>
              <w:overflowPunct w:val="0"/>
              <w:topLinePunct/>
              <w:autoSpaceDE w:val="0"/>
              <w:autoSpaceDN w:val="0"/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b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en-US" w:eastAsia="zh-CN"/>
              </w:rPr>
              <w:t xml:space="preserve">1.7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主要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eastAsia="zh-CN"/>
              </w:rPr>
              <w:t>污染工序</w:t>
            </w:r>
          </w:p>
          <w:p>
            <w:pPr>
              <w:spacing w:line="360" w:lineRule="auto"/>
              <w:ind w:firstLine="480"/>
              <w:rPr>
                <w:rFonts w:hint="eastAsia"/>
                <w:color w:val="auto"/>
              </w:rPr>
            </w:pPr>
            <w:r>
              <w:rPr>
                <w:rFonts w:hint="eastAsia" w:ascii="Times New Roman"/>
                <w:color w:val="auto"/>
                <w:sz w:val="24"/>
                <w:lang w:eastAsia="zh-CN"/>
              </w:rPr>
              <w:t>项目</w:t>
            </w:r>
            <w:r>
              <w:rPr>
                <w:rFonts w:hint="eastAsia" w:ascii="Times New Roman"/>
                <w:color w:val="auto"/>
                <w:sz w:val="24"/>
              </w:rPr>
              <w:t>污染影响时段主要为施工期和营运期，基本工艺（或作业）及污染工序流程见下图：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Times New Roman"/>
                <w:color w:val="auto"/>
                <w:sz w:val="24"/>
              </w:rPr>
            </w:pPr>
            <w:r>
              <w:rPr>
                <w:rFonts w:hint="eastAsia" w:ascii="Times New Roman"/>
                <w:color w:val="auto"/>
                <w:sz w:val="24"/>
              </w:rPr>
              <w:t>营运期</w:t>
            </w:r>
          </w:p>
          <w:p>
            <w:pPr>
              <w:spacing w:line="360" w:lineRule="auto"/>
              <w:jc w:val="center"/>
              <w:rPr>
                <w:rFonts w:hint="eastAsia" w:ascii="Times New Roman"/>
                <w:b/>
                <w:color w:val="auto"/>
                <w:sz w:val="22"/>
              </w:rPr>
            </w:pPr>
            <w:r>
              <w:object>
                <v:shape id="_x0000_i1025" o:spt="75" type="#_x0000_t75" style="height:104.45pt;width:505.1pt;" o:ole="t" filled="f" o:preferrelative="t" stroked="f" coordsize="21600,21600">
                  <v:path/>
                  <v:fill on="f" focussize="0,0"/>
                  <v:stroke on="f"/>
                  <v:imagedata r:id="rId11" o:title=""/>
                  <o:lock v:ext="edit" aspectratio="t"/>
                  <w10:wrap type="none"/>
                  <w10:anchorlock/>
                </v:shape>
                <o:OLEObject Type="Embed" ProgID="Visio.Drawing.11" ShapeID="_x0000_i1025" DrawAspect="Content" ObjectID="_1468075725" r:id="rId10">
                  <o:LockedField>false</o:LockedField>
                </o:OLEObject>
              </w:object>
            </w:r>
            <w:r>
              <w:rPr>
                <w:rFonts w:hint="eastAsia" w:ascii="Times New Roman"/>
                <w:b/>
                <w:color w:val="auto"/>
                <w:sz w:val="22"/>
              </w:rPr>
              <w:t>图</w:t>
            </w:r>
            <w:r>
              <w:rPr>
                <w:rFonts w:hint="eastAsia" w:ascii="Times New Roman"/>
                <w:b/>
                <w:color w:val="auto"/>
                <w:sz w:val="22"/>
                <w:lang w:val="en-US" w:eastAsia="zh-CN"/>
              </w:rPr>
              <w:t>1-3</w:t>
            </w:r>
            <w:r>
              <w:rPr>
                <w:rFonts w:hint="eastAsia" w:ascii="Times New Roman"/>
                <w:b/>
                <w:color w:val="auto"/>
                <w:sz w:val="22"/>
              </w:rPr>
              <w:t xml:space="preserve"> 营运期产污流程图</w:t>
            </w:r>
          </w:p>
          <w:p>
            <w:pPr>
              <w:pStyle w:val="31"/>
              <w:ind w:firstLine="0" w:firstLineChars="0"/>
              <w:outlineLvl w:val="1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</w:rPr>
              <w:t>二、施工期</w:t>
            </w:r>
            <w:r>
              <w:rPr>
                <w:rFonts w:ascii="Times New Roman" w:hAnsi="Times New Roman" w:cs="Times New Roman"/>
                <w:b/>
                <w:color w:val="auto"/>
              </w:rPr>
              <w:t>主要污染工序</w:t>
            </w:r>
          </w:p>
          <w:p>
            <w:pPr>
              <w:pStyle w:val="31"/>
              <w:ind w:firstLine="0" w:firstLineChars="0"/>
              <w:rPr>
                <w:rFonts w:hint="eastAsia" w:ascii="Times New Roman" w:hAnsi="Times New Roman" w:cs="Times New Roman"/>
                <w:b/>
                <w:color w:val="auto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</w:rPr>
              <w:t>1、</w:t>
            </w:r>
            <w:r>
              <w:rPr>
                <w:rFonts w:ascii="Times New Roman" w:hAnsi="Times New Roman" w:cs="Times New Roman"/>
                <w:b/>
                <w:color w:val="auto"/>
              </w:rPr>
              <w:t>施工期主要污染工序：</w:t>
            </w:r>
          </w:p>
          <w:p>
            <w:pPr>
              <w:pStyle w:val="31"/>
              <w:ind w:firstLine="480"/>
              <w:rPr>
                <w:rFonts w:hint="eastAsia" w:ascii="Times New Roman" w:hAnsi="Times New Roman" w:cs="Times New Roman"/>
                <w:color w:val="auto"/>
              </w:rPr>
            </w:pPr>
            <w:r>
              <w:rPr>
                <w:rFonts w:hint="eastAsia" w:ascii="Times New Roman" w:hAnsi="Times New Roman" w:cs="Times New Roman"/>
                <w:color w:val="auto"/>
              </w:rPr>
              <w:t>施工期主要环境污染情况如下表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1-7</w:t>
            </w:r>
            <w:r>
              <w:rPr>
                <w:rFonts w:hint="eastAsia" w:ascii="Times New Roman" w:hAnsi="Times New Roman" w:cs="Times New Roman"/>
                <w:color w:val="auto"/>
              </w:rPr>
              <w:t>。</w:t>
            </w:r>
          </w:p>
          <w:p>
            <w:pPr>
              <w:spacing w:before="240" w:line="360" w:lineRule="auto"/>
              <w:jc w:val="center"/>
              <w:rPr>
                <w:rFonts w:hint="eastAsia" w:ascii="Times New Roman"/>
                <w:b/>
                <w:color w:val="auto"/>
                <w:sz w:val="22"/>
              </w:rPr>
            </w:pPr>
            <w:r>
              <w:rPr>
                <w:rFonts w:hint="eastAsia" w:ascii="Times New Roman"/>
                <w:b/>
                <w:color w:val="auto"/>
                <w:sz w:val="22"/>
              </w:rPr>
              <w:t>表</w:t>
            </w:r>
            <w:r>
              <w:rPr>
                <w:rFonts w:hint="eastAsia" w:ascii="Times New Roman"/>
                <w:b/>
                <w:color w:val="auto"/>
                <w:sz w:val="22"/>
                <w:lang w:val="en-US" w:eastAsia="zh-CN"/>
              </w:rPr>
              <w:t>1-7</w:t>
            </w:r>
            <w:r>
              <w:rPr>
                <w:rFonts w:hint="eastAsia" w:ascii="Times New Roman"/>
                <w:b/>
                <w:color w:val="auto"/>
                <w:sz w:val="22"/>
              </w:rPr>
              <w:t xml:space="preserve">   建设期主要污染工序一览表</w:t>
            </w:r>
          </w:p>
          <w:tbl>
            <w:tblPr>
              <w:tblStyle w:val="17"/>
              <w:tblW w:w="0" w:type="auto"/>
              <w:jc w:val="center"/>
              <w:tblBorders>
                <w:top w:val="thinThickSmallGap" w:color="auto" w:sz="12" w:space="0"/>
                <w:left w:val="single" w:color="auto" w:sz="4" w:space="0"/>
                <w:bottom w:val="thinThickSmallGap" w:color="auto" w:sz="12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11"/>
              <w:gridCol w:w="2137"/>
              <w:gridCol w:w="2011"/>
              <w:gridCol w:w="3090"/>
            </w:tblGrid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  <w:t>污染类别</w:t>
                  </w: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  <w:t>污染源名称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  <w:t>产生工序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</w:rPr>
                    <w:t>主要污染因子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废气</w:t>
                  </w: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施工扬尘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施工过程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TSP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vMerge w:val="restar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废水</w:t>
                  </w: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生活污水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施工人员生活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cs="宋体" w:eastAsiaTheme="minorEastAsia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COD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  <w:vertAlign w:val="subscript"/>
                    </w:rPr>
                    <w:t>Cr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、NH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  <w:vertAlign w:val="subscript"/>
                    </w:rPr>
                    <w:t>3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-N、BOD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  <w:vertAlign w:val="subscript"/>
                    </w:rPr>
                    <w:t>5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、SS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、</w:t>
                  </w: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动植物油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混凝土搅拌废水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施工过程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SS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噪声</w:t>
                  </w: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施工设备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施工过程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设备噪声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vMerge w:val="restar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固废</w:t>
                  </w: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生活垃圾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施工人员生活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生活垃圾</w:t>
                  </w:r>
                </w:p>
              </w:tc>
            </w:tr>
            <w:tr>
              <w:tblPrEx>
                <w:tblBorders>
                  <w:top w:val="thinThickSmallGap" w:color="auto" w:sz="12" w:space="0"/>
                  <w:left w:val="single" w:color="auto" w:sz="4" w:space="0"/>
                  <w:bottom w:val="thinThickSmallGap" w:color="auto" w:sz="12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1311" w:type="dxa"/>
                  <w:vMerge w:val="continue"/>
                  <w:noWrap w:val="0"/>
                  <w:vAlign w:val="center"/>
                </w:tcPr>
                <w:p>
                  <w:pPr>
                    <w:spacing w:line="240" w:lineRule="auto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2137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建筑垃圾</w:t>
                  </w:r>
                </w:p>
              </w:tc>
              <w:tc>
                <w:tcPr>
                  <w:tcW w:w="2011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施工过程</w:t>
                  </w:r>
                </w:p>
              </w:tc>
              <w:tc>
                <w:tcPr>
                  <w:tcW w:w="3090" w:type="dxa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 w:cs="宋体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cs="宋体"/>
                      <w:color w:val="auto"/>
                      <w:kern w:val="0"/>
                      <w:sz w:val="21"/>
                      <w:szCs w:val="21"/>
                    </w:rPr>
                    <w:t>废弃土石方、建筑材料</w:t>
                  </w:r>
                </w:p>
              </w:tc>
            </w:tr>
          </w:tbl>
          <w:p>
            <w:pPr>
              <w:pStyle w:val="31"/>
              <w:ind w:firstLine="0" w:firstLineChars="0"/>
              <w:rPr>
                <w:rFonts w:hint="eastAsia" w:ascii="Times New Roman" w:hAnsi="Times New Roman" w:cs="Times New Roman"/>
                <w:b/>
                <w:color w:val="auto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/>
                <w:color w:val="auto"/>
              </w:rPr>
              <w:t>、</w:t>
            </w:r>
            <w:r>
              <w:rPr>
                <w:rFonts w:hint="eastAsia" w:ascii="Times New Roman" w:hAnsi="Times New Roman" w:cs="Times New Roman"/>
                <w:b/>
                <w:color w:val="auto"/>
                <w:lang w:eastAsia="zh-CN"/>
              </w:rPr>
              <w:t>营运期</w:t>
            </w:r>
            <w:r>
              <w:rPr>
                <w:rFonts w:ascii="Times New Roman" w:hAnsi="Times New Roman" w:cs="Times New Roman"/>
                <w:b/>
                <w:color w:val="auto"/>
              </w:rPr>
              <w:t>主要污染工序：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60" w:lineRule="auto"/>
              <w:ind w:firstLine="480" w:firstLineChars="200"/>
              <w:textAlignment w:val="auto"/>
              <w:outlineLvl w:val="3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①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大气污染物主要来自地下停车场的汽车尾气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，餐饮厨房油烟废气、垃圾收集点恶臭及柴油发电机烟气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。居民生活燃料使用煤气，属清洁能源，对环境空气影响小。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60" w:lineRule="auto"/>
              <w:ind w:firstLine="480" w:firstLineChars="200"/>
              <w:textAlignment w:val="auto"/>
              <w:outlineLvl w:val="3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②运行期住户及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物业工作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人员产生的生活污水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、商业废水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中含有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SS、BOD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vertAlign w:val="subscript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、COD、NH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-N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、动植物油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等污染物。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60" w:lineRule="auto"/>
              <w:ind w:firstLine="480" w:firstLineChars="200"/>
              <w:textAlignment w:val="auto"/>
              <w:outlineLvl w:val="3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③固体废物主要是居民产生的生活垃圾，对环境卫生有一定的影响。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60" w:lineRule="auto"/>
              <w:ind w:firstLine="480" w:firstLineChars="200"/>
              <w:textAlignment w:val="auto"/>
              <w:outlineLvl w:val="3"/>
              <w:rPr>
                <w:rFonts w:hint="default" w:ascii="Times New Roman" w:hAnsi="Times New Roman" w:eastAsia="黑体" w:cs="Times New Roman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④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噪声主要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住户车辆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进出产生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的交通噪声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和商业服务网点的社会噪声，对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小区内居民产生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一定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影响。</w:t>
            </w:r>
          </w:p>
        </w:tc>
      </w:tr>
    </w:tbl>
    <w:p>
      <w:pPr>
        <w:spacing w:line="360" w:lineRule="auto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bookmarkStart w:id="18" w:name="_Toc17025"/>
      <w:r>
        <w:rPr>
          <w:rFonts w:hint="default" w:ascii="Times New Roman" w:hAnsi="Times New Roman" w:cs="Times New Roman"/>
          <w:b/>
          <w:sz w:val="28"/>
          <w:szCs w:val="28"/>
        </w:rPr>
        <w:t xml:space="preserve">表二  </w:t>
      </w:r>
      <w:bookmarkEnd w:id="3"/>
      <w:bookmarkEnd w:id="17"/>
      <w:r>
        <w:rPr>
          <w:rFonts w:hint="default" w:ascii="Times New Roman" w:hAnsi="Times New Roman" w:cs="Times New Roman"/>
          <w:b/>
          <w:sz w:val="28"/>
          <w:szCs w:val="28"/>
        </w:rPr>
        <w:t>主要污染物的产生、治理措施</w:t>
      </w:r>
      <w:bookmarkEnd w:id="18"/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4" w:hRule="atLeast"/>
          <w:jc w:val="center"/>
        </w:trPr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2.1 废水排放及治理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 w:eastAsiaTheme="minorEastAsia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本项目的废水主要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由住宅生活废水、商铺商业组成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。</w:t>
            </w:r>
          </w:p>
          <w:p>
            <w:pPr>
              <w:spacing w:line="360" w:lineRule="auto"/>
              <w:ind w:firstLine="482" w:firstLineChars="200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</w:rPr>
              <w:t>治理措施：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本项目采取雨污分流。雨水经雨水管网收集后外排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；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根据项目地形情况，项目设置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 w:eastAsia="zh-CN"/>
              </w:rPr>
              <w:t>个排污口。正常工况下项目产生的各类污废水经化粪池处理达到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《污水综合排放标准》(GB8978-1996)表4中三级标准后，纳入市政污水管网，经宜春市城北污水处理厂深度处理达《城镇污水处理厂污染物排放标准》(GB 18918-2002)一级A标准后排入袁河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highlight w:val="none"/>
              </w:rPr>
              <w:t>2.2 废气排放及治理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本项目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大气污染物主要来自停车场的汽车尾气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、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厨房油烟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、垃圾收集点恶臭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。</w:t>
            </w:r>
          </w:p>
          <w:p>
            <w:pPr>
              <w:tabs>
                <w:tab w:val="left" w:pos="851"/>
                <w:tab w:val="left" w:pos="1134"/>
                <w:tab w:val="left" w:pos="1276"/>
              </w:tabs>
              <w:spacing w:line="360" w:lineRule="auto"/>
              <w:ind w:firstLine="482" w:firstLineChars="200"/>
              <w:rPr>
                <w:rFonts w:hint="default" w:ascii="Times New Roman" w:hAnsi="Times New Roman" w:eastAsia="宋体" w:cs="Times New Roman"/>
                <w:color w:val="auto"/>
                <w:sz w:val="24"/>
                <w:highlight w:val="yellow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>治理措施：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lang w:eastAsia="zh-CN"/>
              </w:rPr>
              <w:t>地下及室内停车场排放的汽车尾气经机械排风装置排放，</w:t>
            </w:r>
            <w:r>
              <w:rPr>
                <w:rFonts w:ascii="Times New Roman"/>
                <w:color w:val="auto"/>
                <w:sz w:val="24"/>
              </w:rPr>
              <w:t>项目地下停车场的汽车尾气通过加强地下停车场的通风条件，尾气经设在地下停车场出入口的3米高竖向井排放</w:t>
            </w:r>
            <w:r>
              <w:rPr>
                <w:rFonts w:hint="eastAsia" w:ascii="Times New Roman"/>
                <w:color w:val="auto"/>
                <w:sz w:val="24"/>
                <w:lang w:eastAsia="zh-CN"/>
              </w:rPr>
              <w:t>，排放次数为6次/h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厨房油烟由每一户单独设置抽油烟机抽出屋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，住宅烟气进入内置式专用排气通道至楼顶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排放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val="en-US" w:eastAsia="zh-CN"/>
              </w:rPr>
              <w:t>经居民家安装的油烟机脱油烟后统一通过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内置式专用排气通道至楼顶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排放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）；垃圾收集点设置为为加盖的垃圾桶（相当于封闭式），定期清理及用水清洗，垃圾分类收集并打包（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val="en-US" w:eastAsia="zh-CN"/>
              </w:rPr>
              <w:t>垃圾日清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），周边设置绿化带，可有效减少恶臭影响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2.3 噪声产生及治理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本项目主要噪声源机动车、人群活动噪声以及道路行驶车辆产生的噪声。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82" w:firstLineChars="200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治理措施：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项目采用加强对停车场的管理，规范停车场的停车秩序，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小区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内禁鸣喇叭，减少机动车频繁启动和怠速；禁止人为喧哗、吵闹；对临路的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两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侧设置绿化带；利用建筑隔声、绿化等措施降低噪声。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配电室、泵房配置于地下室，中央空调机组安装于楼顶，同时采取隔振及消声措施，对周边环境影响小。</w:t>
            </w:r>
          </w:p>
          <w:p>
            <w:pPr>
              <w:pStyle w:val="10"/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2.4 固体废物的产生及治理</w:t>
            </w:r>
          </w:p>
          <w:p>
            <w:pPr>
              <w:spacing w:line="360" w:lineRule="auto"/>
              <w:ind w:firstLine="480" w:firstLineChars="200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固体废物主要为商业活动及居民产生的生活垃圾。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 w:val="0"/>
                <w:bCs w:val="0"/>
                <w:sz w:val="24"/>
                <w:highlight w:val="yellow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highlight w:val="none"/>
                <w:lang w:val="en-US" w:eastAsia="zh-CN"/>
              </w:rPr>
              <w:t>治理措施：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垃圾处理的资源化和减量化目标，对垃圾进行分类存放，使用加盖垃圾桶实现垃圾存放封闭化，可回收的像塑料瓶、玻璃瓶、纸质垃圾等可收集后交由专业单位回收、综合利用；不可回收垃圾统一收集后，由环卫部门卫生填埋处理，做到日产日清。</w:t>
            </w:r>
          </w:p>
          <w:p>
            <w:pPr>
              <w:pStyle w:val="10"/>
              <w:spacing w:line="360" w:lineRule="auto"/>
              <w:rPr>
                <w:rFonts w:hint="eastAsia" w:ascii="Times New Roman" w:hAnsi="Times New Roman" w:cs="Times New Roman" w:eastAsiaTheme="minorEastAsia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eastAsia="zh-CN"/>
              </w:rPr>
              <w:t>社会环境</w:t>
            </w:r>
          </w:p>
          <w:p>
            <w:pPr>
              <w:tabs>
                <w:tab w:val="left" w:pos="3794"/>
              </w:tabs>
              <w:spacing w:line="372" w:lineRule="auto"/>
              <w:ind w:firstLine="480"/>
              <w:outlineLvl w:val="1"/>
              <w:rPr>
                <w:rFonts w:hint="eastAsia" w:ascii="Times New Roman"/>
                <w:color w:val="auto"/>
                <w:sz w:val="24"/>
                <w:szCs w:val="21"/>
              </w:rPr>
            </w:pPr>
            <w:r>
              <w:rPr>
                <w:rFonts w:hint="eastAsia" w:ascii="Times New Roman"/>
                <w:color w:val="auto"/>
                <w:sz w:val="24"/>
                <w:szCs w:val="21"/>
              </w:rPr>
              <w:t>项目位于</w:t>
            </w:r>
            <w:r>
              <w:rPr>
                <w:rFonts w:hint="eastAsia" w:ascii="Times New Roman"/>
                <w:color w:val="auto"/>
                <w:sz w:val="24"/>
                <w:lang w:eastAsia="zh-CN"/>
              </w:rPr>
              <w:t>江西省宜春市袁州区下浦街道锦绣大道</w:t>
            </w:r>
            <w:r>
              <w:rPr>
                <w:rFonts w:hint="eastAsia" w:ascii="Times New Roman"/>
                <w:color w:val="auto"/>
                <w:sz w:val="24"/>
                <w:szCs w:val="21"/>
              </w:rPr>
              <w:t>，项目可能带来的影响主要是交通噪声。</w:t>
            </w:r>
          </w:p>
          <w:p>
            <w:pPr>
              <w:tabs>
                <w:tab w:val="left" w:pos="3794"/>
              </w:tabs>
              <w:spacing w:line="372" w:lineRule="auto"/>
              <w:ind w:firstLine="480"/>
              <w:outlineLvl w:val="1"/>
              <w:rPr>
                <w:rFonts w:hint="eastAsia" w:ascii="Times New Roman"/>
                <w:color w:val="auto"/>
                <w:sz w:val="24"/>
                <w:szCs w:val="21"/>
              </w:rPr>
            </w:pPr>
            <w:r>
              <w:rPr>
                <w:rFonts w:hint="eastAsia" w:ascii="Times New Roman"/>
                <w:color w:val="auto"/>
                <w:sz w:val="24"/>
                <w:szCs w:val="21"/>
                <w:lang w:eastAsia="zh-CN"/>
              </w:rPr>
              <w:t>建设单位</w:t>
            </w:r>
            <w:r>
              <w:rPr>
                <w:rFonts w:hint="eastAsia" w:ascii="Times New Roman"/>
                <w:color w:val="auto"/>
                <w:sz w:val="24"/>
                <w:szCs w:val="21"/>
              </w:rPr>
              <w:t>小区边界建立绿化带，从而既达到吸声、降噪的作用，又能阻挡扬尘、美化环境。</w:t>
            </w:r>
          </w:p>
          <w:p>
            <w:pPr>
              <w:pStyle w:val="10"/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2.5 现场照片</w:t>
            </w:r>
          </w:p>
          <w:tbl>
            <w:tblPr>
              <w:tblStyle w:val="18"/>
              <w:tblW w:w="0" w:type="auto"/>
              <w:tblInd w:w="5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85"/>
              <w:gridCol w:w="485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4" w:hRule="atLeast"/>
              </w:trPr>
              <w:tc>
                <w:tcPr>
                  <w:tcW w:w="4885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8"/>
                      <w:szCs w:val="28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8"/>
                      <w:szCs w:val="28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958465" cy="3300730"/>
                        <wp:effectExtent l="0" t="0" r="635" b="1270"/>
                        <wp:docPr id="3" name="图片 3" descr="9ea75b3280b5e909c2c697806ab487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3" descr="9ea75b3280b5e909c2c697806ab487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8465" cy="33007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856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8"/>
                      <w:szCs w:val="28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8"/>
                      <w:szCs w:val="28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942590" cy="3315970"/>
                        <wp:effectExtent l="0" t="0" r="3810" b="11430"/>
                        <wp:docPr id="6" name="图片 6" descr="503c9f94441907e2e1d98b7e9a499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图片 6" descr="503c9f94441907e2e1d98b7e9a499a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2590" cy="33159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7" w:hRule="atLeast"/>
              </w:trPr>
              <w:tc>
                <w:tcPr>
                  <w:tcW w:w="4885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  <w:t>雨水排口</w:t>
                  </w:r>
                </w:p>
              </w:tc>
              <w:tc>
                <w:tcPr>
                  <w:tcW w:w="4856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  <w:t>污水排口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885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  <w:drawing>
                      <wp:inline distT="0" distB="0" distL="114300" distR="114300">
                        <wp:extent cx="2958465" cy="3846830"/>
                        <wp:effectExtent l="0" t="0" r="635" b="1270"/>
                        <wp:docPr id="2" name="图片 2" descr="488e5b23fc4aada519053aca9ea8e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图片 2" descr="488e5b23fc4aada519053aca9ea8e8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8465" cy="3846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856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  <w:drawing>
                      <wp:inline distT="0" distB="0" distL="114300" distR="114300">
                        <wp:extent cx="2942590" cy="3923665"/>
                        <wp:effectExtent l="0" t="0" r="3810" b="635"/>
                        <wp:docPr id="7" name="图片 7" descr="d344664ff536848e0b6f56c13916f4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图片 7" descr="d344664ff536848e0b6f56c13916f4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2590" cy="3923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885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  <w:t>小区绿化</w:t>
                  </w:r>
                </w:p>
              </w:tc>
              <w:tc>
                <w:tcPr>
                  <w:tcW w:w="4856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  <w:t>小区绿化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42" w:hRule="atLeast"/>
              </w:trPr>
              <w:tc>
                <w:tcPr>
                  <w:tcW w:w="4885" w:type="dxa"/>
                  <w:vAlign w:val="center"/>
                </w:tcPr>
                <w:p>
                  <w:pPr>
                    <w:pStyle w:val="21"/>
                    <w:jc w:val="both"/>
                    <w:rPr>
                      <w:rFonts w:hint="eastAsia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</w:p>
              </w:tc>
              <w:tc>
                <w:tcPr>
                  <w:tcW w:w="4856" w:type="dxa"/>
                  <w:vAlign w:val="center"/>
                </w:tcPr>
                <w:p>
                  <w:pPr>
                    <w:pStyle w:val="1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bCs w:val="0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</w:p>
              </w:tc>
            </w:tr>
          </w:tbl>
          <w:p>
            <w:pPr>
              <w:pStyle w:val="10"/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2.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 xml:space="preserve"> 主要污染源及处理设施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该项目污染源及处理设施对照表2-1。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表2-1 主要污染物及处理设施对照表</w:t>
            </w:r>
          </w:p>
          <w:tbl>
            <w:tblPr>
              <w:tblStyle w:val="17"/>
              <w:tblW w:w="4990" w:type="pct"/>
              <w:jc w:val="center"/>
              <w:tblBorders>
                <w:top w:val="single" w:color="auto" w:sz="12" w:space="0"/>
                <w:left w:val="none" w:color="auto" w:sz="0" w:space="0"/>
                <w:bottom w:val="single" w:color="auto" w:sz="12" w:space="0"/>
                <w:right w:val="none" w:color="auto" w:sz="0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44"/>
              <w:gridCol w:w="1475"/>
              <w:gridCol w:w="1257"/>
              <w:gridCol w:w="2253"/>
              <w:gridCol w:w="2049"/>
              <w:gridCol w:w="916"/>
              <w:gridCol w:w="833"/>
            </w:tblGrid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  <w:jc w:val="center"/>
              </w:trPr>
              <w:tc>
                <w:tcPr>
                  <w:tcW w:w="48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内容</w:t>
                  </w:r>
                </w:p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类型</w:t>
                  </w: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污染源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污染物</w:t>
                  </w:r>
                </w:p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名称</w:t>
                  </w:r>
                </w:p>
              </w:tc>
              <w:tc>
                <w:tcPr>
                  <w:tcW w:w="11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环评要求处理设施</w:t>
                  </w:r>
                </w:p>
              </w:tc>
              <w:tc>
                <w:tcPr>
                  <w:tcW w:w="1053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实际建设处理设施</w:t>
                  </w:r>
                </w:p>
              </w:tc>
              <w:tc>
                <w:tcPr>
                  <w:tcW w:w="471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FF0000"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auto"/>
                      <w:sz w:val="21"/>
                      <w:szCs w:val="21"/>
                    </w:rPr>
                    <w:t>排放口</w:t>
                  </w:r>
                </w:p>
              </w:tc>
              <w:tc>
                <w:tcPr>
                  <w:tcW w:w="427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sz w:val="21"/>
                      <w:szCs w:val="21"/>
                    </w:rPr>
                    <w:t>排放去向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04" w:hRule="atLeast"/>
                <w:jc w:val="center"/>
              </w:trPr>
              <w:tc>
                <w:tcPr>
                  <w:tcW w:w="485" w:type="pct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</w:rPr>
                    <w:t>大气污染物</w:t>
                  </w: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7"/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  <w:t>地下停车库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spacing w:line="240" w:lineRule="exact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  <w:t>汽车</w:t>
                  </w:r>
                </w:p>
                <w:p>
                  <w:pPr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  <w:t>尾气</w:t>
                  </w:r>
                </w:p>
              </w:tc>
              <w:tc>
                <w:tcPr>
                  <w:tcW w:w="11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机械排风系统</w:t>
                  </w: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、</w:t>
                  </w:r>
                  <w:r>
                    <w:rPr>
                      <w:rFonts w:hint="eastAsia" w:ascii="Times New Roman"/>
                      <w:color w:val="auto"/>
                      <w:sz w:val="21"/>
                      <w:szCs w:val="21"/>
                    </w:rPr>
                    <w:t>6次/h</w:t>
                  </w: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、小区绿化</w:t>
                  </w:r>
                </w:p>
              </w:tc>
              <w:tc>
                <w:tcPr>
                  <w:tcW w:w="1053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ind w:left="105" w:leftChars="50" w:right="105" w:rightChars="50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  <w:lang w:eastAsia="zh-CN"/>
                    </w:rPr>
                    <w:t>与环评一致</w:t>
                  </w:r>
                </w:p>
              </w:tc>
              <w:tc>
                <w:tcPr>
                  <w:tcW w:w="471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 w:eastAsia="zh-CN"/>
                    </w:rPr>
                    <w:t>排风管</w:t>
                  </w:r>
                </w:p>
              </w:tc>
              <w:tc>
                <w:tcPr>
                  <w:tcW w:w="427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 w:eastAsia="zh-CN"/>
                    </w:rPr>
                    <w:t>大气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55" w:hRule="atLeast"/>
                <w:jc w:val="center"/>
              </w:trPr>
              <w:tc>
                <w:tcPr>
                  <w:tcW w:w="485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7"/>
                    <w:spacing w:line="240" w:lineRule="exact"/>
                    <w:jc w:val="center"/>
                    <w:rPr>
                      <w:rFonts w:hint="eastAsia" w:ascii="Times New Roman" w:hAnsi="Times New Roman" w:cs="Times New Roman" w:eastAsiaTheme="minorEastAsia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小区住户、餐饮商铺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240" w:lineRule="exact"/>
                    <w:jc w:val="center"/>
                    <w:rPr>
                      <w:rFonts w:hint="eastAsia" w:ascii="Times New Roman" w:hAnsi="Times New Roman" w:cs="Times New Roman" w:eastAsiaTheme="minorEastAsia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餐饮油烟</w:t>
                  </w:r>
                </w:p>
              </w:tc>
              <w:tc>
                <w:tcPr>
                  <w:tcW w:w="11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240" w:lineRule="exact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 w:val="0"/>
                      <w:color w:val="auto"/>
                      <w:sz w:val="21"/>
                      <w:szCs w:val="21"/>
                      <w:lang w:eastAsia="zh-CN"/>
                    </w:rPr>
                    <w:t>内置式专用排气通道</w:t>
                  </w:r>
                </w:p>
              </w:tc>
              <w:tc>
                <w:tcPr>
                  <w:tcW w:w="1053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ind w:left="105" w:leftChars="50" w:right="105" w:rightChars="50"/>
                    <w:jc w:val="center"/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  <w:lang w:eastAsia="zh-CN"/>
                    </w:rPr>
                    <w:t>与环评一致</w:t>
                  </w:r>
                </w:p>
              </w:tc>
              <w:tc>
                <w:tcPr>
                  <w:tcW w:w="471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 w:eastAsia="zh-CN"/>
                    </w:rPr>
                    <w:t>排风管</w:t>
                  </w:r>
                </w:p>
              </w:tc>
              <w:tc>
                <w:tcPr>
                  <w:tcW w:w="427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 w:eastAsia="zh-CN"/>
                    </w:rPr>
                    <w:t>大气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16" w:hRule="atLeast"/>
                <w:jc w:val="center"/>
              </w:trPr>
              <w:tc>
                <w:tcPr>
                  <w:tcW w:w="485" w:type="pct"/>
                  <w:tcBorders>
                    <w:tl2br w:val="nil"/>
                    <w:tr2bl w:val="nil"/>
                  </w:tcBorders>
                  <w:textDirection w:val="tbRlV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 w:val="0"/>
                      <w:sz w:val="21"/>
                      <w:szCs w:val="21"/>
                    </w:rPr>
                  </w:pPr>
                  <w:r>
                    <w:rPr>
                      <w:rFonts w:hint="eastAsia" w:ascii="Times New Roman" w:hAnsi="Times New Roman" w:cs="Times New Roman"/>
                      <w:sz w:val="21"/>
                      <w:szCs w:val="21"/>
                      <w:lang w:eastAsia="zh-CN"/>
                    </w:rPr>
                    <w:t>水</w:t>
                  </w: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</w:rPr>
                    <w:t>污染物</w:t>
                  </w: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废水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12"/>
                    <w:adjustRightInd w:val="0"/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废水</w:t>
                  </w:r>
                </w:p>
              </w:tc>
              <w:tc>
                <w:tcPr>
                  <w:tcW w:w="11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240" w:lineRule="exact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  <w:t>经化粪池处理后</w:t>
                  </w: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  <w:t>直接</w:t>
                  </w: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  <w:t>通过市政管网排放至</w:t>
                  </w: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  <w:t>宜春市城北污水处理厂</w:t>
                  </w:r>
                </w:p>
              </w:tc>
              <w:tc>
                <w:tcPr>
                  <w:tcW w:w="1053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  <w:lang w:eastAsia="zh-CN"/>
                    </w:rPr>
                    <w:t>与环评一致</w:t>
                  </w:r>
                </w:p>
              </w:tc>
              <w:tc>
                <w:tcPr>
                  <w:tcW w:w="471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eastAsia="宋体" w:cs="Times New Roman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Cs/>
                      <w:sz w:val="21"/>
                      <w:szCs w:val="21"/>
                      <w:lang w:eastAsia="zh-CN"/>
                    </w:rPr>
                    <w:t>化粪池排口</w:t>
                  </w:r>
                </w:p>
              </w:tc>
              <w:tc>
                <w:tcPr>
                  <w:tcW w:w="427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</w:rPr>
                    <w:t>污水管网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90" w:hRule="atLeast"/>
                <w:jc w:val="center"/>
              </w:trPr>
              <w:tc>
                <w:tcPr>
                  <w:tcW w:w="485" w:type="pct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</w:rPr>
                    <w:t>固体污染物</w:t>
                  </w: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12"/>
                    <w:adjustRightInd w:val="0"/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  <w:t>住户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12"/>
                    <w:adjustRightInd w:val="0"/>
                    <w:spacing w:line="240" w:lineRule="exact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  <w:t>生活垃圾</w:t>
                  </w:r>
                </w:p>
              </w:tc>
              <w:tc>
                <w:tcPr>
                  <w:tcW w:w="1158" w:type="pct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240" w:lineRule="exact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  <w:t>由环卫部门</w:t>
                  </w: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  <w:t>清运至高雁生活垃圾填埋场处理</w:t>
                  </w:r>
                </w:p>
              </w:tc>
              <w:tc>
                <w:tcPr>
                  <w:tcW w:w="1952" w:type="pct"/>
                  <w:gridSpan w:val="3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ind w:left="105" w:leftChars="50" w:right="105" w:rightChars="50"/>
                    <w:jc w:val="center"/>
                    <w:rPr>
                      <w:rFonts w:hint="default" w:ascii="Times New Roman" w:hAnsi="Times New Roman" w:cs="Times New Roman" w:eastAsiaTheme="minorEastAsia"/>
                      <w:bCs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  <w:lang w:eastAsia="zh-CN"/>
                    </w:rPr>
                    <w:t>与环评一致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68" w:hRule="atLeast"/>
                <w:jc w:val="center"/>
              </w:trPr>
              <w:tc>
                <w:tcPr>
                  <w:tcW w:w="485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</w:rPr>
                  </w:pP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12"/>
                    <w:adjustRightInd w:val="0"/>
                    <w:spacing w:line="240" w:lineRule="exact"/>
                    <w:jc w:val="center"/>
                    <w:rPr>
                      <w:rFonts w:hint="eastAsia" w:ascii="Times New Roman" w:hAnsi="Times New Roman" w:cs="Times New Roman" w:eastAsiaTheme="minorEastAsia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商铺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pStyle w:val="12"/>
                    <w:adjustRightInd w:val="0"/>
                    <w:spacing w:line="240" w:lineRule="exact"/>
                    <w:jc w:val="center"/>
                    <w:rPr>
                      <w:rFonts w:hint="eastAsia" w:ascii="Times New Roman" w:hAnsi="Times New Roman" w:cs="Times New Roman" w:eastAsiaTheme="minorEastAsia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商业垃圾</w:t>
                  </w:r>
                </w:p>
              </w:tc>
              <w:tc>
                <w:tcPr>
                  <w:tcW w:w="1158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240" w:lineRule="exact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952" w:type="pct"/>
                  <w:gridSpan w:val="3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ind w:left="105" w:leftChars="50" w:right="105" w:rightChars="50"/>
                    <w:jc w:val="center"/>
                    <w:rPr>
                      <w:rFonts w:hint="default" w:ascii="Times New Roman" w:hAnsi="Times New Roman" w:cs="Times New Roman"/>
                      <w:bCs/>
                      <w:sz w:val="21"/>
                      <w:szCs w:val="21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766" w:hRule="atLeast"/>
                <w:jc w:val="center"/>
              </w:trPr>
              <w:tc>
                <w:tcPr>
                  <w:tcW w:w="485" w:type="pct"/>
                  <w:vMerge w:val="restart"/>
                  <w:tcBorders>
                    <w:tl2br w:val="nil"/>
                    <w:tr2bl w:val="nil"/>
                  </w:tcBorders>
                  <w:textDirection w:val="tbRlV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</w:rPr>
                    <w:t>噪声</w:t>
                  </w: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highlight w:val="yellow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highlight w:val="none"/>
                      <w:lang w:eastAsia="zh-CN"/>
                    </w:rPr>
                    <w:t>社会活动道路车辆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lang w:eastAsia="zh-CN"/>
                    </w:rPr>
                    <w:t>噪声</w:t>
                  </w:r>
                </w:p>
              </w:tc>
              <w:tc>
                <w:tcPr>
                  <w:tcW w:w="1158" w:type="pct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  <w:t>水泵</w:t>
                  </w:r>
                  <w:r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val="en-US" w:eastAsia="zh-CN"/>
                    </w:rPr>
                    <w:t>等</w:t>
                  </w:r>
                  <w:r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  <w:t>布置在地下室，</w:t>
                  </w:r>
                  <w:r>
                    <w:rPr>
                      <w:rFonts w:hint="eastAsia" w:ascii="Times New Roman" w:hAnsi="Times New Roman" w:cs="Times New Roman"/>
                      <w:sz w:val="21"/>
                      <w:szCs w:val="21"/>
                      <w:lang w:eastAsia="zh-CN"/>
                    </w:rPr>
                    <w:t>通风设备安装于楼顶</w:t>
                  </w:r>
                  <w:r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  <w:t>、采用吸声材料、</w:t>
                  </w:r>
                  <w:r>
                    <w:rPr>
                      <w:rFonts w:hint="eastAsia" w:ascii="Times New Roman" w:hAnsi="Times New Roman" w:cs="Times New Roman"/>
                      <w:sz w:val="21"/>
                      <w:szCs w:val="21"/>
                      <w:lang w:eastAsia="zh-CN"/>
                    </w:rPr>
                    <w:t>小区进行绿化，</w:t>
                  </w:r>
                  <w:r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  <w:t>进出车辆限速、禁止鸣笛等</w:t>
                  </w:r>
                </w:p>
              </w:tc>
              <w:tc>
                <w:tcPr>
                  <w:tcW w:w="1952" w:type="pct"/>
                  <w:gridSpan w:val="3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 w:eastAsiaTheme="minorEastAsia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1"/>
                      <w:szCs w:val="21"/>
                      <w:lang w:eastAsia="zh-CN"/>
                    </w:rPr>
                    <w:t>与环评一致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32" w:hRule="atLeast"/>
                <w:jc w:val="center"/>
              </w:trPr>
              <w:tc>
                <w:tcPr>
                  <w:tcW w:w="485" w:type="pct"/>
                  <w:vMerge w:val="continue"/>
                  <w:tcBorders>
                    <w:tl2br w:val="nil"/>
                    <w:tr2bl w:val="nil"/>
                  </w:tcBorders>
                  <w:textDirection w:val="tbRlV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</w:p>
              </w:tc>
              <w:tc>
                <w:tcPr>
                  <w:tcW w:w="758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 w:eastAsiaTheme="minorEastAsia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通风设备、配电设施及</w:t>
                  </w:r>
                  <w:r>
                    <w:rPr>
                      <w:rFonts w:hint="eastAsia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水</w:t>
                  </w: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泵</w:t>
                  </w:r>
                </w:p>
              </w:tc>
              <w:tc>
                <w:tcPr>
                  <w:tcW w:w="646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 w:eastAsiaTheme="minorEastAsia"/>
                      <w:color w:val="auto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  <w:t>噪声</w:t>
                  </w:r>
                </w:p>
              </w:tc>
              <w:tc>
                <w:tcPr>
                  <w:tcW w:w="1158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</w:pPr>
                </w:p>
              </w:tc>
              <w:tc>
                <w:tcPr>
                  <w:tcW w:w="1952" w:type="pct"/>
                  <w:gridSpan w:val="3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lang w:eastAsia="zh-CN"/>
                    </w:rPr>
                  </w:pPr>
                </w:p>
              </w:tc>
            </w:tr>
          </w:tbl>
          <w:p>
            <w:pP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highlight w:val="none"/>
              </w:rPr>
              <w:t>2.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highlight w:val="none"/>
              </w:rPr>
              <w:t xml:space="preserve"> 主要环保投资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本项目实际总投资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76319.72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万元，环保投资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763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万元，占总投资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%。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表2-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环评投资与实际投资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对照表</w:t>
            </w:r>
          </w:p>
          <w:tbl>
            <w:tblPr>
              <w:tblStyle w:val="17"/>
              <w:tblW w:w="4796" w:type="pct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41"/>
              <w:gridCol w:w="9"/>
              <w:gridCol w:w="5067"/>
              <w:gridCol w:w="332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3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</w:rPr>
                    <w:t>序号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</w:rPr>
                    <w:t>工程项目或名称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 w:cs="宋体" w:eastAsiaTheme="minorEastAsia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  <w:lang w:eastAsia="zh-CN"/>
                    </w:rPr>
                  </w:pPr>
                  <w:r>
                    <w:rPr>
                      <w:rFonts w:hint="eastAsia"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  <w:lang w:eastAsia="zh-CN"/>
                    </w:rPr>
                    <w:t>实际投资</w:t>
                  </w:r>
                  <w:r>
                    <w:rPr>
                      <w:rFonts w:hint="eastAsia" w:ascii="Times New Roman" w:cs="宋体"/>
                      <w:b/>
                      <w:bCs/>
                      <w:color w:val="auto"/>
                      <w:kern w:val="0"/>
                      <w:sz w:val="21"/>
                      <w:szCs w:val="21"/>
                      <w:highlight w:val="none"/>
                    </w:rPr>
                    <w:t>（万元）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1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化粪池及污水管道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80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2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垃圾收集点及清运费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3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油烟废气治理（烟道等）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50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4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隔声降噪设施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50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5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绿地及景观建设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100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509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6</w:t>
                  </w:r>
                </w:p>
              </w:tc>
              <w:tc>
                <w:tcPr>
                  <w:tcW w:w="2712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车库通风系统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100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6" w:hRule="atLeast"/>
                <w:jc w:val="center"/>
              </w:trPr>
              <w:tc>
                <w:tcPr>
                  <w:tcW w:w="504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7</w:t>
                  </w:r>
                </w:p>
              </w:tc>
              <w:tc>
                <w:tcPr>
                  <w:tcW w:w="2717" w:type="pct"/>
                  <w:gridSpan w:val="2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</w:rPr>
                    <w:t>合计</w:t>
                  </w:r>
                </w:p>
              </w:tc>
              <w:tc>
                <w:tcPr>
                  <w:tcW w:w="1778" w:type="pct"/>
                  <w:noWrap w:val="0"/>
                  <w:vAlign w:val="center"/>
                </w:tcPr>
                <w:p>
                  <w:pPr>
                    <w:spacing w:line="240" w:lineRule="auto"/>
                    <w:jc w:val="center"/>
                    <w:rPr>
                      <w:rFonts w:hint="default" w:ascii="Times New Roman" w:eastAsiaTheme="minorEastAsia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400</w:t>
                  </w:r>
                </w:p>
              </w:tc>
            </w:tr>
          </w:tbl>
          <w:p>
            <w:pPr>
              <w:spacing w:line="360" w:lineRule="auto"/>
              <w:rPr>
                <w:rFonts w:hint="default" w:ascii="Times New Roman" w:hAnsi="Times New Roman" w:cs="Times New Roman"/>
                <w:szCs w:val="28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szCs w:val="28"/>
        </w:rPr>
      </w:pPr>
      <w:r>
        <w:rPr>
          <w:rFonts w:hint="default" w:ascii="Times New Roman" w:hAnsi="Times New Roman" w:cs="Times New Roman"/>
          <w:szCs w:val="28"/>
        </w:rPr>
        <w:br w:type="page"/>
      </w:r>
    </w:p>
    <w:p>
      <w:pPr>
        <w:spacing w:line="360" w:lineRule="auto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bookmarkStart w:id="19" w:name="_Toc21219"/>
      <w:bookmarkStart w:id="20" w:name="_Toc20892"/>
      <w:bookmarkStart w:id="21" w:name="_Toc29380"/>
      <w:r>
        <w:rPr>
          <w:rFonts w:hint="default" w:ascii="Times New Roman" w:hAnsi="Times New Roman" w:cs="Times New Roman"/>
          <w:b/>
          <w:sz w:val="28"/>
          <w:szCs w:val="28"/>
        </w:rPr>
        <w:t>表三</w:t>
      </w:r>
      <w:bookmarkEnd w:id="19"/>
      <w:r>
        <w:rPr>
          <w:rFonts w:hint="default" w:ascii="Times New Roman" w:hAnsi="Times New Roman" w:cs="Times New Roman"/>
          <w:b/>
          <w:sz w:val="28"/>
          <w:szCs w:val="28"/>
        </w:rPr>
        <w:t xml:space="preserve">  </w:t>
      </w:r>
      <w:bookmarkEnd w:id="20"/>
      <w:bookmarkEnd w:id="21"/>
      <w:bookmarkStart w:id="22" w:name="_Toc22536"/>
      <w:bookmarkStart w:id="23" w:name="_Toc26852"/>
      <w:r>
        <w:rPr>
          <w:rFonts w:hint="default" w:ascii="Times New Roman" w:hAnsi="Times New Roman" w:cs="Times New Roman"/>
          <w:b/>
          <w:sz w:val="28"/>
          <w:szCs w:val="28"/>
        </w:rPr>
        <w:t xml:space="preserve"> 验收监测质量控制</w:t>
      </w:r>
      <w:bookmarkEnd w:id="22"/>
      <w:bookmarkEnd w:id="23"/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5" w:hRule="atLeast"/>
          <w:jc w:val="center"/>
        </w:trPr>
        <w:tc>
          <w:tcPr>
            <w:tcW w:w="5000" w:type="pct"/>
          </w:tcPr>
          <w:p>
            <w:pPr>
              <w:spacing w:line="360" w:lineRule="auto"/>
              <w:outlineLvl w:val="1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24" w:name="_Toc3687"/>
            <w:r>
              <w:rPr>
                <w:rFonts w:hint="eastAsia" w:ascii="Times New Roman" w:hAnsi="Times New Roman" w:cs="Times New Roman"/>
                <w:b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.1</w:t>
            </w:r>
            <w:bookmarkStart w:id="25" w:name="_Toc338171815"/>
            <w:bookmarkStart w:id="26" w:name="_Toc346805210"/>
            <w:bookmarkStart w:id="27" w:name="_Toc352244157"/>
            <w:bookmarkStart w:id="28" w:name="_Toc338170898"/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监测质量保证</w:t>
            </w:r>
            <w:bookmarkEnd w:id="25"/>
            <w:bookmarkEnd w:id="26"/>
            <w:bookmarkEnd w:id="27"/>
            <w:bookmarkEnd w:id="28"/>
            <w:r>
              <w:rPr>
                <w:rFonts w:hint="default" w:ascii="Times New Roman" w:hAnsi="Times New Roman" w:cs="Times New Roman"/>
                <w:b/>
                <w:bCs/>
                <w:kern w:val="0"/>
                <w:sz w:val="28"/>
                <w:szCs w:val="28"/>
              </w:rPr>
              <w:t>及质量控制措施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</w:rPr>
              <w:t>、合理布设监测点，保证各监测点位布设的科学性和可比性。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、采样人员必须遵守采样操作规程，认真填写采样记录，按规定保存、运输样品。现场携带全程序空白样、采集平行样，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、监测分析方法均采用国家标准或国家环保部颁布的分析方法，实验室分析人员均持证上岗。分析采取空白样、明码平行样、质控样品测定等措施对检测全过程进行质量控制。所有检测仪器、量具均经过计量部门检定合格并在有效期内使用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z w:val="24"/>
              </w:rPr>
              <w:t>、噪声测定前需校正仪器。</w:t>
            </w:r>
          </w:p>
          <w:p>
            <w:pPr>
              <w:adjustRightInd w:val="0"/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4"/>
              </w:rPr>
              <w:t>、监测数据严格执行三级审核制度，保证数据的合理、有效。</w:t>
            </w:r>
            <w:bookmarkEnd w:id="24"/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 w:ascii="Times New Roman" w:hAnsi="Times New Roman" w:cs="Times New Roman"/>
          <w:sz w:val="28"/>
          <w:szCs w:val="28"/>
        </w:rPr>
      </w:pPr>
      <w:bookmarkStart w:id="29" w:name="_Toc22324"/>
      <w:bookmarkStart w:id="30" w:name="_Toc10699"/>
      <w:r>
        <w:rPr>
          <w:rFonts w:hint="default" w:ascii="Times New Roman" w:hAnsi="Times New Roman" w:cs="Times New Roman"/>
          <w:sz w:val="28"/>
          <w:szCs w:val="28"/>
        </w:rPr>
        <w:t>表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四</w:t>
      </w:r>
      <w:r>
        <w:rPr>
          <w:rFonts w:hint="default" w:ascii="Times New Roman" w:hAnsi="Times New Roman" w:cs="Times New Roman"/>
          <w:sz w:val="28"/>
          <w:szCs w:val="28"/>
        </w:rPr>
        <w:t xml:space="preserve">  验收监测内容</w:t>
      </w:r>
      <w:bookmarkEnd w:id="29"/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pStyle w:val="3"/>
              <w:outlineLvl w:val="1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31" w:name="_Toc8191"/>
            <w:bookmarkStart w:id="32" w:name="_Toc9364"/>
            <w:bookmarkStart w:id="33" w:name="_Toc12471"/>
            <w:bookmarkStart w:id="34" w:name="_Toc32652"/>
            <w:bookmarkStart w:id="35" w:name="_Toc7635"/>
            <w:bookmarkStart w:id="36" w:name="_Toc6960"/>
            <w:bookmarkStart w:id="37" w:name="_Toc29098"/>
            <w:bookmarkStart w:id="38" w:name="_Toc20884"/>
            <w:bookmarkStart w:id="39" w:name="_Toc32648"/>
            <w:bookmarkStart w:id="40" w:name="_Toc3050"/>
            <w:bookmarkStart w:id="41" w:name="_Toc23272"/>
            <w:bookmarkStart w:id="42" w:name="_Toc1076"/>
            <w:r>
              <w:rPr>
                <w:rFonts w:hint="eastAsia" w:ascii="Times New Roman" w:hAnsi="Times New Roman" w:cs="Times New Roman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.1 环境保护设施调试效果</w:t>
            </w:r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通过对各类污染物达标排放及各类污染治理设施去除效率的监测，来说明环境保护设施调试效果，具体监测内容如下：</w:t>
            </w:r>
          </w:p>
          <w:p>
            <w:pPr>
              <w:adjustRightInd w:val="0"/>
              <w:snapToGrid w:val="0"/>
              <w:spacing w:line="360" w:lineRule="auto"/>
              <w:outlineLvl w:val="0"/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</w:pPr>
            <w:bookmarkStart w:id="43" w:name="_Toc8385"/>
            <w:bookmarkStart w:id="44" w:name="_Toc23731"/>
            <w:bookmarkStart w:id="45" w:name="_Toc9704"/>
            <w:bookmarkStart w:id="46" w:name="_Toc21542"/>
            <w:r>
              <w:rPr>
                <w:rFonts w:hint="eastAsia" w:ascii="Times New Roman" w:hAnsi="Times New Roman" w:cs="Times New Roman"/>
                <w:b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/>
                <w:sz w:val="24"/>
              </w:rPr>
              <w:t>.1.</w:t>
            </w:r>
            <w:bookmarkEnd w:id="43"/>
            <w:bookmarkEnd w:id="44"/>
            <w:bookmarkEnd w:id="45"/>
            <w:bookmarkEnd w:id="46"/>
            <w:bookmarkStart w:id="47" w:name="_Toc13649"/>
            <w:bookmarkStart w:id="48" w:name="_Toc25034"/>
            <w:bookmarkStart w:id="49" w:name="_Toc19542"/>
            <w:bookmarkStart w:id="50" w:name="_Toc7750"/>
            <w:bookmarkStart w:id="51" w:name="_Toc15409"/>
            <w:bookmarkStart w:id="52" w:name="_Toc16132"/>
            <w:bookmarkStart w:id="53" w:name="_Toc4619"/>
            <w:bookmarkStart w:id="54" w:name="_Toc10747"/>
            <w:bookmarkStart w:id="55" w:name="_Toc22872"/>
            <w:bookmarkStart w:id="56" w:name="_Toc30098"/>
            <w:bookmarkStart w:id="57" w:name="_Toc13953"/>
            <w:bookmarkStart w:id="58" w:name="_Toc20647"/>
            <w:bookmarkStart w:id="59" w:name="_Toc2720"/>
            <w:r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  <w:t>噪声</w:t>
            </w:r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</w:p>
          <w:p>
            <w:pPr>
              <w:spacing w:line="360" w:lineRule="auto"/>
              <w:ind w:right="-334" w:firstLine="480" w:firstLineChars="200"/>
              <w:jc w:val="left"/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</w:rPr>
              <w:t>1、噪声监测内容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</w:rPr>
              <w:t>本次噪声监测共设置4个监测点，监测点位和监测项目见表</w:t>
            </w:r>
            <w:r>
              <w:rPr>
                <w:rFonts w:hint="eastAsia" w:ascii="Times New Roman" w:hAnsi="Times New Roman" w:cs="Times New Roman"/>
                <w:bCs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</w:rPr>
              <w:t>-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</w:rPr>
              <w:t>。监测布点图见图</w:t>
            </w:r>
            <w:r>
              <w:rPr>
                <w:rFonts w:hint="eastAsia" w:ascii="Times New Roman" w:hAnsi="Times New Roman" w:cs="Times New Roman"/>
                <w:bCs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highlight w:val="none"/>
              </w:rPr>
              <w:t>-1；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  <w:t>表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  <w:t>-</w:t>
            </w:r>
            <w:r>
              <w:rPr>
                <w:rFonts w:hint="eastAsia" w:ascii="Times New Roman" w:hAnsi="Times New Roman" w:cs="Times New Roman"/>
                <w:b/>
                <w:color w:val="auto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  <w:t xml:space="preserve"> 噪声监测点位和监测项目</w:t>
            </w:r>
          </w:p>
          <w:tbl>
            <w:tblPr>
              <w:tblStyle w:val="17"/>
              <w:tblW w:w="4998" w:type="pct"/>
              <w:jc w:val="center"/>
              <w:tblBorders>
                <w:top w:val="single" w:color="auto" w:sz="12" w:space="0"/>
                <w:left w:val="none" w:color="auto" w:sz="0" w:space="0"/>
                <w:bottom w:val="single" w:color="auto" w:sz="12" w:space="0"/>
                <w:right w:val="none" w:color="auto" w:sz="0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4"/>
              <w:gridCol w:w="3167"/>
              <w:gridCol w:w="2992"/>
              <w:gridCol w:w="2599"/>
            </w:tblGrid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50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  <w:t>序号</w:t>
                  </w:r>
                </w:p>
              </w:tc>
              <w:tc>
                <w:tcPr>
                  <w:tcW w:w="162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  <w:t>监测点位</w:t>
                  </w:r>
                </w:p>
              </w:tc>
              <w:tc>
                <w:tcPr>
                  <w:tcW w:w="153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  <w:t>监测项目</w:t>
                  </w:r>
                </w:p>
              </w:tc>
              <w:tc>
                <w:tcPr>
                  <w:tcW w:w="1333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color w:val="auto"/>
                      <w:sz w:val="21"/>
                      <w:szCs w:val="21"/>
                      <w:highlight w:val="none"/>
                    </w:rPr>
                    <w:t>监测频次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50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  <w:t>1</w:t>
                  </w:r>
                </w:p>
              </w:tc>
              <w:tc>
                <w:tcPr>
                  <w:tcW w:w="3149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snapToGrid w:val="0"/>
                      <w:color w:val="auto"/>
                      <w:sz w:val="21"/>
                      <w:szCs w:val="21"/>
                      <w:highlight w:val="none"/>
                      <w:lang w:val="en-US" w:eastAsia="zh-CN"/>
                    </w:rPr>
                    <w:t>厂界外东侧1m处</w:t>
                  </w:r>
                </w:p>
              </w:tc>
              <w:tc>
                <w:tcPr>
                  <w:tcW w:w="1535" w:type="pct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  <w:t>昼间等效声级（Ld）和夜间等效声级（Ln）</w:t>
                  </w:r>
                </w:p>
              </w:tc>
              <w:tc>
                <w:tcPr>
                  <w:tcW w:w="1333" w:type="pct"/>
                  <w:vMerge w:val="restar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  <w:t>监测2天，每天1次</w:t>
                  </w: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50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  <w:t>2</w:t>
                  </w:r>
                </w:p>
              </w:tc>
              <w:tc>
                <w:tcPr>
                  <w:tcW w:w="3149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snapToGrid w:val="0"/>
                      <w:color w:val="auto"/>
                      <w:sz w:val="21"/>
                      <w:szCs w:val="21"/>
                      <w:highlight w:val="none"/>
                      <w:lang w:eastAsia="zh-CN"/>
                    </w:rPr>
                    <w:t>厂界外南侧1m处</w:t>
                  </w:r>
                </w:p>
              </w:tc>
              <w:tc>
                <w:tcPr>
                  <w:tcW w:w="1535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</w:p>
              </w:tc>
              <w:tc>
                <w:tcPr>
                  <w:tcW w:w="1333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50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  <w:t>3</w:t>
                  </w:r>
                </w:p>
              </w:tc>
              <w:tc>
                <w:tcPr>
                  <w:tcW w:w="3149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snapToGrid w:val="0"/>
                      <w:color w:val="auto"/>
                      <w:sz w:val="21"/>
                      <w:szCs w:val="21"/>
                      <w:highlight w:val="none"/>
                      <w:lang w:eastAsia="zh-CN"/>
                    </w:rPr>
                    <w:t>厂界外西侧1m处</w:t>
                  </w:r>
                </w:p>
              </w:tc>
              <w:tc>
                <w:tcPr>
                  <w:tcW w:w="1535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</w:p>
              </w:tc>
              <w:tc>
                <w:tcPr>
                  <w:tcW w:w="1333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</w:p>
              </w:tc>
            </w:tr>
            <w:tr>
              <w:tblPrEx>
                <w:tblBorders>
                  <w:top w:val="single" w:color="auto" w:sz="12" w:space="0"/>
                  <w:left w:val="none" w:color="auto" w:sz="0" w:space="0"/>
                  <w:bottom w:val="single" w:color="auto" w:sz="12" w:space="0"/>
                  <w:right w:val="none" w:color="auto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  <w:jc w:val="center"/>
              </w:trPr>
              <w:tc>
                <w:tcPr>
                  <w:tcW w:w="505" w:type="pct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  <w:t>4</w:t>
                  </w:r>
                </w:p>
              </w:tc>
              <w:tc>
                <w:tcPr>
                  <w:tcW w:w="3149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snapToGrid w:val="0"/>
                      <w:color w:val="auto"/>
                      <w:sz w:val="21"/>
                      <w:szCs w:val="21"/>
                      <w:highlight w:val="none"/>
                      <w:lang w:eastAsia="zh-CN"/>
                    </w:rPr>
                    <w:t>厂界外北侧1m处</w:t>
                  </w:r>
                </w:p>
              </w:tc>
              <w:tc>
                <w:tcPr>
                  <w:tcW w:w="1535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color w:val="auto"/>
                      <w:sz w:val="21"/>
                      <w:szCs w:val="21"/>
                      <w:highlight w:val="none"/>
                    </w:rPr>
                  </w:pPr>
                </w:p>
              </w:tc>
              <w:tc>
                <w:tcPr>
                  <w:tcW w:w="1333" w:type="pct"/>
                  <w:vMerge w:val="continue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Times New Roman" w:hAnsi="Times New Roman" w:cs="Times New Roman"/>
                      <w:bCs/>
                      <w:color w:val="auto"/>
                      <w:sz w:val="21"/>
                      <w:szCs w:val="21"/>
                      <w:highlight w:val="none"/>
                    </w:rPr>
                  </w:pPr>
                </w:p>
              </w:tc>
            </w:tr>
          </w:tbl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4"/>
                <w:highlight w:val="none"/>
                <w:lang w:val="en-US" w:eastAsia="zh-CN"/>
              </w:rPr>
              <w:t>5.1.2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highlight w:val="none"/>
              </w:rPr>
              <w:t>固体废物</w:t>
            </w:r>
          </w:p>
          <w:p>
            <w:pPr>
              <w:spacing w:line="360" w:lineRule="auto"/>
              <w:ind w:firstLine="480" w:firstLineChars="200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固体废物主要为商业活动及居民产生的生活垃圾。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 w:val="0"/>
                <w:bCs w:val="0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highlight w:val="none"/>
                <w:lang w:val="en-US" w:eastAsia="zh-CN"/>
              </w:rPr>
              <w:t>治理措施：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垃圾处理的资源化和减量化目标，对垃圾进行分类存放，使用加盖垃圾桶实现垃圾存放封闭化，可回收的像塑料瓶、玻璃瓶、纸质垃圾等可收集后交由专业单位回收、综合利用；不可回收垃圾统一收集后，由环卫部门卫生填埋处理，做到日产日清。</w:t>
            </w:r>
          </w:p>
          <w:p>
            <w:pPr>
              <w:spacing w:line="360" w:lineRule="auto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  <w:t>.1.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  <w:t>监测布点图及现场监测图</w:t>
            </w:r>
          </w:p>
          <w:p>
            <w:pPr>
              <w:pStyle w:val="1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4419600" cy="2814320"/>
                  <wp:effectExtent l="0" t="0" r="0" b="508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0" cy="281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jc w:val="center"/>
              <w:rPr>
                <w:rFonts w:hint="default" w:ascii="Times New Roman" w:hAnsi="Times New Roman" w:cs="Times New Roman"/>
                <w:color w:val="FF0000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</w:rPr>
              <w:t>图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</w:rPr>
              <w:t>-1 监测布点图</w:t>
            </w:r>
          </w:p>
        </w:tc>
      </w:tr>
    </w:tbl>
    <w:p>
      <w:pPr>
        <w:pageBreakBefore/>
        <w:spacing w:beforeLines="50" w:line="360" w:lineRule="auto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bookmarkStart w:id="60" w:name="_Toc9058"/>
      <w:bookmarkStart w:id="61" w:name="_Toc27124"/>
      <w:r>
        <w:rPr>
          <w:rFonts w:hint="default" w:ascii="Times New Roman" w:hAnsi="Times New Roman" w:cs="Times New Roman"/>
          <w:b/>
          <w:sz w:val="28"/>
          <w:szCs w:val="28"/>
        </w:rPr>
        <w:t>表</w:t>
      </w:r>
      <w:r>
        <w:rPr>
          <w:rFonts w:hint="eastAsia" w:ascii="Times New Roman" w:hAnsi="Times New Roman" w:cs="Times New Roman"/>
          <w:b/>
          <w:sz w:val="28"/>
          <w:szCs w:val="28"/>
          <w:lang w:val="en-US" w:eastAsia="zh-CN"/>
        </w:rPr>
        <w:t>五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</w:t>
      </w:r>
      <w:bookmarkEnd w:id="30"/>
      <w:bookmarkEnd w:id="60"/>
      <w:r>
        <w:rPr>
          <w:rFonts w:hint="default" w:ascii="Times New Roman" w:hAnsi="Times New Roman" w:cs="Times New Roman"/>
          <w:b/>
          <w:sz w:val="28"/>
          <w:szCs w:val="28"/>
        </w:rPr>
        <w:t>验收监测结果</w:t>
      </w:r>
      <w:bookmarkEnd w:id="61"/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6" w:hRule="atLeast"/>
          <w:jc w:val="center"/>
        </w:trPr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.1 验收监测期间工况记录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根据《建设项目竣工环境保护验收技术指南 污染影响类》工况统计对房产类项目要求，环保设备在正常负荷运行情况下，可以对其进行验收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监测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。</w:t>
            </w:r>
          </w:p>
          <w:p>
            <w:pPr>
              <w:adjustRightInd w:val="0"/>
              <w:snapToGrid w:val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.2 验收监测结果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.2.1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噪声监测结果见表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-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  <w:t>表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  <w:t>-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highlight w:val="none"/>
              </w:rPr>
              <w:t>噪声监测结果</w:t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5940425" cy="2266950"/>
                  <wp:effectExtent l="0" t="0" r="3175" b="635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监测结果表明：现场监测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期间，项目东、南、北厂界噪声昼间、夜间监测值满足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 w:bidi="ar-SA"/>
              </w:rPr>
              <w:t>《工业企业厂界环境噪声排放标准》（GB12348-2008）2类标准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.2.</w:t>
            </w:r>
            <w:r>
              <w:rPr>
                <w:rFonts w:hint="eastAsia" w:ascii="Times New Roman" w:hAnsi="Times New Roman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固体废物</w:t>
            </w:r>
          </w:p>
          <w:p>
            <w:pPr>
              <w:spacing w:line="360" w:lineRule="auto"/>
              <w:ind w:firstLine="480" w:firstLineChars="200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固体废物主要为商业活动及居民产生的生活垃圾。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治理措施：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垃圾处理的资源化和减量化目标，对垃圾进行分类存放，使用加盖垃圾桶实现垃圾存放封闭化，可回收的像塑料瓶、玻璃瓶、纸质垃圾等可收集后交由专业单位回收、综合利用；不可回收垃圾统一收集后，由环卫部门卫生填埋处理，做到日产日清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adjustRightInd w:val="0"/>
              <w:snapToGrid w:val="0"/>
              <w:spacing w:line="360" w:lineRule="auto"/>
              <w:ind w:firstLine="422" w:firstLineChars="200"/>
              <w:jc w:val="both"/>
              <w:rPr>
                <w:rFonts w:hint="default" w:ascii="Times New Roman" w:hAnsi="Times New Roman" w:cs="Times New Roman"/>
                <w:b/>
                <w:color w:val="FF0000"/>
                <w:szCs w:val="28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b/>
          <w:color w:val="FF0000"/>
          <w:szCs w:val="28"/>
        </w:rPr>
      </w:pPr>
      <w:r>
        <w:rPr>
          <w:rFonts w:hint="default" w:ascii="Times New Roman" w:hAnsi="Times New Roman" w:cs="Times New Roman"/>
          <w:b/>
          <w:color w:val="FF0000"/>
          <w:szCs w:val="28"/>
        </w:rPr>
        <w:br w:type="page"/>
      </w:r>
    </w:p>
    <w:p>
      <w:pPr>
        <w:pageBreakBefore/>
        <w:kinsoku w:val="0"/>
        <w:overflowPunct w:val="0"/>
        <w:autoSpaceDE w:val="0"/>
        <w:autoSpaceDN w:val="0"/>
        <w:spacing w:beforeLines="50" w:line="360" w:lineRule="auto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bookmarkStart w:id="62" w:name="_Toc3277"/>
      <w:bookmarkStart w:id="63" w:name="_Toc20547"/>
      <w:bookmarkStart w:id="64" w:name="_Toc27235"/>
      <w:r>
        <w:rPr>
          <w:rFonts w:hint="default" w:ascii="Times New Roman" w:hAnsi="Times New Roman" w:cs="Times New Roman"/>
          <w:b/>
          <w:sz w:val="28"/>
          <w:szCs w:val="28"/>
        </w:rPr>
        <w:t>表</w:t>
      </w: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t>七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环境管理检查</w:t>
      </w:r>
      <w:bookmarkEnd w:id="62"/>
    </w:p>
    <w:tbl>
      <w:tblPr>
        <w:tblStyle w:val="18"/>
        <w:tblW w:w="99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06" w:type="dxa"/>
          </w:tcPr>
          <w:p>
            <w:pP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.1 环保审批手续及“三同时”执行情况检查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本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项目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翡丽江悦房地产开发项目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采用设计、采购、施工总承包（EPC）模式进行建设。建设单位为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宜春正泽置业有限公司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设计单位为广州市人防建筑设计研究院有限公司、成都基准方中建筑设计有限公司，施工单位为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eastAsia="zh-CN"/>
              </w:rPr>
              <w:t>江西省新宇建筑工程有限公司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eastAsia="zh-CN"/>
              </w:rPr>
              <w:t>，监理单位为江西永安工程项目管理有限公司</w:t>
            </w:r>
            <w:r>
              <w:rPr>
                <w:rFonts w:hint="default" w:ascii="Times New Roman" w:hAnsi="Times New Roman" w:cs="Times New Roman"/>
                <w:color w:val="0000FF"/>
                <w:sz w:val="24"/>
              </w:rPr>
              <w:t>。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该项目于2019年7月开工建设，2021年9月竣工验收，规划用地面积为61812㎡，总建筑面积216963㎡，房屋总套数1368套，主要建设内容为12栋25-32层的高层住宅、1栋3层幼儿园、1栋2层净菜市场、1栋1层垃圾中转站以及相关基础配套设施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该项目建设过程中，执行了环境影响评价法和“三同时”制度。环评、环保设计、试生产报批手续基本齐全，环保设施与主体工程同时设计、同时施工、同时投入使用。</w:t>
            </w:r>
          </w:p>
          <w:p>
            <w:pP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.2 环保治理设施的完成、运行、维护情况检查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项目实际总投资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10000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万元，环保投资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400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万元，占总投资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%，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环保设施基本按环评要求建设，目前已经落实到位，运行正常，环保治理设施由使用工段负责运行维护。</w:t>
            </w:r>
          </w:p>
          <w:p>
            <w:pP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.3 环境保护管理制度的建立和执行情况检查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 w:eastAsiaTheme="minorEastAsia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为加强环境保护管理，该公司制定了项目环境保护规章制度作为其环境管理规范，明确了环保职责和实施细则，保证环保工作正常有序地展开，为环保设施的正常稳定运行提供保证。</w:t>
            </w:r>
          </w:p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绿化情况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color w:val="auto"/>
                <w:sz w:val="24"/>
                <w:highlight w:val="yellow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厂区绿化率将达到23%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  <w:t>。</w:t>
            </w:r>
          </w:p>
          <w:p>
            <w:pPr>
              <w:pStyle w:val="11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Times New Roman" w:hAnsi="Times New Roman" w:cs="Times New Roman" w:eastAsiaTheme="minorEastAsia"/>
                <w:lang w:val="en-US" w:eastAsia="zh-CN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pageBreakBefore/>
        <w:kinsoku w:val="0"/>
        <w:overflowPunct w:val="0"/>
        <w:autoSpaceDE w:val="0"/>
        <w:autoSpaceDN w:val="0"/>
        <w:spacing w:beforeLines="50" w:line="360" w:lineRule="auto"/>
        <w:outlineLvl w:val="0"/>
        <w:rPr>
          <w:rFonts w:hint="default" w:ascii="Times New Roman" w:hAnsi="Times New Roman" w:cs="Times New Roman"/>
          <w:sz w:val="28"/>
          <w:szCs w:val="28"/>
        </w:rPr>
      </w:pPr>
      <w:bookmarkStart w:id="65" w:name="_Toc6378"/>
      <w:r>
        <w:rPr>
          <w:rFonts w:hint="default" w:ascii="Times New Roman" w:hAnsi="Times New Roman" w:cs="Times New Roman"/>
          <w:b/>
          <w:sz w:val="28"/>
          <w:szCs w:val="28"/>
        </w:rPr>
        <w:t>表</w:t>
      </w: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t>八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验收监测结论及建议</w:t>
      </w:r>
      <w:bookmarkEnd w:id="63"/>
      <w:bookmarkEnd w:id="64"/>
      <w:bookmarkEnd w:id="65"/>
    </w:p>
    <w:tbl>
      <w:tblPr>
        <w:tblStyle w:val="18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6" w:hRule="atLeast"/>
          <w:jc w:val="center"/>
        </w:trPr>
        <w:tc>
          <w:tcPr>
            <w:tcW w:w="9288" w:type="dxa"/>
          </w:tcPr>
          <w:p>
            <w:pPr>
              <w:tabs>
                <w:tab w:val="left" w:pos="395"/>
              </w:tabs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bookmarkStart w:id="66" w:name="_Toc19036"/>
            <w:r>
              <w:rPr>
                <w:rFonts w:hint="eastAsia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.1、验收监测结论：</w:t>
            </w:r>
            <w:bookmarkEnd w:id="66"/>
          </w:p>
          <w:p>
            <w:pPr>
              <w:tabs>
                <w:tab w:val="left" w:pos="395"/>
              </w:tabs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/>
                <w:sz w:val="24"/>
              </w:rPr>
            </w:pPr>
            <w:bookmarkStart w:id="67" w:name="_Toc18451"/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袁州区袁州新城震山片区棚户区改造二期项目东方红小区（现为“下浦小区”）</w:t>
            </w:r>
            <w:r>
              <w:rPr>
                <w:rFonts w:hint="default" w:ascii="Times New Roman" w:hAnsi="Times New Roman" w:cs="Times New Roman"/>
                <w:sz w:val="24"/>
              </w:rPr>
              <w:t>执行了国家有关环境保护法律法规，环境保护审批手续齐全，履行了环境影响评价制度，通过对该项目进行竣工环境保护验收监测及检查，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以及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根据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江西省祥逸检测技术有限公司出具的检测报告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XY23121901-07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）监测结果表明：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2023年12月19日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验收监测期间，</w:t>
            </w:r>
            <w:r>
              <w:rPr>
                <w:rFonts w:hint="default" w:ascii="Times New Roman" w:hAnsi="Times New Roman" w:cs="Times New Roman"/>
                <w:sz w:val="24"/>
              </w:rPr>
              <w:t>得出以下结论：</w:t>
            </w:r>
          </w:p>
          <w:p>
            <w:pPr>
              <w:spacing w:line="360" w:lineRule="auto"/>
              <w:ind w:firstLine="482" w:firstLineChars="200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（1）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噪声</w:t>
            </w:r>
          </w:p>
          <w:p>
            <w:pPr>
              <w:spacing w:line="360" w:lineRule="auto"/>
              <w:ind w:firstLine="480" w:firstLineChars="200"/>
              <w:jc w:val="both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根据监测结果表明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项目东、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南、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西、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北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厂界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噪声昼间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、夜间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监测值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均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满足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lang w:val="en-US" w:eastAsia="zh-CN" w:bidi="ar-SA"/>
              </w:rPr>
              <w:t>《工业企业厂界环境噪声排放标准》（GB12348-2008）2类标准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spacing w:line="360" w:lineRule="auto"/>
              <w:ind w:firstLine="482" w:firstLineChars="200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Times New Roman" w:hAnsi="Times New Roman" w:cs="Times New Roman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）固体废弃物</w:t>
            </w:r>
          </w:p>
          <w:p>
            <w:pPr>
              <w:spacing w:line="360" w:lineRule="auto"/>
              <w:ind w:firstLine="480" w:firstLineChars="200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固体废物主要为商业活动及居民产生的生活垃圾。</w:t>
            </w:r>
          </w:p>
          <w:p>
            <w:pPr>
              <w:spacing w:line="360" w:lineRule="auto"/>
              <w:ind w:firstLine="480" w:firstLineChars="200"/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highlight w:val="none"/>
                <w:lang w:val="en-US" w:eastAsia="zh-CN"/>
              </w:rPr>
              <w:t>治理措施：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垃圾处理的资源化和减量化目标，对垃圾进行分类存放，使用加盖垃圾桶实现垃圾存放封闭化，可回收的像塑料瓶、玻璃瓶、纸质垃圾等可收集后交由专业单位回收、综合利用；不可回收垃圾统一收集后，由环卫部门卫生填埋处理，做到日产日清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结论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  <w:szCs w:val="24"/>
                <w:lang w:eastAsia="zh-CN"/>
              </w:rPr>
              <w:t>翡丽江悦房地产开发项目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主体工程立项、设计、施工和试生产过程中，依据国家有关环保政策要求，环保设施执行了与主体工程同时设计、同时施工和同时运行的“三同时”制度，目前各项环保设施运行状况正常。现企业满足工程竣工环境保护验收条件，建议企业自行组织工程竣工环境保护验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b/>
                <w:sz w:val="28"/>
                <w:szCs w:val="28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.2、建议</w:t>
            </w:r>
            <w:bookmarkEnd w:id="67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outlineLvl w:val="0"/>
              <w:rPr>
                <w:rFonts w:hint="default" w:ascii="Times New Roman" w:hAnsi="Times New Roman" w:cs="Times New Roman"/>
                <w:sz w:val="24"/>
              </w:rPr>
            </w:pPr>
            <w:bookmarkStart w:id="68" w:name="_Toc8701"/>
            <w:bookmarkStart w:id="69" w:name="_Toc7543"/>
            <w:bookmarkStart w:id="70" w:name="_Toc13027"/>
            <w:bookmarkStart w:id="71" w:name="_Toc1131"/>
            <w:bookmarkStart w:id="72" w:name="_Toc2288"/>
            <w:bookmarkStart w:id="73" w:name="_Toc31630"/>
            <w:bookmarkStart w:id="74" w:name="_Toc21421"/>
            <w:bookmarkStart w:id="75" w:name="_Toc32713"/>
            <w:bookmarkStart w:id="76" w:name="_Toc24560"/>
            <w:bookmarkStart w:id="77" w:name="_Toc15471"/>
            <w:bookmarkStart w:id="78" w:name="_Toc10026"/>
            <w:bookmarkStart w:id="79" w:name="_Toc1891"/>
            <w:bookmarkStart w:id="80" w:name="_Toc2488"/>
            <w:r>
              <w:rPr>
                <w:rFonts w:hint="default" w:ascii="Times New Roman" w:hAnsi="Times New Roman" w:cs="Times New Roman"/>
                <w:sz w:val="24"/>
              </w:rPr>
              <w:t>（1）严格遵守国家和地方的有关环保法律、法规，并落实报告表中提出的各项污染防治措施，实现污染物达标排放。</w:t>
            </w:r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</w:p>
          <w:p>
            <w:pPr>
              <w:spacing w:beforeLines="50"/>
              <w:ind w:firstLine="480" w:firstLineChars="200"/>
              <w:outlineLvl w:val="0"/>
              <w:rPr>
                <w:rFonts w:hint="default" w:ascii="Times New Roman" w:hAnsi="Times New Roman" w:cs="Times New Roman"/>
                <w:sz w:val="24"/>
              </w:rPr>
            </w:pPr>
            <w:bookmarkStart w:id="81" w:name="_Toc24065"/>
            <w:bookmarkStart w:id="82" w:name="_Toc16877"/>
            <w:bookmarkStart w:id="83" w:name="_Toc25057"/>
            <w:bookmarkStart w:id="84" w:name="_Toc5440"/>
            <w:bookmarkStart w:id="85" w:name="_Toc18479"/>
            <w:bookmarkStart w:id="86" w:name="_Toc18793"/>
            <w:bookmarkStart w:id="87" w:name="_Toc19503"/>
            <w:bookmarkStart w:id="88" w:name="_Toc27961"/>
            <w:bookmarkStart w:id="89" w:name="_Toc11770"/>
            <w:bookmarkStart w:id="90" w:name="_Toc17074"/>
            <w:bookmarkStart w:id="91" w:name="_Toc24883"/>
            <w:bookmarkStart w:id="92" w:name="_Toc1901"/>
            <w:bookmarkStart w:id="93" w:name="_Toc18064"/>
            <w:r>
              <w:rPr>
                <w:rFonts w:hint="default" w:ascii="Times New Roman" w:hAnsi="Times New Roman" w:cs="Times New Roman"/>
                <w:sz w:val="24"/>
              </w:rPr>
              <w:t>（2）建议对工作人员进行专业的环保知识培训，加强环保意识。</w:t>
            </w:r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</w:p>
          <w:p>
            <w:pPr>
              <w:spacing w:beforeLines="50"/>
              <w:ind w:firstLine="480" w:firstLineChars="200"/>
              <w:outlineLvl w:val="0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94" w:name="_Toc26541"/>
            <w:bookmarkStart w:id="95" w:name="_Toc11696"/>
            <w:bookmarkStart w:id="96" w:name="_Toc25674"/>
            <w:bookmarkStart w:id="97" w:name="_Toc17305"/>
            <w:bookmarkStart w:id="98" w:name="_Toc2151"/>
            <w:bookmarkStart w:id="99" w:name="_Toc24532"/>
            <w:bookmarkStart w:id="100" w:name="_Toc21958"/>
            <w:bookmarkStart w:id="101" w:name="_Toc16585"/>
            <w:bookmarkStart w:id="102" w:name="_Toc15390"/>
            <w:bookmarkStart w:id="103" w:name="_Toc22479"/>
            <w:bookmarkStart w:id="104" w:name="_Toc6143"/>
            <w:bookmarkStart w:id="105" w:name="_Toc19480"/>
            <w:bookmarkStart w:id="106" w:name="_Toc13754"/>
            <w:r>
              <w:rPr>
                <w:rFonts w:hint="default" w:ascii="Times New Roman" w:hAnsi="Times New Roman" w:cs="Times New Roman"/>
                <w:sz w:val="24"/>
              </w:rPr>
              <w:t>（3）加强小区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管理建设，使小区环境保持干净整洁。</w:t>
            </w:r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bookmarkEnd w:id="104"/>
            <w:bookmarkEnd w:id="105"/>
            <w:bookmarkEnd w:id="106"/>
          </w:p>
          <w:p>
            <w:pPr>
              <w:spacing w:beforeLines="50"/>
              <w:ind w:firstLine="480" w:firstLineChars="200"/>
              <w:outlineLvl w:val="0"/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107" w:name="_Toc12925"/>
            <w:bookmarkStart w:id="108" w:name="_Toc11004"/>
            <w:bookmarkStart w:id="109" w:name="_Toc30768"/>
            <w:bookmarkStart w:id="110" w:name="_Toc25045"/>
            <w:bookmarkStart w:id="111" w:name="_Toc5190"/>
            <w:bookmarkStart w:id="112" w:name="_Toc32030"/>
            <w:bookmarkStart w:id="113" w:name="_Toc14243"/>
            <w:bookmarkStart w:id="114" w:name="_Toc17955"/>
            <w:bookmarkStart w:id="115" w:name="_Toc10746"/>
            <w:bookmarkStart w:id="116" w:name="_Toc6359"/>
            <w:bookmarkStart w:id="117" w:name="_Toc17679"/>
            <w:bookmarkStart w:id="118" w:name="_Toc25887"/>
            <w:bookmarkStart w:id="119" w:name="_Toc21802"/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（4）建立完整的环保手续档案。</w:t>
            </w:r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  <w:bookmarkEnd w:id="119"/>
          </w:p>
          <w:p>
            <w:pPr>
              <w:spacing w:beforeLines="50"/>
              <w:ind w:firstLine="480" w:firstLineChars="200"/>
              <w:outlineLvl w:val="0"/>
              <w:rPr>
                <w:rFonts w:hint="default" w:ascii="Times New Roman" w:hAnsi="Times New Roman" w:cs="Times New Roman"/>
                <w:b/>
                <w:bCs/>
                <w:szCs w:val="28"/>
              </w:rPr>
            </w:pPr>
            <w:bookmarkStart w:id="120" w:name="_Toc4249"/>
            <w:bookmarkStart w:id="121" w:name="_Toc10102"/>
            <w:bookmarkStart w:id="122" w:name="_Toc32316"/>
            <w:bookmarkStart w:id="123" w:name="_Toc4034"/>
            <w:bookmarkStart w:id="124" w:name="_Toc5878"/>
            <w:bookmarkStart w:id="125" w:name="_Toc3056"/>
            <w:bookmarkStart w:id="126" w:name="_Toc13523"/>
            <w:bookmarkStart w:id="127" w:name="_Toc28859"/>
            <w:bookmarkStart w:id="128" w:name="_Toc30325"/>
            <w:bookmarkStart w:id="129" w:name="_Toc18109"/>
            <w:bookmarkStart w:id="130" w:name="_Toc18140"/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（5）加强小区绿化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维护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。</w:t>
            </w:r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</w:p>
        </w:tc>
      </w:tr>
    </w:tbl>
    <w:p>
      <w:pPr>
        <w:rPr>
          <w:rFonts w:hint="default" w:ascii="Times New Roman" w:hAnsi="Times New Roman" w:cs="Times New Roman"/>
          <w:b/>
          <w:bCs/>
          <w:sz w:val="22"/>
          <w:szCs w:val="28"/>
          <w:lang w:val="en-US" w:eastAsia="zh-CN"/>
        </w:rPr>
      </w:pPr>
      <w:r>
        <w:drawing>
          <wp:inline distT="0" distB="0" distL="114300" distR="114300">
            <wp:extent cx="5728970" cy="8239125"/>
            <wp:effectExtent l="0" t="0" r="11430" b="317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85510" cy="7541260"/>
            <wp:effectExtent l="0" t="0" r="8890" b="254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85510" cy="75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57215" cy="7886700"/>
            <wp:effectExtent l="0" t="0" r="6985" b="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57215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31" w:name="_GoBack"/>
      <w:r>
        <w:drawing>
          <wp:inline distT="0" distB="0" distL="114300" distR="114300">
            <wp:extent cx="5644515" cy="8253095"/>
            <wp:effectExtent l="0" t="0" r="6985" b="190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44515" cy="825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31"/>
    </w:p>
    <w:sectPr>
      <w:headerReference r:id="rId7" w:type="default"/>
      <w:footerReference r:id="rId8" w:type="default"/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wordWrap w:val="0"/>
      <w:jc w:val="right"/>
    </w:pPr>
    <w:r>
      <w:rPr>
        <w:rFonts w:hint="eastAsia"/>
      </w:rPr>
      <w:t xml:space="preserve">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wordWrap w:val="0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5" name="文本框 1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I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EzEsI6AgAAcwQAAA4AAABkcnMvZTJvRG9jLnhtbK1UzY7TMBC+I/EO&#10;lu80adGuSt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LNJWO7QAAAABQEAAA8AAAAAAAAAAQAgAAAAIgAAAGRycy9kb3ducmV2Lnht&#10;bFBLAQIUABQAAAAIAIdO4kCBMxLCOgIAAHMEAAAOAAAAAAAAAAEAIAAAAB8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I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tabs>
        <w:tab w:val="center" w:pos="484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niKxQ4AgAAb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Qfr6n3V&#10;PcAUWhY2emt5TBOl8nZ5CJA2KR4F6lRBp+IBc5h6dtmZOOh/nlPU0//E4h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OeIrF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zh-CN"/>
      </w:rPr>
      <w:t>宜春正泽置业有限公司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double" w:color="auto" w:sz="8" w:space="1"/>
      </w:pBdr>
      <w:rPr>
        <w:rFonts w:hint="eastAsia"/>
        <w:lang w:eastAsia="zh-CN"/>
      </w:rPr>
    </w:pPr>
    <w:r>
      <w:rPr>
        <w:rFonts w:hint="eastAsia"/>
        <w:b/>
        <w:bCs/>
        <w:color w:val="000000"/>
        <w:sz w:val="24"/>
        <w:szCs w:val="24"/>
        <w:lang w:eastAsia="zh-CN"/>
      </w:rPr>
      <w:t>翡丽江悦房地产开发项目</w:t>
    </w:r>
  </w:p>
  <w:p>
    <w:pPr>
      <w:pStyle w:val="15"/>
      <w:rPr>
        <w:rFonts w:hint="default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none" w:color="auto" w:sz="0" w:space="1"/>
      </w:pBdr>
      <w:rPr>
        <w:rFonts w:hint="eastAsia" w:asciiTheme="majorEastAsia" w:hAnsiTheme="majorEastAsia" w:eastAsiaTheme="majorEastAsia" w:cstheme="majorEastAsia"/>
        <w:b w:val="0"/>
        <w:bCs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116449"/>
    <w:multiLevelType w:val="singleLevel"/>
    <w:tmpl w:val="2C116449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B90E4A5"/>
    <w:multiLevelType w:val="singleLevel"/>
    <w:tmpl w:val="5B90E4A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BBB4009"/>
    <w:multiLevelType w:val="multilevel"/>
    <w:tmpl w:val="6BBB400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2N2Q5MmM0OTdjMGVhOGI5OWRmOTEzZTZiYjc2YjUifQ=="/>
    <w:docVar w:name="KSO_WPS_MARK_KEY" w:val="9c4018cd-ac5d-47ca-9d9d-433b4eb8358e"/>
  </w:docVars>
  <w:rsids>
    <w:rsidRoot w:val="595D42A0"/>
    <w:rsid w:val="000F3195"/>
    <w:rsid w:val="00EF4AE8"/>
    <w:rsid w:val="01A73B9A"/>
    <w:rsid w:val="01AD7F2B"/>
    <w:rsid w:val="023D0F95"/>
    <w:rsid w:val="02AD32CA"/>
    <w:rsid w:val="02F925F9"/>
    <w:rsid w:val="032558AB"/>
    <w:rsid w:val="0439728F"/>
    <w:rsid w:val="04B74A39"/>
    <w:rsid w:val="067A5C72"/>
    <w:rsid w:val="06B62CBE"/>
    <w:rsid w:val="07405C2F"/>
    <w:rsid w:val="0A1A0E5A"/>
    <w:rsid w:val="0A1F0599"/>
    <w:rsid w:val="0AC07149"/>
    <w:rsid w:val="0B4A2805"/>
    <w:rsid w:val="0BED129B"/>
    <w:rsid w:val="0C006EB6"/>
    <w:rsid w:val="0C3A1E11"/>
    <w:rsid w:val="0C7B1199"/>
    <w:rsid w:val="0F11732C"/>
    <w:rsid w:val="0F7740B6"/>
    <w:rsid w:val="10593C9C"/>
    <w:rsid w:val="10DF0599"/>
    <w:rsid w:val="11DF7B9D"/>
    <w:rsid w:val="12163BEA"/>
    <w:rsid w:val="12644A30"/>
    <w:rsid w:val="13043C27"/>
    <w:rsid w:val="130459E0"/>
    <w:rsid w:val="14B97E95"/>
    <w:rsid w:val="14ED3166"/>
    <w:rsid w:val="15BA6327"/>
    <w:rsid w:val="16C04369"/>
    <w:rsid w:val="1743332B"/>
    <w:rsid w:val="18907D93"/>
    <w:rsid w:val="1A7A0CB9"/>
    <w:rsid w:val="1A8250FB"/>
    <w:rsid w:val="1BF03EF9"/>
    <w:rsid w:val="1BF754B3"/>
    <w:rsid w:val="1C0A51E7"/>
    <w:rsid w:val="1C2363CC"/>
    <w:rsid w:val="1C4E482D"/>
    <w:rsid w:val="1D0C684C"/>
    <w:rsid w:val="1E4861D9"/>
    <w:rsid w:val="1E6F3A27"/>
    <w:rsid w:val="1E700DEF"/>
    <w:rsid w:val="1E8A260F"/>
    <w:rsid w:val="1FE77550"/>
    <w:rsid w:val="20813309"/>
    <w:rsid w:val="20B26B14"/>
    <w:rsid w:val="20E846D9"/>
    <w:rsid w:val="20EC3E60"/>
    <w:rsid w:val="21091F11"/>
    <w:rsid w:val="21B22BF2"/>
    <w:rsid w:val="21C3318B"/>
    <w:rsid w:val="21C775AF"/>
    <w:rsid w:val="220C3AEA"/>
    <w:rsid w:val="244B45EE"/>
    <w:rsid w:val="248F70B2"/>
    <w:rsid w:val="24AB61F0"/>
    <w:rsid w:val="24FE581D"/>
    <w:rsid w:val="255031A8"/>
    <w:rsid w:val="25B30980"/>
    <w:rsid w:val="2872687D"/>
    <w:rsid w:val="299B1B74"/>
    <w:rsid w:val="2ACD095F"/>
    <w:rsid w:val="2C5323A5"/>
    <w:rsid w:val="2C54287B"/>
    <w:rsid w:val="2C5D3A7E"/>
    <w:rsid w:val="2CEC47C1"/>
    <w:rsid w:val="2EA65243"/>
    <w:rsid w:val="30901D07"/>
    <w:rsid w:val="30DB7E0A"/>
    <w:rsid w:val="31A46386"/>
    <w:rsid w:val="31AD5E68"/>
    <w:rsid w:val="31F96E49"/>
    <w:rsid w:val="326F5ADD"/>
    <w:rsid w:val="32C01400"/>
    <w:rsid w:val="338F7E83"/>
    <w:rsid w:val="340454AC"/>
    <w:rsid w:val="34106640"/>
    <w:rsid w:val="34BC2C0D"/>
    <w:rsid w:val="35AB5CF5"/>
    <w:rsid w:val="35EF4916"/>
    <w:rsid w:val="36140CE4"/>
    <w:rsid w:val="36262D0C"/>
    <w:rsid w:val="37787A9E"/>
    <w:rsid w:val="381A1F3C"/>
    <w:rsid w:val="392F63D2"/>
    <w:rsid w:val="3938289B"/>
    <w:rsid w:val="39682CA5"/>
    <w:rsid w:val="397C71BA"/>
    <w:rsid w:val="399F07E5"/>
    <w:rsid w:val="39AE31FE"/>
    <w:rsid w:val="39E04806"/>
    <w:rsid w:val="3AA06C8F"/>
    <w:rsid w:val="3B023F76"/>
    <w:rsid w:val="3BAB5A6F"/>
    <w:rsid w:val="3BD70F28"/>
    <w:rsid w:val="3C114B86"/>
    <w:rsid w:val="3D15042E"/>
    <w:rsid w:val="3E067AAC"/>
    <w:rsid w:val="3EBE3B2D"/>
    <w:rsid w:val="3F0E7B3C"/>
    <w:rsid w:val="3F185ED5"/>
    <w:rsid w:val="40F834B6"/>
    <w:rsid w:val="430E14D9"/>
    <w:rsid w:val="44786A70"/>
    <w:rsid w:val="457F51A3"/>
    <w:rsid w:val="484216E1"/>
    <w:rsid w:val="489A776F"/>
    <w:rsid w:val="49CE2073"/>
    <w:rsid w:val="4CAE0B51"/>
    <w:rsid w:val="4D2D45E2"/>
    <w:rsid w:val="4D3A32CE"/>
    <w:rsid w:val="4D7E765F"/>
    <w:rsid w:val="4D9804B6"/>
    <w:rsid w:val="4DDB0F7B"/>
    <w:rsid w:val="4E655473"/>
    <w:rsid w:val="4EBA1871"/>
    <w:rsid w:val="4EE47996"/>
    <w:rsid w:val="4F0033A5"/>
    <w:rsid w:val="4FA83EE7"/>
    <w:rsid w:val="4FAB04B3"/>
    <w:rsid w:val="4FBB3F6A"/>
    <w:rsid w:val="50190947"/>
    <w:rsid w:val="51BE2291"/>
    <w:rsid w:val="51FA4931"/>
    <w:rsid w:val="529345D6"/>
    <w:rsid w:val="52C26200"/>
    <w:rsid w:val="53A475B9"/>
    <w:rsid w:val="54A87DA4"/>
    <w:rsid w:val="55997435"/>
    <w:rsid w:val="55A27C63"/>
    <w:rsid w:val="573524A7"/>
    <w:rsid w:val="582B3283"/>
    <w:rsid w:val="588E3117"/>
    <w:rsid w:val="591743C6"/>
    <w:rsid w:val="593D1ECA"/>
    <w:rsid w:val="595D42A0"/>
    <w:rsid w:val="59653481"/>
    <w:rsid w:val="5A952C53"/>
    <w:rsid w:val="5B722829"/>
    <w:rsid w:val="5B834092"/>
    <w:rsid w:val="5CDC42E9"/>
    <w:rsid w:val="5CEA0065"/>
    <w:rsid w:val="5CFA65D6"/>
    <w:rsid w:val="5CFF1E3E"/>
    <w:rsid w:val="5D003D9A"/>
    <w:rsid w:val="5D0E5BDE"/>
    <w:rsid w:val="5D275FD1"/>
    <w:rsid w:val="5E951D8D"/>
    <w:rsid w:val="5F0121FE"/>
    <w:rsid w:val="5F352454"/>
    <w:rsid w:val="5FB2121E"/>
    <w:rsid w:val="605B3830"/>
    <w:rsid w:val="60CC2C59"/>
    <w:rsid w:val="61137C66"/>
    <w:rsid w:val="6176487A"/>
    <w:rsid w:val="61A744EE"/>
    <w:rsid w:val="63BA2079"/>
    <w:rsid w:val="640269C5"/>
    <w:rsid w:val="64846EDD"/>
    <w:rsid w:val="66195067"/>
    <w:rsid w:val="67CB530B"/>
    <w:rsid w:val="67DA328C"/>
    <w:rsid w:val="67DD1974"/>
    <w:rsid w:val="68F330E1"/>
    <w:rsid w:val="692C6204"/>
    <w:rsid w:val="692E35F5"/>
    <w:rsid w:val="692F5A4E"/>
    <w:rsid w:val="698F4D6A"/>
    <w:rsid w:val="69C94CC8"/>
    <w:rsid w:val="6B3B204A"/>
    <w:rsid w:val="6BD3355A"/>
    <w:rsid w:val="6CB7404F"/>
    <w:rsid w:val="6D286FC5"/>
    <w:rsid w:val="6E871DE3"/>
    <w:rsid w:val="6EFA2D52"/>
    <w:rsid w:val="6F4C35E7"/>
    <w:rsid w:val="6F722110"/>
    <w:rsid w:val="6FC635BF"/>
    <w:rsid w:val="708922AF"/>
    <w:rsid w:val="70C86AB0"/>
    <w:rsid w:val="70D572AC"/>
    <w:rsid w:val="73CA30A1"/>
    <w:rsid w:val="73D65B13"/>
    <w:rsid w:val="74A75C48"/>
    <w:rsid w:val="74E04F45"/>
    <w:rsid w:val="75E768A5"/>
    <w:rsid w:val="75FE0A8D"/>
    <w:rsid w:val="763136BE"/>
    <w:rsid w:val="773F325A"/>
    <w:rsid w:val="7B160627"/>
    <w:rsid w:val="7B377AE0"/>
    <w:rsid w:val="7B445194"/>
    <w:rsid w:val="7B594EF6"/>
    <w:rsid w:val="7B95614B"/>
    <w:rsid w:val="7C39663E"/>
    <w:rsid w:val="7CE32B26"/>
    <w:rsid w:val="7CEA5373"/>
    <w:rsid w:val="7D07544D"/>
    <w:rsid w:val="7E0724A9"/>
    <w:rsid w:val="7E2D4DD6"/>
    <w:rsid w:val="7ED6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afterLines="0" w:line="360" w:lineRule="auto"/>
      <w:ind w:firstLine="0" w:firstLineChars="0"/>
      <w:outlineLvl w:val="0"/>
    </w:pPr>
    <w:rPr>
      <w:b/>
      <w:bCs/>
      <w:kern w:val="44"/>
      <w:sz w:val="28"/>
      <w:szCs w:val="44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spacing w:line="360" w:lineRule="auto"/>
      <w:ind w:firstLine="0" w:firstLineChars="0"/>
      <w:outlineLvl w:val="1"/>
    </w:pPr>
    <w:rPr>
      <w:rFonts w:ascii="宋体" w:hAnsi="宋体"/>
      <w:b/>
      <w:bCs/>
      <w:sz w:val="28"/>
      <w:szCs w:val="32"/>
    </w:rPr>
  </w:style>
  <w:style w:type="paragraph" w:styleId="4">
    <w:name w:val="heading 4"/>
    <w:basedOn w:val="1"/>
    <w:next w:val="1"/>
    <w:autoRedefine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autoRedefine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autoRedefine/>
    <w:qFormat/>
    <w:uiPriority w:val="0"/>
    <w:pPr>
      <w:ind w:firstLine="420"/>
    </w:pPr>
    <w:rPr>
      <w:szCs w:val="20"/>
    </w:rPr>
  </w:style>
  <w:style w:type="paragraph" w:styleId="6">
    <w:name w:val="annotation text"/>
    <w:basedOn w:val="1"/>
    <w:autoRedefine/>
    <w:qFormat/>
    <w:uiPriority w:val="0"/>
    <w:pPr>
      <w:jc w:val="left"/>
    </w:pPr>
  </w:style>
  <w:style w:type="paragraph" w:styleId="7">
    <w:name w:val="Body Text 3"/>
    <w:basedOn w:val="1"/>
    <w:autoRedefine/>
    <w:qFormat/>
    <w:uiPriority w:val="0"/>
    <w:rPr>
      <w:sz w:val="28"/>
    </w:rPr>
  </w:style>
  <w:style w:type="paragraph" w:styleId="8">
    <w:name w:val="Body Text"/>
    <w:basedOn w:val="1"/>
    <w:next w:val="1"/>
    <w:autoRedefine/>
    <w:unhideWhenUsed/>
    <w:qFormat/>
    <w:uiPriority w:val="1"/>
    <w:pPr>
      <w:spacing w:after="120"/>
    </w:pPr>
  </w:style>
  <w:style w:type="paragraph" w:styleId="9">
    <w:name w:val="Body Text Indent"/>
    <w:basedOn w:val="1"/>
    <w:autoRedefine/>
    <w:qFormat/>
    <w:uiPriority w:val="0"/>
    <w:pPr>
      <w:ind w:firstLine="480" w:firstLineChars="200"/>
    </w:pPr>
    <w:rPr>
      <w:spacing w:val="0"/>
    </w:rPr>
  </w:style>
  <w:style w:type="paragraph" w:styleId="10">
    <w:name w:val="Plain Text"/>
    <w:basedOn w:val="1"/>
    <w:next w:val="11"/>
    <w:autoRedefine/>
    <w:qFormat/>
    <w:uiPriority w:val="0"/>
    <w:rPr>
      <w:rFonts w:ascii="宋体" w:hAnsi="Courier New"/>
      <w:kern w:val="0"/>
      <w:sz w:val="24"/>
      <w:szCs w:val="20"/>
    </w:rPr>
  </w:style>
  <w:style w:type="paragraph" w:styleId="11">
    <w:name w:val="toc 1"/>
    <w:basedOn w:val="1"/>
    <w:next w:val="1"/>
    <w:autoRedefine/>
    <w:qFormat/>
    <w:uiPriority w:val="0"/>
  </w:style>
  <w:style w:type="paragraph" w:styleId="12">
    <w:name w:val="Date"/>
    <w:basedOn w:val="1"/>
    <w:next w:val="1"/>
    <w:autoRedefine/>
    <w:qFormat/>
    <w:uiPriority w:val="0"/>
    <w:rPr>
      <w:sz w:val="28"/>
    </w:rPr>
  </w:style>
  <w:style w:type="paragraph" w:styleId="13">
    <w:name w:val="Body Text Indent 2"/>
    <w:basedOn w:val="1"/>
    <w:qFormat/>
    <w:uiPriority w:val="0"/>
    <w:pPr>
      <w:spacing w:line="252" w:lineRule="auto"/>
      <w:ind w:firstLine="500" w:firstLineChars="200"/>
    </w:pPr>
    <w:rPr>
      <w:sz w:val="25"/>
      <w:szCs w:val="20"/>
    </w:rPr>
  </w:style>
  <w:style w:type="paragraph" w:styleId="1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8">
    <w:name w:val="Table Grid"/>
    <w:basedOn w:val="1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Hyperlink"/>
    <w:basedOn w:val="19"/>
    <w:autoRedefine/>
    <w:qFormat/>
    <w:uiPriority w:val="0"/>
    <w:rPr>
      <w:color w:val="0000FF"/>
      <w:u w:val="single"/>
    </w:rPr>
  </w:style>
  <w:style w:type="paragraph" w:customStyle="1" w:styleId="21">
    <w:name w:val="Default1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22">
    <w:name w:val="Default"/>
    <w:next w:val="23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23">
    <w:name w:val="样式 样式 首行缩进:  2 字符 + 首行缩进:  2 字符"/>
    <w:basedOn w:val="1"/>
    <w:next w:val="11"/>
    <w:autoRedefine/>
    <w:qFormat/>
    <w:uiPriority w:val="0"/>
    <w:pPr>
      <w:snapToGrid w:val="0"/>
      <w:spacing w:line="360" w:lineRule="auto"/>
      <w:ind w:firstLine="560" w:firstLineChars="200"/>
    </w:pPr>
    <w:rPr>
      <w:spacing w:val="0"/>
      <w:sz w:val="28"/>
    </w:rPr>
  </w:style>
  <w:style w:type="paragraph" w:customStyle="1" w:styleId="24">
    <w:name w:val="4正文"/>
    <w:basedOn w:val="1"/>
    <w:autoRedefine/>
    <w:qFormat/>
    <w:uiPriority w:val="0"/>
    <w:pPr>
      <w:spacing w:line="360" w:lineRule="auto"/>
      <w:ind w:firstLine="480" w:firstLineChars="200"/>
    </w:pPr>
    <w:rPr>
      <w:rFonts w:cs="宋体"/>
      <w:szCs w:val="20"/>
    </w:rPr>
  </w:style>
  <w:style w:type="paragraph" w:customStyle="1" w:styleId="25">
    <w:name w:val="_Style 1"/>
    <w:basedOn w:val="1"/>
    <w:autoRedefine/>
    <w:qFormat/>
    <w:uiPriority w:val="1"/>
    <w:rPr>
      <w:szCs w:val="32"/>
    </w:rPr>
  </w:style>
  <w:style w:type="paragraph" w:customStyle="1" w:styleId="26">
    <w:name w:val="0正文"/>
    <w:autoRedefine/>
    <w:qFormat/>
    <w:uiPriority w:val="0"/>
    <w:pPr>
      <w:widowControl w:val="0"/>
      <w:spacing w:line="360" w:lineRule="auto"/>
      <w:ind w:firstLine="720" w:firstLineChars="200"/>
    </w:pPr>
    <w:rPr>
      <w:rFonts w:ascii="Calibri" w:hAnsi="Calibri" w:eastAsia="宋体" w:cs="Times New Roman"/>
      <w:sz w:val="24"/>
      <w:szCs w:val="22"/>
      <w:lang w:val="en-US" w:eastAsia="zh-CN" w:bidi="ar-SA"/>
    </w:rPr>
  </w:style>
  <w:style w:type="character" w:customStyle="1" w:styleId="27">
    <w:name w:val="font51"/>
    <w:basedOn w:val="19"/>
    <w:autoRedefine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paragraph" w:customStyle="1" w:styleId="28">
    <w:name w:val=" Char Char Char Char Char Char Char Char Char Char"/>
    <w:basedOn w:val="1"/>
    <w:autoRedefine/>
    <w:qFormat/>
    <w:uiPriority w:val="0"/>
  </w:style>
  <w:style w:type="paragraph" w:customStyle="1" w:styleId="29">
    <w:name w:val="Table Paragraph"/>
    <w:basedOn w:val="1"/>
    <w:autoRedefine/>
    <w:qFormat/>
    <w:uiPriority w:val="1"/>
  </w:style>
  <w:style w:type="paragraph" w:customStyle="1" w:styleId="30">
    <w:name w:val="正文文本，表格"/>
    <w:basedOn w:val="1"/>
    <w:autoRedefine/>
    <w:qFormat/>
    <w:uiPriority w:val="0"/>
    <w:pPr>
      <w:jc w:val="center"/>
    </w:pPr>
    <w:rPr>
      <w:rFonts w:cs="宋体"/>
      <w:szCs w:val="21"/>
    </w:rPr>
  </w:style>
  <w:style w:type="paragraph" w:customStyle="1" w:styleId="31">
    <w:name w:val=" Char Char1"/>
    <w:basedOn w:val="1"/>
    <w:autoRedefine/>
    <w:qFormat/>
    <w:uiPriority w:val="0"/>
    <w:pPr>
      <w:spacing w:line="360" w:lineRule="auto"/>
      <w:ind w:firstLine="200" w:firstLineChars="200"/>
    </w:pPr>
    <w:rPr>
      <w:rFonts w:hAnsi="宋体" w:cs="宋体"/>
      <w:color w:val="auto"/>
      <w:sz w:val="24"/>
    </w:rPr>
  </w:style>
  <w:style w:type="paragraph" w:customStyle="1" w:styleId="32">
    <w:name w:val="标题二"/>
    <w:basedOn w:val="1"/>
    <w:autoRedefine/>
    <w:qFormat/>
    <w:uiPriority w:val="0"/>
    <w:pPr>
      <w:widowControl w:val="0"/>
      <w:snapToGrid w:val="0"/>
      <w:spacing w:line="500" w:lineRule="atLeast"/>
      <w:ind w:firstLine="464" w:firstLineChars="200"/>
    </w:pPr>
    <w:rPr>
      <w:spacing w:val="-4"/>
      <w:sz w:val="24"/>
    </w:rPr>
  </w:style>
  <w:style w:type="paragraph" w:customStyle="1" w:styleId="33">
    <w:name w:val="B正文"/>
    <w:basedOn w:val="1"/>
    <w:autoRedefine/>
    <w:qFormat/>
    <w:uiPriority w:val="0"/>
    <w:pPr>
      <w:spacing w:line="360" w:lineRule="auto"/>
      <w:ind w:firstLine="200" w:firstLineChars="200"/>
    </w:pPr>
    <w:rPr>
      <w:kern w:val="0"/>
      <w:sz w:val="24"/>
    </w:rPr>
  </w:style>
  <w:style w:type="paragraph" w:customStyle="1" w:styleId="34">
    <w:name w:val="正 文"/>
    <w:autoRedefine/>
    <w:qFormat/>
    <w:uiPriority w:val="0"/>
    <w:pPr>
      <w:widowControl w:val="0"/>
      <w:spacing w:line="480" w:lineRule="exact"/>
      <w:ind w:firstLine="471"/>
      <w:jc w:val="both"/>
    </w:pPr>
    <w:rPr>
      <w:rFonts w:ascii="Times New Roman" w:hAnsi="Times New Roman" w:eastAsia="宋体" w:cs="Times New Roman"/>
      <w:sz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jpeg"/><Relationship Id="rId14" Type="http://schemas.openxmlformats.org/officeDocument/2006/relationships/image" Target="media/image4.jpeg"/><Relationship Id="rId13" Type="http://schemas.openxmlformats.org/officeDocument/2006/relationships/image" Target="media/image3.jpeg"/><Relationship Id="rId12" Type="http://schemas.openxmlformats.org/officeDocument/2006/relationships/image" Target="media/image2.jpeg"/><Relationship Id="rId11" Type="http://schemas.openxmlformats.org/officeDocument/2006/relationships/image" Target="media/image1.emf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8632</Words>
  <Characters>9329</Characters>
  <Lines>0</Lines>
  <Paragraphs>0</Paragraphs>
  <TotalTime>10</TotalTime>
  <ScaleCrop>false</ScaleCrop>
  <LinksUpToDate>false</LinksUpToDate>
  <CharactersWithSpaces>9450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2020-07-13T06:59:00Z</dcterms:created>
  <dc:creator>隔壁那个员外</dc:creator>
  <cp:lastModifiedBy>黄林平</cp:lastModifiedBy>
  <cp:lastPrinted>2021-11-16T03:49:00Z</cp:lastPrinted>
  <dcterms:modified xsi:type="dcterms:W3CDTF">2024-03-20T03:31:58Z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A673043260EE40D1A880DC833F4AB7BD_13</vt:lpwstr>
  </property>
</Properties>
</file>