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Times New Roman" w:hAnsi="Times New Roman" w:eastAsia="仿宋_GB2312" w:cs="Times New Roman"/>
          <w:color w:val="auto"/>
        </w:rPr>
      </w:pPr>
    </w:p>
    <w:p>
      <w:pPr>
        <w:pStyle w:val="5"/>
        <w:keepNext w:val="0"/>
        <w:keepLines w:val="0"/>
        <w:pageBreakBefore w:val="0"/>
        <w:widowControl/>
        <w:kinsoku w:val="0"/>
        <w:wordWrap/>
        <w:overflowPunct/>
        <w:topLinePunct w:val="0"/>
        <w:autoSpaceDE w:val="0"/>
        <w:autoSpaceDN w:val="0"/>
        <w:bidi w:val="0"/>
        <w:adjustRightInd w:val="0"/>
        <w:snapToGrid w:val="0"/>
        <w:spacing w:line="241" w:lineRule="auto"/>
        <w:ind w:firstLine="0" w:firstLineChars="0"/>
        <w:textAlignment w:val="baseline"/>
        <w:rPr>
          <w:rFonts w:hint="default" w:ascii="Times New Roman" w:hAnsi="Times New Roman" w:eastAsia="仿宋_GB2312" w:cs="Times New Roman"/>
          <w:color w:val="auto"/>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jc w:val="center"/>
        <w:textAlignment w:val="baseline"/>
        <w:outlineLvl w:val="0"/>
        <w:rPr>
          <w:rFonts w:hint="default" w:ascii="Times New Roman" w:hAnsi="Times New Roman" w:eastAsia="仿宋_GB2312" w:cs="Times New Roman"/>
          <w:b/>
          <w:bCs/>
          <w:color w:val="auto"/>
          <w:spacing w:val="-2"/>
          <w:sz w:val="44"/>
          <w:szCs w:val="44"/>
          <w:lang w:eastAsia="zh-CN"/>
        </w:rPr>
      </w:pPr>
      <w:bookmarkStart w:id="0" w:name="_Toc8456"/>
      <w:bookmarkStart w:id="1" w:name="_Toc6441"/>
      <w:bookmarkStart w:id="2" w:name="_Toc1130"/>
      <w:bookmarkStart w:id="3" w:name="_Toc20126"/>
      <w:r>
        <w:rPr>
          <w:rFonts w:hint="eastAsia" w:cs="Times New Roman"/>
          <w:b/>
          <w:bCs/>
          <w:color w:val="auto"/>
          <w:spacing w:val="-2"/>
          <w:sz w:val="44"/>
          <w:szCs w:val="44"/>
          <w:lang w:eastAsia="zh-CN"/>
        </w:rPr>
        <w:t>同江路道路</w:t>
      </w:r>
      <w:r>
        <w:rPr>
          <w:rFonts w:hint="default" w:ascii="Times New Roman" w:hAnsi="Times New Roman" w:eastAsia="仿宋_GB2312" w:cs="Times New Roman"/>
          <w:b/>
          <w:bCs/>
          <w:color w:val="auto"/>
          <w:spacing w:val="-2"/>
          <w:sz w:val="44"/>
          <w:szCs w:val="44"/>
          <w:lang w:eastAsia="zh-CN"/>
        </w:rPr>
        <w:t>工程</w:t>
      </w:r>
      <w:bookmarkEnd w:id="0"/>
      <w:bookmarkEnd w:id="1"/>
      <w:bookmarkEnd w:id="2"/>
      <w:bookmarkEnd w:id="3"/>
    </w:p>
    <w:p>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outlineLvl w:val="0"/>
        <w:rPr>
          <w:rFonts w:hint="default" w:ascii="Times New Roman" w:hAnsi="Times New Roman" w:eastAsia="仿宋_GB2312" w:cs="Times New Roman"/>
          <w:b/>
          <w:bCs/>
          <w:color w:val="auto"/>
          <w:sz w:val="44"/>
          <w:szCs w:val="44"/>
        </w:rPr>
      </w:pPr>
      <w:bookmarkStart w:id="4" w:name="_Toc15374"/>
      <w:bookmarkStart w:id="5" w:name="_Toc15032"/>
      <w:bookmarkStart w:id="6" w:name="_Toc27194"/>
      <w:bookmarkStart w:id="7" w:name="_Toc14754"/>
      <w:r>
        <w:rPr>
          <w:rFonts w:hint="default" w:ascii="Times New Roman" w:hAnsi="Times New Roman" w:eastAsia="仿宋_GB2312" w:cs="Times New Roman"/>
          <w:b/>
          <w:bCs/>
          <w:color w:val="auto"/>
          <w:spacing w:val="-2"/>
          <w:sz w:val="44"/>
          <w:szCs w:val="44"/>
        </w:rPr>
        <w:t>竣工环境保护验收调查报告</w:t>
      </w:r>
      <w:bookmarkEnd w:id="4"/>
      <w:bookmarkEnd w:id="5"/>
      <w:bookmarkEnd w:id="6"/>
      <w:bookmarkEnd w:id="7"/>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bidi w:val="0"/>
        <w:ind w:left="0" w:leftChars="0" w:firstLine="0" w:firstLineChars="0"/>
        <w:jc w:val="both"/>
        <w:rPr>
          <w:rFonts w:hint="default" w:ascii="Times New Roman" w:hAnsi="Times New Roman" w:eastAsia="仿宋_GB2312" w:cs="Times New Roman"/>
          <w:color w:val="auto"/>
          <w:sz w:val="30"/>
          <w:szCs w:val="30"/>
        </w:rPr>
      </w:pPr>
    </w:p>
    <w:p>
      <w:pPr>
        <w:keepNext w:val="0"/>
        <w:keepLines w:val="0"/>
        <w:pageBreakBefore w:val="0"/>
        <w:widowControl/>
        <w:kinsoku w:val="0"/>
        <w:wordWrap/>
        <w:overflowPunct/>
        <w:topLinePunct w:val="0"/>
        <w:autoSpaceDE w:val="0"/>
        <w:autoSpaceDN w:val="0"/>
        <w:bidi w:val="0"/>
        <w:adjustRightInd w:val="0"/>
        <w:snapToGrid w:val="0"/>
        <w:ind w:firstLine="1506" w:firstLineChars="500"/>
        <w:jc w:val="left"/>
        <w:textAlignment w:val="baseline"/>
        <w:rPr>
          <w:rFonts w:hint="default" w:ascii="Times New Roman" w:hAnsi="Times New Roman" w:eastAsia="仿宋_GB2312" w:cs="Times New Roman"/>
          <w:b/>
          <w:bCs/>
          <w:color w:val="auto"/>
          <w:sz w:val="30"/>
          <w:szCs w:val="30"/>
          <w:highlight w:val="yellow"/>
        </w:rPr>
      </w:pPr>
      <w:r>
        <w:rPr>
          <w:rFonts w:hint="default" w:ascii="Times New Roman" w:hAnsi="Times New Roman" w:eastAsia="仿宋_GB2312" w:cs="Times New Roman"/>
          <w:b/>
          <w:bCs/>
          <w:color w:val="auto"/>
          <w:sz w:val="30"/>
          <w:szCs w:val="30"/>
          <w:lang w:eastAsia="zh-CN"/>
        </w:rPr>
        <w:t>建设</w:t>
      </w:r>
      <w:r>
        <w:rPr>
          <w:rFonts w:hint="default" w:ascii="Times New Roman" w:hAnsi="Times New Roman" w:eastAsia="仿宋_GB2312" w:cs="Times New Roman"/>
          <w:b/>
          <w:bCs/>
          <w:color w:val="auto"/>
          <w:sz w:val="30"/>
          <w:szCs w:val="30"/>
        </w:rPr>
        <w:t>单位：</w:t>
      </w:r>
      <w:r>
        <w:rPr>
          <w:rFonts w:hint="eastAsia" w:ascii="Times New Roman" w:hAnsi="Times New Roman" w:eastAsia="仿宋_GB2312" w:cs="Times New Roman"/>
          <w:b/>
          <w:bCs/>
          <w:color w:val="auto"/>
          <w:sz w:val="30"/>
          <w:szCs w:val="30"/>
        </w:rPr>
        <w:t>哈尔滨市政府投资工程项目建设中心</w:t>
      </w:r>
    </w:p>
    <w:p>
      <w:pPr>
        <w:keepNext w:val="0"/>
        <w:keepLines w:val="0"/>
        <w:pageBreakBefore w:val="0"/>
        <w:widowControl/>
        <w:kinsoku w:val="0"/>
        <w:wordWrap/>
        <w:overflowPunct/>
        <w:topLinePunct w:val="0"/>
        <w:autoSpaceDE w:val="0"/>
        <w:autoSpaceDN w:val="0"/>
        <w:bidi w:val="0"/>
        <w:adjustRightInd w:val="0"/>
        <w:snapToGrid w:val="0"/>
        <w:ind w:firstLine="420"/>
        <w:jc w:val="center"/>
        <w:textAlignment w:val="baseline"/>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lang w:val="en-US" w:eastAsia="zh-CN"/>
        </w:rPr>
        <w:t xml:space="preserve"> </w:t>
      </w:r>
      <w:r>
        <w:rPr>
          <w:rFonts w:hint="default" w:ascii="Times New Roman" w:hAnsi="Times New Roman" w:eastAsia="仿宋_GB2312" w:cs="Times New Roman"/>
          <w:b/>
          <w:bCs/>
          <w:color w:val="auto"/>
          <w:sz w:val="30"/>
          <w:szCs w:val="30"/>
        </w:rPr>
        <w:t>编制单位：哈尔滨捷通环境监测有限责任公司</w:t>
      </w:r>
    </w:p>
    <w:p>
      <w:pPr>
        <w:keepNext w:val="0"/>
        <w:keepLines w:val="0"/>
        <w:pageBreakBefore w:val="0"/>
        <w:widowControl/>
        <w:kinsoku w:val="0"/>
        <w:wordWrap/>
        <w:overflowPunct/>
        <w:topLinePunct w:val="0"/>
        <w:autoSpaceDE w:val="0"/>
        <w:autoSpaceDN w:val="0"/>
        <w:bidi w:val="0"/>
        <w:adjustRightInd w:val="0"/>
        <w:snapToGrid w:val="0"/>
        <w:ind w:firstLine="1506" w:firstLineChars="500"/>
        <w:jc w:val="both"/>
        <w:textAlignment w:val="baseline"/>
        <w:rPr>
          <w:rFonts w:hint="default" w:ascii="Times New Roman" w:hAnsi="Times New Roman" w:eastAsia="仿宋_GB2312" w:cs="Times New Roman"/>
          <w:b/>
          <w:bCs/>
          <w:color w:val="auto"/>
          <w:sz w:val="30"/>
          <w:szCs w:val="30"/>
          <w:lang w:val="en-US" w:eastAsia="zh-CN"/>
        </w:rPr>
      </w:pPr>
      <w:r>
        <w:rPr>
          <w:rFonts w:hint="default" w:ascii="Times New Roman" w:hAnsi="Times New Roman" w:eastAsia="仿宋_GB2312" w:cs="Times New Roman"/>
          <w:b/>
          <w:bCs/>
          <w:color w:val="auto"/>
          <w:sz w:val="30"/>
          <w:szCs w:val="30"/>
        </w:rPr>
        <w:t>编制日期：202</w:t>
      </w:r>
      <w:r>
        <w:rPr>
          <w:rFonts w:hint="eastAsia" w:cs="Times New Roman"/>
          <w:b/>
          <w:bCs/>
          <w:color w:val="auto"/>
          <w:sz w:val="30"/>
          <w:szCs w:val="30"/>
          <w:lang w:val="en-US" w:eastAsia="zh-CN"/>
        </w:rPr>
        <w:t>4</w:t>
      </w:r>
      <w:r>
        <w:rPr>
          <w:rFonts w:hint="default" w:ascii="Times New Roman" w:hAnsi="Times New Roman" w:eastAsia="仿宋_GB2312" w:cs="Times New Roman"/>
          <w:b/>
          <w:bCs/>
          <w:color w:val="auto"/>
          <w:sz w:val="30"/>
          <w:szCs w:val="30"/>
        </w:rPr>
        <w:t>年</w:t>
      </w:r>
      <w:r>
        <w:rPr>
          <w:rFonts w:hint="eastAsia" w:cs="Times New Roman"/>
          <w:b/>
          <w:bCs/>
          <w:color w:val="auto"/>
          <w:sz w:val="30"/>
          <w:szCs w:val="30"/>
          <w:lang w:val="en-US" w:eastAsia="zh-CN"/>
        </w:rPr>
        <w:t>4</w:t>
      </w:r>
      <w:r>
        <w:rPr>
          <w:rFonts w:hint="default" w:ascii="Times New Roman" w:hAnsi="Times New Roman" w:eastAsia="仿宋_GB2312" w:cs="Times New Roman"/>
          <w:b/>
          <w:bCs/>
          <w:color w:val="auto"/>
          <w:sz w:val="30"/>
          <w:szCs w:val="30"/>
        </w:rPr>
        <w:t>月</w:t>
      </w:r>
    </w:p>
    <w:p>
      <w:pPr>
        <w:spacing w:line="228" w:lineRule="auto"/>
        <w:rPr>
          <w:rFonts w:hint="default" w:ascii="Times New Roman" w:hAnsi="Times New Roman" w:eastAsia="仿宋_GB2312" w:cs="Times New Roman"/>
          <w:color w:val="auto"/>
          <w:sz w:val="31"/>
          <w:szCs w:val="31"/>
        </w:rPr>
        <w:sectPr>
          <w:pgSz w:w="11906" w:h="16839"/>
          <w:pgMar w:top="1440" w:right="1800" w:bottom="1440" w:left="1800" w:header="0" w:footer="0" w:gutter="0"/>
          <w:pgNumType w:fmt="upperRoman"/>
          <w:cols w:space="720" w:num="1"/>
        </w:sectPr>
      </w:pPr>
    </w:p>
    <w:sdt>
      <w:sdtPr>
        <w:rPr>
          <w:rFonts w:hint="default" w:ascii="Times New Roman" w:hAnsi="Times New Roman" w:eastAsia="仿宋_GB2312" w:cs="Times New Roman"/>
          <w:b/>
          <w:bCs/>
          <w:snapToGrid w:val="0"/>
          <w:color w:val="auto"/>
          <w:kern w:val="0"/>
          <w:sz w:val="30"/>
          <w:szCs w:val="30"/>
          <w:lang w:val="en-US" w:eastAsia="en-US" w:bidi="ar-SA"/>
        </w:rPr>
        <w:id w:val="147451721"/>
        <w15:color w:val="DBDBDB"/>
        <w:docPartObj>
          <w:docPartGallery w:val="Table of Contents"/>
          <w:docPartUnique/>
        </w:docPartObj>
      </w:sdtPr>
      <w:sdtEndPr>
        <w:rPr>
          <w:rFonts w:hint="default" w:ascii="Times New Roman" w:hAnsi="Times New Roman" w:eastAsia="仿宋_GB2312" w:cs="Times New Roman"/>
          <w:b/>
          <w:bCs/>
          <w:snapToGrid w:val="0"/>
          <w:color w:val="auto"/>
          <w:kern w:val="0"/>
          <w:sz w:val="24"/>
          <w:szCs w:val="28"/>
          <w:lang w:val="en-US" w:eastAsia="en-US" w:bidi="ar-SA"/>
        </w:rPr>
      </w:sdtEndPr>
      <w:sdtContent>
        <w:p>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firstLine="0" w:firstLineChars="0"/>
            <w:jc w:val="center"/>
            <w:textAlignment w:val="baseline"/>
            <w:rPr>
              <w:rFonts w:hint="default" w:ascii="Times New Roman" w:hAnsi="Times New Roman" w:eastAsia="仿宋_GB2312" w:cs="Times New Roman"/>
              <w:snapToGrid w:val="0"/>
              <w:color w:val="auto"/>
              <w:kern w:val="0"/>
              <w:sz w:val="24"/>
              <w:szCs w:val="24"/>
              <w:lang w:val="en-US" w:eastAsia="en-US" w:bidi="ar-SA"/>
            </w:rPr>
          </w:pPr>
          <w:bookmarkStart w:id="151" w:name="_GoBack"/>
          <w:r>
            <w:rPr>
              <w:rFonts w:hint="default" w:ascii="Times New Roman" w:hAnsi="Times New Roman" w:eastAsia="仿宋_GB2312" w:cs="Times New Roman"/>
              <w:b/>
              <w:bCs/>
              <w:color w:val="auto"/>
              <w:sz w:val="30"/>
              <w:szCs w:val="30"/>
            </w:rPr>
            <w:t>目</w:t>
          </w:r>
          <w:r>
            <w:rPr>
              <w:rFonts w:hint="default" w:ascii="Times New Roman" w:hAnsi="Times New Roman" w:eastAsia="仿宋_GB2312" w:cs="Times New Roman"/>
              <w:b/>
              <w:bCs/>
              <w:color w:val="auto"/>
              <w:sz w:val="30"/>
              <w:szCs w:val="30"/>
              <w:lang w:val="en-US" w:eastAsia="zh-CN"/>
            </w:rPr>
            <w:t xml:space="preserve">  </w:t>
          </w:r>
          <w:r>
            <w:rPr>
              <w:rFonts w:hint="default" w:ascii="Times New Roman" w:hAnsi="Times New Roman" w:eastAsia="仿宋_GB2312" w:cs="Times New Roman"/>
              <w:b/>
              <w:bCs/>
              <w:color w:val="auto"/>
              <w:sz w:val="30"/>
              <w:szCs w:val="30"/>
            </w:rPr>
            <w:t>录</w:t>
          </w:r>
          <w:r>
            <w:rPr>
              <w:rFonts w:hint="default" w:ascii="Times New Roman" w:hAnsi="Times New Roman" w:eastAsia="仿宋_GB2312" w:cs="Times New Roman"/>
              <w:b/>
              <w:color w:val="auto"/>
              <w:sz w:val="24"/>
              <w:szCs w:val="24"/>
            </w:rPr>
            <w:fldChar w:fldCharType="begin"/>
          </w:r>
          <w:r>
            <w:rPr>
              <w:rFonts w:hint="default" w:ascii="Times New Roman" w:hAnsi="Times New Roman" w:eastAsia="仿宋_GB2312" w:cs="Times New Roman"/>
              <w:b/>
              <w:color w:val="auto"/>
              <w:sz w:val="24"/>
              <w:szCs w:val="24"/>
            </w:rPr>
            <w:instrText xml:space="preserve">TOC \o "1-2" \h \u </w:instrText>
          </w:r>
          <w:r>
            <w:rPr>
              <w:rFonts w:hint="default" w:ascii="Times New Roman" w:hAnsi="Times New Roman" w:eastAsia="仿宋_GB2312" w:cs="Times New Roman"/>
              <w:b/>
              <w:color w:val="auto"/>
              <w:sz w:val="24"/>
              <w:szCs w:val="24"/>
            </w:rPr>
            <w:fldChar w:fldCharType="separate"/>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_Toc25760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前言</w:t>
          </w:r>
          <w:r>
            <w:tab/>
          </w:r>
          <w:r>
            <w:fldChar w:fldCharType="begin"/>
          </w:r>
          <w:r>
            <w:instrText xml:space="preserve"> PAGEREF _Toc25760 \h </w:instrText>
          </w:r>
          <w:r>
            <w:fldChar w:fldCharType="separate"/>
          </w:r>
          <w:r>
            <w:t>I</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_Toc8372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 总论</w:t>
          </w:r>
          <w:r>
            <w:tab/>
          </w:r>
          <w:r>
            <w:fldChar w:fldCharType="begin"/>
          </w:r>
          <w:r>
            <w:instrText xml:space="preserve"> PAGEREF _Toc8372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_Toc29121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 调查目的及原则</w:t>
          </w:r>
          <w:r>
            <w:tab/>
          </w:r>
          <w:r>
            <w:fldChar w:fldCharType="begin"/>
          </w:r>
          <w:r>
            <w:instrText xml:space="preserve"> PAGEREF _Toc29121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_Toc5805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 编制依据</w:t>
          </w:r>
          <w:r>
            <w:tab/>
          </w:r>
          <w:r>
            <w:fldChar w:fldCharType="begin"/>
          </w:r>
          <w:r>
            <w:instrText xml:space="preserve"> PAGEREF _Toc5805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_Toc10205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 调查方法</w:t>
          </w:r>
          <w:r>
            <w:tab/>
          </w:r>
          <w:r>
            <w:fldChar w:fldCharType="begin"/>
          </w:r>
          <w:r>
            <w:instrText xml:space="preserve"> PAGEREF _Toc10205 \h </w:instrText>
          </w:r>
          <w:r>
            <w:fldChar w:fldCharType="separate"/>
          </w:r>
          <w:r>
            <w:t>- 3 -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_Toc23524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1.4 调查范围及内容</w:t>
          </w:r>
          <w:r>
            <w:tab/>
          </w:r>
          <w:r>
            <w:fldChar w:fldCharType="begin"/>
          </w:r>
          <w:r>
            <w:instrText xml:space="preserve"> PAGEREF _Toc23524 \h </w:instrText>
          </w:r>
          <w:r>
            <w:fldChar w:fldCharType="separate"/>
          </w:r>
          <w:r>
            <w:t>- 3 -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_Toc4794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1.5 验收调查标准</w:t>
          </w:r>
          <w:r>
            <w:tab/>
          </w:r>
          <w:r>
            <w:fldChar w:fldCharType="begin"/>
          </w:r>
          <w:r>
            <w:instrText xml:space="preserve"> PAGEREF _Toc4794 \h </w:instrText>
          </w:r>
          <w:r>
            <w:fldChar w:fldCharType="separate"/>
          </w:r>
          <w:r>
            <w:t>- 5 -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_Toc6245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1.6 验收调查重点</w:t>
          </w:r>
          <w:r>
            <w:tab/>
          </w:r>
          <w:r>
            <w:fldChar w:fldCharType="begin"/>
          </w:r>
          <w:r>
            <w:instrText xml:space="preserve"> PAGEREF _Toc6245 \h </w:instrText>
          </w:r>
          <w:r>
            <w:fldChar w:fldCharType="separate"/>
          </w:r>
          <w:r>
            <w:t>- 7 -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_Toc24592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1.7 环境保护目标</w:t>
          </w:r>
          <w:r>
            <w:tab/>
          </w:r>
          <w:r>
            <w:fldChar w:fldCharType="begin"/>
          </w:r>
          <w:r>
            <w:instrText xml:space="preserve"> PAGEREF _Toc24592 \h </w:instrText>
          </w:r>
          <w:r>
            <w:fldChar w:fldCharType="separate"/>
          </w:r>
          <w:r>
            <w:t>- 7 -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_Toc14717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 工程</w:t>
          </w:r>
          <w:r>
            <w:rPr>
              <w:rFonts w:hint="default" w:ascii="Times New Roman" w:hAnsi="Times New Roman" w:eastAsia="仿宋_GB2312" w:cs="Times New Roman"/>
              <w:lang w:val="en-US" w:eastAsia="zh-CN"/>
            </w:rPr>
            <w:t>调查</w:t>
          </w:r>
          <w:r>
            <w:tab/>
          </w:r>
          <w:r>
            <w:fldChar w:fldCharType="begin"/>
          </w:r>
          <w:r>
            <w:instrText xml:space="preserve"> PAGEREF _Toc14717 \h </w:instrText>
          </w:r>
          <w:r>
            <w:fldChar w:fldCharType="separate"/>
          </w:r>
          <w:r>
            <w:t>- 9 -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_Toc11424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2.1 工程建设过程调查</w:t>
          </w:r>
          <w:r>
            <w:tab/>
          </w:r>
          <w:r>
            <w:fldChar w:fldCharType="begin"/>
          </w:r>
          <w:r>
            <w:instrText xml:space="preserve"> PAGEREF _Toc11424 \h </w:instrText>
          </w:r>
          <w:r>
            <w:fldChar w:fldCharType="separate"/>
          </w:r>
          <w:r>
            <w:t>- 9 -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_Toc25317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2.2 工程概况调查</w:t>
          </w:r>
          <w:r>
            <w:tab/>
          </w:r>
          <w:r>
            <w:fldChar w:fldCharType="begin"/>
          </w:r>
          <w:r>
            <w:instrText xml:space="preserve"> PAGEREF _Toc25317 \h </w:instrText>
          </w:r>
          <w:r>
            <w:fldChar w:fldCharType="separate"/>
          </w:r>
          <w:r>
            <w:t>- 9 -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_Toc10039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2.3 工程建设内容及规模核查</w:t>
          </w:r>
          <w:r>
            <w:tab/>
          </w:r>
          <w:r>
            <w:fldChar w:fldCharType="begin"/>
          </w:r>
          <w:r>
            <w:instrText xml:space="preserve"> PAGEREF _Toc10039 \h </w:instrText>
          </w:r>
          <w:r>
            <w:fldChar w:fldCharType="separate"/>
          </w:r>
          <w:r>
            <w:t>- 10 -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_Toc8782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2.4 工程变动情况</w:t>
          </w:r>
          <w:r>
            <w:tab/>
          </w:r>
          <w:r>
            <w:fldChar w:fldCharType="begin"/>
          </w:r>
          <w:r>
            <w:instrText xml:space="preserve"> PAGEREF _Toc8782 \h </w:instrText>
          </w:r>
          <w:r>
            <w:fldChar w:fldCharType="separate"/>
          </w:r>
          <w:r>
            <w:t>- 10 -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_Toc8335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2.5 交通量调查</w:t>
          </w:r>
          <w:r>
            <w:tab/>
          </w:r>
          <w:r>
            <w:fldChar w:fldCharType="begin"/>
          </w:r>
          <w:r>
            <w:instrText xml:space="preserve"> PAGEREF _Toc8335 \h </w:instrText>
          </w:r>
          <w:r>
            <w:fldChar w:fldCharType="separate"/>
          </w:r>
          <w:r>
            <w:t>- 12 -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_Toc16428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2.6 工程调查小结</w:t>
          </w:r>
          <w:r>
            <w:tab/>
          </w:r>
          <w:r>
            <w:fldChar w:fldCharType="begin"/>
          </w:r>
          <w:r>
            <w:instrText xml:space="preserve"> PAGEREF _Toc16428 \h </w:instrText>
          </w:r>
          <w:r>
            <w:fldChar w:fldCharType="separate"/>
          </w:r>
          <w:r>
            <w:t>- 13 -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_Toc5992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 环境影响报告书及其批复回顾</w:t>
          </w:r>
          <w:r>
            <w:tab/>
          </w:r>
          <w:r>
            <w:fldChar w:fldCharType="begin"/>
          </w:r>
          <w:r>
            <w:instrText xml:space="preserve"> PAGEREF _Toc5992 \h </w:instrText>
          </w:r>
          <w:r>
            <w:fldChar w:fldCharType="separate"/>
          </w:r>
          <w:r>
            <w:t>- 14 -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_Toc8174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3.1 环境影响评价工作过程回顾</w:t>
          </w:r>
          <w:r>
            <w:tab/>
          </w:r>
          <w:r>
            <w:fldChar w:fldCharType="begin"/>
          </w:r>
          <w:r>
            <w:instrText xml:space="preserve"> PAGEREF _Toc8174 \h </w:instrText>
          </w:r>
          <w:r>
            <w:fldChar w:fldCharType="separate"/>
          </w:r>
          <w:r>
            <w:t>- 14 -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_Toc2648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3.2 环境影响报告书回顾</w:t>
          </w:r>
          <w:r>
            <w:tab/>
          </w:r>
          <w:r>
            <w:fldChar w:fldCharType="begin"/>
          </w:r>
          <w:r>
            <w:instrText xml:space="preserve"> PAGEREF _Toc2648 \h </w:instrText>
          </w:r>
          <w:r>
            <w:fldChar w:fldCharType="separate"/>
          </w:r>
          <w:r>
            <w:t>- 14 -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_Toc29461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3.3 环境影响报告书批复回顾</w:t>
          </w:r>
          <w:r>
            <w:tab/>
          </w:r>
          <w:r>
            <w:fldChar w:fldCharType="begin"/>
          </w:r>
          <w:r>
            <w:instrText xml:space="preserve"> PAGEREF _Toc29461 \h </w:instrText>
          </w:r>
          <w:r>
            <w:fldChar w:fldCharType="separate"/>
          </w:r>
          <w:r>
            <w:t>- 22 -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_Toc25886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 环境保护措施落实情况调查</w:t>
          </w:r>
          <w:r>
            <w:tab/>
          </w:r>
          <w:r>
            <w:fldChar w:fldCharType="begin"/>
          </w:r>
          <w:r>
            <w:instrText xml:space="preserve"> PAGEREF _Toc25886 \h </w:instrText>
          </w:r>
          <w:r>
            <w:fldChar w:fldCharType="separate"/>
          </w:r>
          <w:r>
            <w:t>- 24 -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_Toc23993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4.1 环境影响报告书环保措施落实情况</w:t>
          </w:r>
          <w:r>
            <w:tab/>
          </w:r>
          <w:r>
            <w:fldChar w:fldCharType="begin"/>
          </w:r>
          <w:r>
            <w:instrText xml:space="preserve"> PAGEREF _Toc23993 \h </w:instrText>
          </w:r>
          <w:r>
            <w:fldChar w:fldCharType="separate"/>
          </w:r>
          <w:r>
            <w:t>- 24 -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_Toc19831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4.2 环境影响报告书审批意见落实情况</w:t>
          </w:r>
          <w:r>
            <w:tab/>
          </w:r>
          <w:r>
            <w:fldChar w:fldCharType="begin"/>
          </w:r>
          <w:r>
            <w:instrText xml:space="preserve"> PAGEREF _Toc19831 \h </w:instrText>
          </w:r>
          <w:r>
            <w:fldChar w:fldCharType="separate"/>
          </w:r>
          <w:r>
            <w:t>- 24 -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_Toc24702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4.3 环境保护措施落实情况小结</w:t>
          </w:r>
          <w:r>
            <w:tab/>
          </w:r>
          <w:r>
            <w:fldChar w:fldCharType="begin"/>
          </w:r>
          <w:r>
            <w:instrText xml:space="preserve"> PAGEREF _Toc24702 \h </w:instrText>
          </w:r>
          <w:r>
            <w:fldChar w:fldCharType="separate"/>
          </w:r>
          <w:r>
            <w:t>- 24 -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_Toc29649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 生态环境影响调查</w:t>
          </w:r>
          <w:r>
            <w:tab/>
          </w:r>
          <w:r>
            <w:fldChar w:fldCharType="begin"/>
          </w:r>
          <w:r>
            <w:instrText xml:space="preserve"> PAGEREF _Toc29649 \h </w:instrText>
          </w:r>
          <w:r>
            <w:fldChar w:fldCharType="separate"/>
          </w:r>
          <w:r>
            <w:t>- 30 -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_Toc15125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5.1 调查重点</w:t>
          </w:r>
          <w:r>
            <w:tab/>
          </w:r>
          <w:r>
            <w:fldChar w:fldCharType="begin"/>
          </w:r>
          <w:r>
            <w:instrText xml:space="preserve"> PAGEREF _Toc15125 \h </w:instrText>
          </w:r>
          <w:r>
            <w:fldChar w:fldCharType="separate"/>
          </w:r>
          <w:r>
            <w:t>- 30 -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_Toc28230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5.2 主要生态环境调查指标</w:t>
          </w:r>
          <w:r>
            <w:tab/>
          </w:r>
          <w:r>
            <w:fldChar w:fldCharType="begin"/>
          </w:r>
          <w:r>
            <w:instrText xml:space="preserve"> PAGEREF _Toc28230 \h </w:instrText>
          </w:r>
          <w:r>
            <w:fldChar w:fldCharType="separate"/>
          </w:r>
          <w:r>
            <w:t>- 30 -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_Toc21418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w:t>
          </w:r>
          <w:r>
            <w:rPr>
              <w:rFonts w:hint="default" w:ascii="Times New Roman" w:hAnsi="Times New Roman" w:eastAsia="仿宋_GB2312" w:cs="Times New Roman"/>
              <w:lang w:val="en-US" w:eastAsia="zh-CN"/>
            </w:rPr>
            <w:t xml:space="preserve">3 </w:t>
          </w:r>
          <w:r>
            <w:rPr>
              <w:rFonts w:hint="default" w:ascii="Times New Roman" w:hAnsi="Times New Roman" w:eastAsia="仿宋_GB2312" w:cs="Times New Roman"/>
            </w:rPr>
            <w:t>生态影响调查与分析</w:t>
          </w:r>
          <w:r>
            <w:tab/>
          </w:r>
          <w:r>
            <w:fldChar w:fldCharType="begin"/>
          </w:r>
          <w:r>
            <w:instrText xml:space="preserve"> PAGEREF _Toc21418 \h </w:instrText>
          </w:r>
          <w:r>
            <w:fldChar w:fldCharType="separate"/>
          </w:r>
          <w:r>
            <w:t>- 30 -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_Toc6345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lang w:val="en-US" w:eastAsia="zh-CN"/>
            </w:rPr>
            <w:t>5.4 生态环境调查</w:t>
          </w:r>
          <w:r>
            <w:rPr>
              <w:rFonts w:hint="default" w:ascii="Times New Roman" w:hAnsi="Times New Roman" w:eastAsia="仿宋_GB2312" w:cs="Times New Roman"/>
            </w:rPr>
            <w:t>小结</w:t>
          </w:r>
          <w:r>
            <w:tab/>
          </w:r>
          <w:r>
            <w:fldChar w:fldCharType="begin"/>
          </w:r>
          <w:r>
            <w:instrText xml:space="preserve"> PAGEREF _Toc6345 \h </w:instrText>
          </w:r>
          <w:r>
            <w:fldChar w:fldCharType="separate"/>
          </w:r>
          <w:r>
            <w:t>- 32 -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_Toc21242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 声环境影响调查</w:t>
          </w:r>
          <w:r>
            <w:tab/>
          </w:r>
          <w:r>
            <w:fldChar w:fldCharType="begin"/>
          </w:r>
          <w:r>
            <w:instrText xml:space="preserve"> PAGEREF _Toc21242 \h </w:instrText>
          </w:r>
          <w:r>
            <w:fldChar w:fldCharType="separate"/>
          </w:r>
          <w:r>
            <w:t>- 33 -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_Toc2928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声环境调查对象及内容</w:t>
          </w:r>
          <w:r>
            <w:tab/>
          </w:r>
          <w:r>
            <w:fldChar w:fldCharType="begin"/>
          </w:r>
          <w:r>
            <w:instrText xml:space="preserve"> PAGEREF _Toc2928 \h </w:instrText>
          </w:r>
          <w:r>
            <w:fldChar w:fldCharType="separate"/>
          </w:r>
          <w:r>
            <w:t>- 33 -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_Toc25060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施工期声环境保护措施调查</w:t>
          </w:r>
          <w:r>
            <w:tab/>
          </w:r>
          <w:r>
            <w:fldChar w:fldCharType="begin"/>
          </w:r>
          <w:r>
            <w:instrText xml:space="preserve"> PAGEREF _Toc25060 \h </w:instrText>
          </w:r>
          <w:r>
            <w:fldChar w:fldCharType="separate"/>
          </w:r>
          <w:r>
            <w:t>- 33 -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运营期声环境影响调查与监测</w:t>
          </w:r>
          <w:r>
            <w:tab/>
          </w:r>
          <w:r>
            <w:fldChar w:fldCharType="begin"/>
          </w:r>
          <w:r>
            <w:instrText xml:space="preserve"> PAGEREF _Toc51 \h </w:instrText>
          </w:r>
          <w:r>
            <w:fldChar w:fldCharType="separate"/>
          </w:r>
          <w:r>
            <w:t>- 33 -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_Toc7345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声环境影响调查结论</w:t>
          </w:r>
          <w:r>
            <w:tab/>
          </w:r>
          <w:r>
            <w:fldChar w:fldCharType="begin"/>
          </w:r>
          <w:r>
            <w:instrText xml:space="preserve"> PAGEREF _Toc7345 \h </w:instrText>
          </w:r>
          <w:r>
            <w:fldChar w:fldCharType="separate"/>
          </w:r>
          <w:r>
            <w:t>- 36 -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_Toc2983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 环境空气影响调查</w:t>
          </w:r>
          <w:r>
            <w:tab/>
          </w:r>
          <w:r>
            <w:fldChar w:fldCharType="begin"/>
          </w:r>
          <w:r>
            <w:instrText xml:space="preserve"> PAGEREF _Toc2983 \h </w:instrText>
          </w:r>
          <w:r>
            <w:fldChar w:fldCharType="separate"/>
          </w:r>
          <w:r>
            <w:t>- 37 -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_Toc12645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7.1 沿线环境空气现状调查</w:t>
          </w:r>
          <w:r>
            <w:tab/>
          </w:r>
          <w:r>
            <w:fldChar w:fldCharType="begin"/>
          </w:r>
          <w:r>
            <w:instrText xml:space="preserve"> PAGEREF _Toc12645 \h </w:instrText>
          </w:r>
          <w:r>
            <w:fldChar w:fldCharType="separate"/>
          </w:r>
          <w:r>
            <w:t>- 37 -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_Toc26741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7.2 施工期环境空气</w:t>
          </w:r>
          <w:r>
            <w:rPr>
              <w:rFonts w:hint="eastAsia" w:eastAsia="仿宋_GB2312" w:cs="Times New Roman"/>
              <w:lang w:val="en-US" w:eastAsia="zh-CN"/>
            </w:rPr>
            <w:t>保护措施</w:t>
          </w:r>
          <w:r>
            <w:rPr>
              <w:rFonts w:hint="default" w:ascii="Times New Roman" w:hAnsi="Times New Roman" w:eastAsia="仿宋_GB2312" w:cs="Times New Roman"/>
            </w:rPr>
            <w:t>调查</w:t>
          </w:r>
          <w:r>
            <w:tab/>
          </w:r>
          <w:r>
            <w:fldChar w:fldCharType="begin"/>
          </w:r>
          <w:r>
            <w:instrText xml:space="preserve"> PAGEREF _Toc26741 \h </w:instrText>
          </w:r>
          <w:r>
            <w:fldChar w:fldCharType="separate"/>
          </w:r>
          <w:r>
            <w:t>- 37 -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_Toc2523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7.3 运营期环境空气影响调查</w:t>
          </w:r>
          <w:r>
            <w:rPr>
              <w:rFonts w:hint="eastAsia" w:eastAsia="仿宋_GB2312" w:cs="Times New Roman"/>
              <w:lang w:val="en-US" w:eastAsia="zh-CN"/>
            </w:rPr>
            <w:t>与监测</w:t>
          </w:r>
          <w:r>
            <w:tab/>
          </w:r>
          <w:r>
            <w:fldChar w:fldCharType="begin"/>
          </w:r>
          <w:r>
            <w:instrText xml:space="preserve"> PAGEREF _Toc2523 \h </w:instrText>
          </w:r>
          <w:r>
            <w:fldChar w:fldCharType="separate"/>
          </w:r>
          <w:r>
            <w:t>- 38 -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_Toc21402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7.4 环境空气影响调查结论</w:t>
          </w:r>
          <w:r>
            <w:tab/>
          </w:r>
          <w:r>
            <w:fldChar w:fldCharType="begin"/>
          </w:r>
          <w:r>
            <w:instrText xml:space="preserve"> PAGEREF _Toc21402 \h </w:instrText>
          </w:r>
          <w:r>
            <w:fldChar w:fldCharType="separate"/>
          </w:r>
          <w:r>
            <w:t>- 39 -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_Toc10104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 水环境影响调查</w:t>
          </w:r>
          <w:r>
            <w:tab/>
          </w:r>
          <w:r>
            <w:fldChar w:fldCharType="begin"/>
          </w:r>
          <w:r>
            <w:instrText xml:space="preserve"> PAGEREF _Toc10104 \h </w:instrText>
          </w:r>
          <w:r>
            <w:fldChar w:fldCharType="separate"/>
          </w:r>
          <w:r>
            <w:t>- 40 -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_Toc10175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8.1 沿线主要水体及功能调查</w:t>
          </w:r>
          <w:r>
            <w:tab/>
          </w:r>
          <w:r>
            <w:fldChar w:fldCharType="begin"/>
          </w:r>
          <w:r>
            <w:instrText xml:space="preserve"> PAGEREF _Toc10175 \h </w:instrText>
          </w:r>
          <w:r>
            <w:fldChar w:fldCharType="separate"/>
          </w:r>
          <w:r>
            <w:t>- 40 -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_Toc17846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8.2 施工期水环境影响调查</w:t>
          </w:r>
          <w:r>
            <w:tab/>
          </w:r>
          <w:r>
            <w:fldChar w:fldCharType="begin"/>
          </w:r>
          <w:r>
            <w:instrText xml:space="preserve"> PAGEREF _Toc17846 \h </w:instrText>
          </w:r>
          <w:r>
            <w:fldChar w:fldCharType="separate"/>
          </w:r>
          <w:r>
            <w:t>- 40 -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_Toc6177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8.3 运营期水环境影响调查</w:t>
          </w:r>
          <w:r>
            <w:tab/>
          </w:r>
          <w:r>
            <w:fldChar w:fldCharType="begin"/>
          </w:r>
          <w:r>
            <w:instrText xml:space="preserve"> PAGEREF _Toc6177 \h </w:instrText>
          </w:r>
          <w:r>
            <w:fldChar w:fldCharType="separate"/>
          </w:r>
          <w:r>
            <w:t>- 40 -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_Toc16860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8.4 水环境影响调查结论</w:t>
          </w:r>
          <w:r>
            <w:tab/>
          </w:r>
          <w:r>
            <w:fldChar w:fldCharType="begin"/>
          </w:r>
          <w:r>
            <w:instrText xml:space="preserve"> PAGEREF _Toc16860 \h </w:instrText>
          </w:r>
          <w:r>
            <w:fldChar w:fldCharType="separate"/>
          </w:r>
          <w:r>
            <w:t>- 40 -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_Toc12258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 固体废物环境影响调查</w:t>
          </w:r>
          <w:r>
            <w:tab/>
          </w:r>
          <w:r>
            <w:fldChar w:fldCharType="begin"/>
          </w:r>
          <w:r>
            <w:instrText xml:space="preserve"> PAGEREF _Toc12258 \h </w:instrText>
          </w:r>
          <w:r>
            <w:fldChar w:fldCharType="separate"/>
          </w:r>
          <w:r>
            <w:t>- 42 -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_Toc31132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9.1 施工期固废处置措施调查</w:t>
          </w:r>
          <w:r>
            <w:tab/>
          </w:r>
          <w:r>
            <w:fldChar w:fldCharType="begin"/>
          </w:r>
          <w:r>
            <w:instrText xml:space="preserve"> PAGEREF _Toc31132 \h </w:instrText>
          </w:r>
          <w:r>
            <w:fldChar w:fldCharType="separate"/>
          </w:r>
          <w:r>
            <w:t>- 42 -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_Toc8379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9.2 营运期固废处置措施调查</w:t>
          </w:r>
          <w:r>
            <w:tab/>
          </w:r>
          <w:r>
            <w:fldChar w:fldCharType="begin"/>
          </w:r>
          <w:r>
            <w:instrText xml:space="preserve"> PAGEREF _Toc8379 \h </w:instrText>
          </w:r>
          <w:r>
            <w:fldChar w:fldCharType="separate"/>
          </w:r>
          <w:r>
            <w:t>- 42 -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_Toc8042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9.3 固体废物环境影响调查结论</w:t>
          </w:r>
          <w:r>
            <w:tab/>
          </w:r>
          <w:r>
            <w:fldChar w:fldCharType="begin"/>
          </w:r>
          <w:r>
            <w:instrText xml:space="preserve"> PAGEREF _Toc8042 \h </w:instrText>
          </w:r>
          <w:r>
            <w:fldChar w:fldCharType="separate"/>
          </w:r>
          <w:r>
            <w:t>- 42 -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_Toc1126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 社会环境影响调查</w:t>
          </w:r>
          <w:r>
            <w:tab/>
          </w:r>
          <w:r>
            <w:fldChar w:fldCharType="begin"/>
          </w:r>
          <w:r>
            <w:instrText xml:space="preserve"> PAGEREF _Toc1126 \h </w:instrText>
          </w:r>
          <w:r>
            <w:fldChar w:fldCharType="separate"/>
          </w:r>
          <w:r>
            <w:t>- 43 -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_Toc15052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1 </w:t>
          </w:r>
          <w:r>
            <w:rPr>
              <w:rFonts w:hint="default" w:ascii="Times New Roman" w:hAnsi="Times New Roman" w:eastAsia="仿宋_GB2312" w:cs="Times New Roman"/>
            </w:rPr>
            <w:t>征地拆迁及安置影响</w:t>
          </w:r>
          <w:r>
            <w:tab/>
          </w:r>
          <w:r>
            <w:fldChar w:fldCharType="begin"/>
          </w:r>
          <w:r>
            <w:instrText xml:space="preserve"> PAGEREF _Toc15052 \h </w:instrText>
          </w:r>
          <w:r>
            <w:fldChar w:fldCharType="separate"/>
          </w:r>
          <w:r>
            <w:t>- 43 -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_Toc3643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2 </w:t>
          </w:r>
          <w:r>
            <w:rPr>
              <w:rFonts w:hint="default" w:ascii="Times New Roman" w:hAnsi="Times New Roman" w:eastAsia="仿宋_GB2312" w:cs="Times New Roman"/>
            </w:rPr>
            <w:t>通行便利性影响分析</w:t>
          </w:r>
          <w:r>
            <w:tab/>
          </w:r>
          <w:r>
            <w:fldChar w:fldCharType="begin"/>
          </w:r>
          <w:r>
            <w:instrText xml:space="preserve"> PAGEREF _Toc3643 \h </w:instrText>
          </w:r>
          <w:r>
            <w:fldChar w:fldCharType="separate"/>
          </w:r>
          <w:r>
            <w:t>- 43 -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_Toc31735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3 </w:t>
          </w:r>
          <w:r>
            <w:rPr>
              <w:rFonts w:hint="default" w:ascii="Times New Roman" w:hAnsi="Times New Roman" w:eastAsia="仿宋_GB2312" w:cs="Times New Roman"/>
            </w:rPr>
            <w:t>社会经济影响分析</w:t>
          </w:r>
          <w:r>
            <w:tab/>
          </w:r>
          <w:r>
            <w:fldChar w:fldCharType="begin"/>
          </w:r>
          <w:r>
            <w:instrText xml:space="preserve"> PAGEREF _Toc31735 \h </w:instrText>
          </w:r>
          <w:r>
            <w:fldChar w:fldCharType="separate"/>
          </w:r>
          <w:r>
            <w:t>- 43 -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_Toc22230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 风险事故防范及应急措施调查与分析</w:t>
          </w:r>
          <w:r>
            <w:tab/>
          </w:r>
          <w:r>
            <w:fldChar w:fldCharType="begin"/>
          </w:r>
          <w:r>
            <w:instrText xml:space="preserve"> PAGEREF _Toc22230 \h </w:instrText>
          </w:r>
          <w:r>
            <w:fldChar w:fldCharType="separate"/>
          </w:r>
          <w:r>
            <w:t>- 44 -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_Toc1389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环境风险因素及事故调查</w:t>
          </w:r>
          <w:r>
            <w:tab/>
          </w:r>
          <w:r>
            <w:fldChar w:fldCharType="begin"/>
          </w:r>
          <w:r>
            <w:instrText xml:space="preserve"> PAGEREF _Toc1389 \h </w:instrText>
          </w:r>
          <w:r>
            <w:fldChar w:fldCharType="separate"/>
          </w:r>
          <w:r>
            <w:t>- 44 -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_Toc31166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交通运输事故风险防范措施调查</w:t>
          </w:r>
          <w:r>
            <w:tab/>
          </w:r>
          <w:r>
            <w:fldChar w:fldCharType="begin"/>
          </w:r>
          <w:r>
            <w:instrText xml:space="preserve"> PAGEREF _Toc31166 \h </w:instrText>
          </w:r>
          <w:r>
            <w:fldChar w:fldCharType="separate"/>
          </w:r>
          <w:r>
            <w:t>- 44 -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_Toc9084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应急预案及其有效性分析</w:t>
          </w:r>
          <w:r>
            <w:tab/>
          </w:r>
          <w:r>
            <w:fldChar w:fldCharType="begin"/>
          </w:r>
          <w:r>
            <w:instrText xml:space="preserve"> PAGEREF _Toc9084 \h </w:instrText>
          </w:r>
          <w:r>
            <w:fldChar w:fldCharType="separate"/>
          </w:r>
          <w:r>
            <w:t>- 45 -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_Toc15711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风险事故防范及应急措施调查结论</w:t>
          </w:r>
          <w:r>
            <w:tab/>
          </w:r>
          <w:r>
            <w:fldChar w:fldCharType="begin"/>
          </w:r>
          <w:r>
            <w:instrText xml:space="preserve"> PAGEREF _Toc15711 \h </w:instrText>
          </w:r>
          <w:r>
            <w:fldChar w:fldCharType="separate"/>
          </w:r>
          <w:r>
            <w:t>- 47 -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_Toc26832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 环境管理状况落实情况调查</w:t>
          </w:r>
          <w:r>
            <w:tab/>
          </w:r>
          <w:r>
            <w:fldChar w:fldCharType="begin"/>
          </w:r>
          <w:r>
            <w:instrText xml:space="preserve"> PAGEREF _Toc26832 \h </w:instrText>
          </w:r>
          <w:r>
            <w:fldChar w:fldCharType="separate"/>
          </w:r>
          <w:r>
            <w:t>- 48 -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_Toc32736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环境管理落实情况调查</w:t>
          </w:r>
          <w:r>
            <w:tab/>
          </w:r>
          <w:r>
            <w:fldChar w:fldCharType="begin"/>
          </w:r>
          <w:r>
            <w:instrText xml:space="preserve"> PAGEREF _Toc32736 \h </w:instrText>
          </w:r>
          <w:r>
            <w:fldChar w:fldCharType="separate"/>
          </w:r>
          <w:r>
            <w:t>- 48 -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_Toc8309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调查结果分析</w:t>
          </w:r>
          <w:r>
            <w:tab/>
          </w:r>
          <w:r>
            <w:fldChar w:fldCharType="begin"/>
          </w:r>
          <w:r>
            <w:instrText xml:space="preserve"> PAGEREF _Toc8309 \h </w:instrText>
          </w:r>
          <w:r>
            <w:fldChar w:fldCharType="separate"/>
          </w:r>
          <w:r>
            <w:t>- 50 -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_Toc14234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 调查结论与建议</w:t>
          </w:r>
          <w:r>
            <w:tab/>
          </w:r>
          <w:r>
            <w:fldChar w:fldCharType="begin"/>
          </w:r>
          <w:r>
            <w:instrText xml:space="preserve"> PAGEREF _Toc14234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_Toc18678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工程基本情况</w:t>
          </w:r>
          <w:r>
            <w:tab/>
          </w:r>
          <w:r>
            <w:fldChar w:fldCharType="begin"/>
          </w:r>
          <w:r>
            <w:instrText xml:space="preserve"> PAGEREF _Toc18678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_Toc3120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工程主要环保措施落实情况</w:t>
          </w:r>
          <w:r>
            <w:tab/>
          </w:r>
          <w:r>
            <w:fldChar w:fldCharType="begin"/>
          </w:r>
          <w:r>
            <w:instrText xml:space="preserve"> PAGEREF _Toc3120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_Toc10630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验收调查结果</w:t>
          </w:r>
          <w:r>
            <w:tab/>
          </w:r>
          <w:r>
            <w:fldChar w:fldCharType="begin"/>
          </w:r>
          <w:r>
            <w:instrText xml:space="preserve"> PAGEREF _Toc10630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_Toc30117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验收调查结论</w:t>
          </w:r>
          <w:r>
            <w:tab/>
          </w:r>
          <w:r>
            <w:fldChar w:fldCharType="begin"/>
          </w:r>
          <w:r>
            <w:instrText xml:space="preserve"> PAGEREF _Toc30117 \h </w:instrText>
          </w:r>
          <w:r>
            <w:fldChar w:fldCharType="separate"/>
          </w:r>
          <w:r>
            <w:t>- 52 -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_Toc22866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13.5</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建议</w:t>
          </w:r>
          <w:r>
            <w:tab/>
          </w:r>
          <w:r>
            <w:fldChar w:fldCharType="begin"/>
          </w:r>
          <w:r>
            <w:instrText xml:space="preserve"> PAGEREF _Toc22866 \h </w:instrText>
          </w:r>
          <w:r>
            <w:fldChar w:fldCharType="separate"/>
          </w:r>
          <w:r>
            <w:t>- 53 -</w:t>
          </w:r>
          <w:r>
            <w:fldChar w:fldCharType="end"/>
          </w:r>
          <w:r>
            <w:rPr>
              <w:rFonts w:hint="default" w:ascii="Times New Roman" w:hAnsi="Times New Roman" w:eastAsia="仿宋_GB2312" w:cs="Times New Roman"/>
              <w:color w:val="auto"/>
              <w:szCs w:val="24"/>
            </w:rPr>
            <w:fldChar w:fldCharType="end"/>
          </w:r>
        </w:p>
        <w:p>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firstLine="0" w:firstLineChars="0"/>
            <w:jc w:val="center"/>
            <w:textAlignment w:val="baseline"/>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color w:val="auto"/>
              <w:sz w:val="24"/>
              <w:szCs w:val="24"/>
            </w:rPr>
            <w:fldChar w:fldCharType="end"/>
          </w:r>
          <w:bookmarkEnd w:id="151"/>
        </w:p>
      </w:sdtContent>
    </w:sdt>
    <w:p>
      <w:pPr>
        <w:bidi w:val="0"/>
        <w:ind w:left="0" w:leftChars="0" w:firstLine="0" w:firstLineChars="0"/>
        <w:rPr>
          <w:rFonts w:hint="default"/>
          <w:lang w:val="en-US" w:eastAsia="en-US"/>
        </w:rPr>
      </w:pPr>
    </w:p>
    <w:p>
      <w:pPr>
        <w:bidi w:val="0"/>
        <w:rPr>
          <w:rFonts w:hint="default"/>
          <w:lang w:val="en-US" w:eastAsia="en-US"/>
        </w:rPr>
      </w:pPr>
    </w:p>
    <w:p>
      <w:pPr>
        <w:bidi w:val="0"/>
        <w:rPr>
          <w:rFonts w:hint="eastAsia" w:eastAsia="仿宋_GB2312"/>
          <w:lang w:val="en-US" w:eastAsia="zh-CN"/>
        </w:rPr>
      </w:pPr>
      <w:r>
        <w:rPr>
          <w:rFonts w:hint="eastAsia"/>
          <w:lang w:val="en-US" w:eastAsia="zh-CN"/>
        </w:rPr>
        <w:tab/>
      </w:r>
      <w:r>
        <w:rPr>
          <w:rFonts w:hint="eastAsia"/>
          <w:lang w:val="en-US" w:eastAsia="zh-CN"/>
        </w:rPr>
        <w:t>附图：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附图1 项目地理位置图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附图2 平面布置图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附图3 现状照片</w:t>
      </w:r>
    </w:p>
    <w:p>
      <w:pPr>
        <w:bidi w:val="0"/>
        <w:rPr>
          <w:rFonts w:hint="default"/>
          <w:lang w:val="en-US" w:eastAsia="zh-CN"/>
        </w:rPr>
      </w:pPr>
    </w:p>
    <w:p>
      <w:pPr>
        <w:bidi w:val="0"/>
        <w:rPr>
          <w:rFonts w:hint="eastAsia"/>
          <w:lang w:val="en-US" w:eastAsia="zh-CN"/>
        </w:rPr>
      </w:pPr>
      <w:r>
        <w:rPr>
          <w:rFonts w:hint="eastAsia"/>
          <w:lang w:val="en-US" w:eastAsia="zh-CN"/>
        </w:rPr>
        <w:t>附件：</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附件1 项目环评批复</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附件2 可研批复</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附件3 初设批复</w:t>
      </w:r>
    </w:p>
    <w:p>
      <w:pPr>
        <w:tabs>
          <w:tab w:val="left" w:pos="1687"/>
        </w:tabs>
        <w:bidi w:val="0"/>
        <w:ind w:firstLine="720" w:firstLineChars="300"/>
        <w:jc w:val="left"/>
        <w:rPr>
          <w:rFonts w:hint="eastAsia" w:eastAsia="仿宋_GB2312"/>
          <w:lang w:val="en-US" w:eastAsia="zh-CN"/>
        </w:rPr>
        <w:sectPr>
          <w:pgSz w:w="11906" w:h="16839"/>
          <w:pgMar w:top="1431" w:right="1785" w:bottom="0" w:left="1457" w:header="0" w:footer="0" w:gutter="0"/>
          <w:pgNumType w:fmt="upperRoman"/>
          <w:cols w:space="720" w:num="1"/>
        </w:sectPr>
      </w:pPr>
      <w:r>
        <w:rPr>
          <w:rFonts w:hint="eastAsia"/>
          <w:lang w:val="en-US" w:eastAsia="zh-CN"/>
        </w:rPr>
        <w:t>附件4 竣工验收报告</w:t>
      </w:r>
    </w:p>
    <w:p>
      <w:pPr>
        <w:pStyle w:val="2"/>
        <w:keepNext/>
        <w:keepLines/>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rPr>
      </w:pPr>
      <w:bookmarkStart w:id="8" w:name="_Toc25760"/>
      <w:r>
        <w:rPr>
          <w:rFonts w:hint="default" w:ascii="Times New Roman" w:hAnsi="Times New Roman" w:eastAsia="仿宋_GB2312" w:cs="Times New Roman"/>
          <w:color w:val="auto"/>
        </w:rPr>
        <w:t>前言</w:t>
      </w:r>
      <w:bookmarkEnd w:id="8"/>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eastAsia="zh-CN"/>
        </w:rPr>
      </w:pPr>
      <w:r>
        <w:rPr>
          <w:rFonts w:hint="eastAsia" w:cs="Times New Roman"/>
          <w:color w:val="auto"/>
          <w:lang w:eastAsia="zh-CN"/>
        </w:rPr>
        <w:t>同江路道路</w:t>
      </w:r>
      <w:r>
        <w:rPr>
          <w:rFonts w:hint="default" w:ascii="Times New Roman" w:hAnsi="Times New Roman" w:eastAsia="仿宋_GB2312" w:cs="Times New Roman"/>
          <w:color w:val="auto"/>
        </w:rPr>
        <w:t>工程</w:t>
      </w:r>
      <w:r>
        <w:rPr>
          <w:rFonts w:hint="eastAsia" w:cs="Times New Roman"/>
          <w:color w:val="auto"/>
          <w:lang w:val="en-US" w:eastAsia="zh-CN"/>
        </w:rPr>
        <w:t>位于哈尔滨市香坊区，工程起点为规划长寿路，终点为征仪路</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道路等级为城市次干路，工程全长</w:t>
      </w:r>
      <w:r>
        <w:rPr>
          <w:rFonts w:hint="eastAsia" w:cs="Times New Roman"/>
          <w:color w:val="auto"/>
          <w:lang w:val="en-US" w:eastAsia="zh-CN"/>
        </w:rPr>
        <w:t>639.694</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道路红线宽度为</w:t>
      </w:r>
      <w:r>
        <w:rPr>
          <w:rFonts w:hint="eastAsia" w:cs="Times New Roman"/>
          <w:color w:val="auto"/>
          <w:lang w:val="en-US" w:eastAsia="zh-CN"/>
        </w:rPr>
        <w:t>6</w:t>
      </w:r>
      <w:r>
        <w:rPr>
          <w:rFonts w:hint="default" w:ascii="Times New Roman" w:hAnsi="Times New Roman" w:eastAsia="仿宋_GB2312" w:cs="Times New Roman"/>
          <w:color w:val="auto"/>
        </w:rPr>
        <w:t>0米</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新建机动车</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非机动车道和人行道，此外工程还包括照明、排水、绿化、交通设施等工程。项目</w:t>
      </w:r>
      <w:r>
        <w:rPr>
          <w:rFonts w:hint="default" w:ascii="Times New Roman" w:hAnsi="Times New Roman" w:eastAsia="仿宋_GB2312" w:cs="Times New Roman"/>
          <w:color w:val="auto"/>
          <w:lang w:eastAsia="zh-CN"/>
        </w:rPr>
        <w:t>计划</w:t>
      </w:r>
      <w:r>
        <w:rPr>
          <w:rFonts w:hint="default" w:ascii="Times New Roman" w:hAnsi="Times New Roman" w:eastAsia="仿宋_GB2312" w:cs="Times New Roman"/>
          <w:color w:val="auto"/>
        </w:rPr>
        <w:t>总投资</w:t>
      </w:r>
      <w:r>
        <w:rPr>
          <w:rFonts w:hint="eastAsia" w:cs="Times New Roman"/>
          <w:color w:val="auto"/>
          <w:lang w:eastAsia="zh-CN"/>
        </w:rPr>
        <w:t>6425.43</w:t>
      </w:r>
      <w:r>
        <w:rPr>
          <w:rFonts w:hint="default" w:ascii="Times New Roman" w:hAnsi="Times New Roman" w:eastAsia="仿宋_GB2312" w:cs="Times New Roman"/>
          <w:color w:val="auto"/>
        </w:rPr>
        <w:t>万元</w:t>
      </w:r>
      <w:r>
        <w:rPr>
          <w:rFonts w:hint="default" w:ascii="Times New Roman" w:hAnsi="Times New Roman" w:eastAsia="仿宋_GB2312" w:cs="Times New Roman"/>
          <w:color w:val="auto"/>
          <w:lang w:eastAsia="zh-CN"/>
        </w:rPr>
        <w:t>。</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年8月</w:t>
      </w:r>
      <w:r>
        <w:rPr>
          <w:rFonts w:hint="default" w:ascii="Times New Roman" w:hAnsi="Times New Roman" w:eastAsia="仿宋_GB2312" w:cs="Times New Roman"/>
          <w:color w:val="auto"/>
          <w:lang w:eastAsia="zh-CN"/>
        </w:rPr>
        <w:t>哈尔滨市城乡建设委员会委托</w:t>
      </w:r>
      <w:r>
        <w:rPr>
          <w:rFonts w:hint="eastAsia" w:cs="Times New Roman"/>
          <w:color w:val="auto"/>
          <w:lang w:val="en-US" w:eastAsia="zh-CN"/>
        </w:rPr>
        <w:t>北京</w:t>
      </w:r>
      <w:r>
        <w:rPr>
          <w:rFonts w:hint="default" w:ascii="Times New Roman" w:hAnsi="Times New Roman" w:eastAsia="仿宋_GB2312" w:cs="Times New Roman"/>
          <w:color w:val="auto"/>
          <w:lang w:eastAsia="zh-CN"/>
        </w:rPr>
        <w:t>国环</w:t>
      </w:r>
      <w:r>
        <w:rPr>
          <w:rFonts w:hint="eastAsia" w:cs="Times New Roman"/>
          <w:color w:val="auto"/>
          <w:lang w:val="en-US" w:eastAsia="zh-CN"/>
        </w:rPr>
        <w:t>建邦环保</w:t>
      </w:r>
      <w:r>
        <w:rPr>
          <w:rFonts w:hint="default" w:ascii="Times New Roman" w:hAnsi="Times New Roman" w:eastAsia="仿宋_GB2312" w:cs="Times New Roman"/>
          <w:color w:val="auto"/>
          <w:lang w:eastAsia="zh-CN"/>
        </w:rPr>
        <w:t>科技有限公司</w:t>
      </w:r>
      <w:r>
        <w:rPr>
          <w:rFonts w:hint="default" w:ascii="Times New Roman" w:hAnsi="Times New Roman" w:eastAsia="仿宋_GB2312" w:cs="Times New Roman"/>
          <w:color w:val="auto"/>
        </w:rPr>
        <w:t>编制了《</w:t>
      </w:r>
      <w:r>
        <w:rPr>
          <w:rFonts w:hint="eastAsia" w:cs="Times New Roman"/>
          <w:color w:val="auto"/>
          <w:lang w:eastAsia="zh-CN"/>
        </w:rPr>
        <w:t>同江路道路</w:t>
      </w:r>
      <w:r>
        <w:rPr>
          <w:rFonts w:hint="default" w:ascii="Times New Roman" w:hAnsi="Times New Roman" w:eastAsia="仿宋_GB2312" w:cs="Times New Roman"/>
          <w:color w:val="auto"/>
        </w:rPr>
        <w:t>工程环境影响报告书》，于201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9</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eastAsia="zh-CN"/>
        </w:rPr>
        <w:t>取</w:t>
      </w:r>
      <w:r>
        <w:rPr>
          <w:rFonts w:hint="default" w:ascii="Times New Roman" w:hAnsi="Times New Roman" w:eastAsia="仿宋_GB2312" w:cs="Times New Roman"/>
          <w:color w:val="auto"/>
        </w:rPr>
        <w:t>得了</w:t>
      </w:r>
      <w:r>
        <w:rPr>
          <w:rFonts w:hint="default" w:ascii="Times New Roman" w:hAnsi="Times New Roman" w:eastAsia="仿宋_GB2312" w:cs="Times New Roman"/>
          <w:color w:val="auto"/>
          <w:lang w:eastAsia="zh-CN"/>
        </w:rPr>
        <w:t>哈尔滨市生态环境局（原哈尔滨市环境保护局）</w:t>
      </w:r>
      <w:r>
        <w:rPr>
          <w:rFonts w:hint="default" w:ascii="Times New Roman" w:hAnsi="Times New Roman" w:eastAsia="仿宋_GB2312" w:cs="Times New Roman"/>
          <w:color w:val="auto"/>
        </w:rPr>
        <w:t>批复</w:t>
      </w:r>
      <w:r>
        <w:rPr>
          <w:rFonts w:hint="default" w:ascii="Times New Roman" w:hAnsi="Times New Roman" w:eastAsia="仿宋_GB2312" w:cs="Times New Roman"/>
          <w:color w:val="auto"/>
          <w:lang w:eastAsia="zh-CN"/>
        </w:rPr>
        <w:t>文件</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rPr>
        <w:t>环审</w:t>
      </w:r>
      <w:r>
        <w:rPr>
          <w:rFonts w:hint="default" w:ascii="Times New Roman" w:hAnsi="Times New Roman" w:eastAsia="仿宋_GB2312" w:cs="Times New Roman"/>
          <w:color w:val="auto"/>
          <w:lang w:eastAsia="zh-CN"/>
        </w:rPr>
        <w:t>书</w:t>
      </w: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6</w:t>
      </w:r>
      <w:r>
        <w:rPr>
          <w:rFonts w:hint="eastAsia" w:cs="Times New Roman"/>
          <w:color w:val="auto"/>
          <w:lang w:val="en-US" w:eastAsia="zh-CN"/>
        </w:rPr>
        <w:t>3</w:t>
      </w:r>
      <w:r>
        <w:rPr>
          <w:rFonts w:hint="default" w:ascii="Times New Roman" w:hAnsi="Times New Roman" w:eastAsia="仿宋_GB2312" w:cs="Times New Roman"/>
          <w:color w:val="auto"/>
        </w:rPr>
        <w:t>号</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工程于20</w:t>
      </w:r>
      <w:r>
        <w:rPr>
          <w:rFonts w:hint="default" w:ascii="Times New Roman" w:hAnsi="Times New Roman" w:eastAsia="仿宋_GB2312" w:cs="Times New Roman"/>
          <w:color w:val="auto"/>
          <w:lang w:val="en-US" w:eastAsia="zh-CN"/>
        </w:rPr>
        <w:t>1</w:t>
      </w:r>
      <w:r>
        <w:rPr>
          <w:rFonts w:hint="eastAsia"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月全面开工建设，20</w:t>
      </w:r>
      <w:r>
        <w:rPr>
          <w:rFonts w:hint="eastAsia" w:cs="Times New Roman"/>
          <w:color w:val="auto"/>
          <w:lang w:val="en-US" w:eastAsia="zh-CN"/>
        </w:rPr>
        <w:t>18</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10</w:t>
      </w:r>
      <w:r>
        <w:rPr>
          <w:rFonts w:hint="default" w:ascii="Times New Roman" w:hAnsi="Times New Roman" w:eastAsia="仿宋_GB2312" w:cs="Times New Roman"/>
          <w:color w:val="auto"/>
        </w:rPr>
        <w:t>月建成</w:t>
      </w:r>
      <w:r>
        <w:rPr>
          <w:rFonts w:hint="default" w:ascii="Times New Roman" w:hAnsi="Times New Roman" w:eastAsia="仿宋_GB2312" w:cs="Times New Roman"/>
          <w:color w:val="auto"/>
          <w:lang w:eastAsia="zh-CN"/>
        </w:rPr>
        <w:t>通车</w:t>
      </w:r>
      <w:r>
        <w:rPr>
          <w:rFonts w:hint="default" w:ascii="Times New Roman" w:hAnsi="Times New Roman" w:eastAsia="仿宋_GB2312" w:cs="Times New Roman"/>
          <w:color w:val="auto"/>
        </w:rPr>
        <w:t>。工程于20</w:t>
      </w:r>
      <w:r>
        <w:rPr>
          <w:rFonts w:hint="eastAsia" w:cs="Times New Roman"/>
          <w:color w:val="auto"/>
          <w:lang w:val="en-US" w:eastAsia="zh-CN"/>
        </w:rPr>
        <w:t>19</w:t>
      </w:r>
      <w:r>
        <w:rPr>
          <w:rFonts w:hint="default" w:ascii="Times New Roman" w:hAnsi="Times New Roman" w:eastAsia="仿宋_GB2312" w:cs="Times New Roman"/>
          <w:color w:val="auto"/>
        </w:rPr>
        <w:t>年1</w:t>
      </w:r>
      <w:r>
        <w:rPr>
          <w:rFonts w:hint="eastAsia" w:cs="Times New Roman"/>
          <w:color w:val="auto"/>
          <w:lang w:val="en-US" w:eastAsia="zh-CN"/>
        </w:rPr>
        <w:t>2</w:t>
      </w:r>
      <w:r>
        <w:rPr>
          <w:rFonts w:hint="default" w:ascii="Times New Roman" w:hAnsi="Times New Roman" w:eastAsia="仿宋_GB2312" w:cs="Times New Roman"/>
          <w:color w:val="auto"/>
        </w:rPr>
        <w:t>月2</w:t>
      </w:r>
      <w:r>
        <w:rPr>
          <w:rFonts w:hint="eastAsia" w:cs="Times New Roman"/>
          <w:color w:val="auto"/>
          <w:lang w:val="en-US" w:eastAsia="zh-CN"/>
        </w:rPr>
        <w:t>5</w:t>
      </w:r>
      <w:r>
        <w:rPr>
          <w:rFonts w:hint="default" w:ascii="Times New Roman" w:hAnsi="Times New Roman" w:eastAsia="仿宋_GB2312" w:cs="Times New Roman"/>
          <w:color w:val="auto"/>
        </w:rPr>
        <w:t>日通过</w:t>
      </w:r>
      <w:r>
        <w:rPr>
          <w:rFonts w:hint="default" w:ascii="Times New Roman" w:hAnsi="Times New Roman" w:eastAsia="仿宋_GB2312" w:cs="Times New Roman"/>
          <w:color w:val="auto"/>
          <w:lang w:eastAsia="zh-CN"/>
        </w:rPr>
        <w:t>工程竣工</w:t>
      </w:r>
      <w:r>
        <w:rPr>
          <w:rFonts w:hint="default" w:ascii="Times New Roman" w:hAnsi="Times New Roman" w:eastAsia="仿宋_GB2312" w:cs="Times New Roman"/>
          <w:color w:val="auto"/>
        </w:rPr>
        <w:t>验收。</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根据《中华人民共和国环境保护法》《建设项目环境保护管理条例》《建设项目竣工环境保护验收暂行办法》等有关规定，按照环境保护设施与主体工程同时设计、同时施工、同时投入使用的“ 三同时 ”制度的要求，需对工程设计</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环境影响报告书及其批复中所提出的各项环保设施和措施的落实情况进行调查</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并分析各类环保设施、措施的效果，以及可能存在的其他环境问题，以便采取更有效的环境保护补救和减缓措施，全面做好环境保护工</w:t>
      </w:r>
      <w:r>
        <w:rPr>
          <w:rFonts w:hint="default" w:ascii="Times New Roman" w:hAnsi="Times New Roman" w:eastAsia="仿宋_GB2312" w:cs="Times New Roman"/>
          <w:color w:val="auto"/>
          <w:lang w:eastAsia="zh-CN"/>
        </w:rPr>
        <w:t>作，</w:t>
      </w:r>
      <w:r>
        <w:rPr>
          <w:rFonts w:hint="default" w:ascii="Times New Roman" w:hAnsi="Times New Roman" w:eastAsia="仿宋_GB2312" w:cs="Times New Roman"/>
          <w:color w:val="auto"/>
        </w:rPr>
        <w:t>并为工程竣工验收提供依据。</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2023年11月，哈尔滨捷通环境监测有限责任公司（以下简称我公司）承担</w:t>
      </w:r>
      <w:r>
        <w:rPr>
          <w:rFonts w:hint="eastAsia" w:cs="Times New Roman"/>
          <w:color w:val="auto"/>
          <w:lang w:eastAsia="zh-CN"/>
        </w:rPr>
        <w:t>同江路道路</w:t>
      </w:r>
      <w:r>
        <w:rPr>
          <w:rFonts w:hint="default" w:ascii="Times New Roman" w:hAnsi="Times New Roman" w:eastAsia="仿宋_GB2312" w:cs="Times New Roman"/>
          <w:color w:val="auto"/>
        </w:rPr>
        <w:t>工程竣工环境保护验收调查技术服务工作。承接任务后</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我公司根据《建设项目竣工环境保护验收技术规范公路》要求，对公路沿线声环境、生态环境及社会环境等进行了深入细致的调查，在此基础上编制了《</w:t>
      </w:r>
      <w:r>
        <w:rPr>
          <w:rFonts w:hint="eastAsia" w:cs="Times New Roman"/>
          <w:color w:val="auto"/>
          <w:lang w:eastAsia="zh-CN"/>
        </w:rPr>
        <w:t>同江路道路</w:t>
      </w:r>
      <w:r>
        <w:rPr>
          <w:rFonts w:hint="default" w:ascii="Times New Roman" w:hAnsi="Times New Roman" w:eastAsia="仿宋_GB2312" w:cs="Times New Roman"/>
          <w:color w:val="auto"/>
        </w:rPr>
        <w:t>工程竣工环境保护验收调查报告》</w:t>
      </w:r>
      <w:r>
        <w:rPr>
          <w:rFonts w:hint="default" w:ascii="Times New Roman" w:hAnsi="Times New Roman" w:eastAsia="仿宋_GB2312" w:cs="Times New Roman"/>
          <w:color w:val="auto"/>
          <w:lang w:eastAsia="zh-CN"/>
        </w:rPr>
        <w:t>。</w:t>
      </w:r>
    </w:p>
    <w:p>
      <w:pPr>
        <w:spacing w:line="222" w:lineRule="auto"/>
        <w:rPr>
          <w:rFonts w:hint="default" w:ascii="Times New Roman" w:hAnsi="Times New Roman" w:eastAsia="仿宋_GB2312" w:cs="Times New Roman"/>
          <w:color w:val="auto"/>
          <w:sz w:val="24"/>
          <w:szCs w:val="24"/>
        </w:rPr>
        <w:sectPr>
          <w:headerReference r:id="rId5" w:type="default"/>
          <w:footerReference r:id="rId6" w:type="default"/>
          <w:pgSz w:w="11906" w:h="16839"/>
          <w:pgMar w:top="1440" w:right="1800" w:bottom="1440" w:left="1800" w:header="0" w:footer="0" w:gutter="0"/>
          <w:pgNumType w:fmt="upperRoman" w:start="1"/>
          <w:cols w:space="720" w:num="1"/>
        </w:sectPr>
      </w:pPr>
    </w:p>
    <w:p>
      <w:pPr>
        <w:pStyle w:val="2"/>
        <w:bidi w:val="0"/>
        <w:rPr>
          <w:rFonts w:hint="default" w:ascii="Times New Roman" w:hAnsi="Times New Roman" w:eastAsia="仿宋_GB2312" w:cs="Times New Roman"/>
          <w:color w:val="auto"/>
        </w:rPr>
      </w:pPr>
      <w:bookmarkStart w:id="9" w:name="bookmark3"/>
      <w:bookmarkEnd w:id="9"/>
      <w:bookmarkStart w:id="10" w:name="_Toc8372"/>
      <w:r>
        <w:rPr>
          <w:rFonts w:hint="default" w:ascii="Times New Roman" w:hAnsi="Times New Roman" w:eastAsia="仿宋_GB2312" w:cs="Times New Roman"/>
          <w:color w:val="auto"/>
        </w:rPr>
        <w:t>1. 总论</w:t>
      </w:r>
      <w:bookmarkEnd w:id="10"/>
    </w:p>
    <w:p>
      <w:pPr>
        <w:pStyle w:val="3"/>
        <w:bidi w:val="0"/>
        <w:rPr>
          <w:rFonts w:hint="default" w:ascii="Times New Roman" w:hAnsi="Times New Roman" w:eastAsia="仿宋_GB2312" w:cs="Times New Roman"/>
          <w:color w:val="auto"/>
        </w:rPr>
      </w:pPr>
      <w:bookmarkStart w:id="11" w:name="bookmark4"/>
      <w:bookmarkEnd w:id="11"/>
      <w:bookmarkStart w:id="12" w:name="_Toc29121"/>
      <w:r>
        <w:rPr>
          <w:rFonts w:hint="default" w:ascii="Times New Roman" w:hAnsi="Times New Roman" w:eastAsia="仿宋_GB2312" w:cs="Times New Roman"/>
          <w:color w:val="auto"/>
        </w:rPr>
        <w:t>1.1 调查目的及原则</w:t>
      </w:r>
      <w:bookmarkEnd w:id="1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1.1.1 调查目的</w:t>
      </w:r>
    </w:p>
    <w:p>
      <w:pPr>
        <w:bidi w:val="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（1）调查工程在施工、运行和管理等方面落实环境影响报告书、工程设计所提出的环保措施的情况，以及对生态环境主管部门批复要求的落实情况</w:t>
      </w:r>
      <w:r>
        <w:rPr>
          <w:rFonts w:hint="default" w:ascii="Times New Roman" w:hAnsi="Times New Roman" w:eastAsia="仿宋_GB2312" w:cs="Times New Roman"/>
          <w:color w:val="auto"/>
          <w:lang w:eastAsia="zh-CN"/>
        </w:rPr>
        <w:t>。</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工程已采取的生态保护、噪声控制等措施，并通过对工程所在区域环境现状监测与调查结果的评价，分析各项措施实施的有效性，针对该工程已产生的实际环境问题及可能存在的潜在环境影响，提出切实可行的补救措施和应急措施，对已实施的尚不完善的措施提出改进意见。</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（3）根据调查的结果，客观、公正地从技术上论证工程是否符合建设项目竣工环境保护验收的条件。</w:t>
      </w:r>
    </w:p>
    <w:p>
      <w:pPr>
        <w:pStyle w:val="4"/>
        <w:bidi w:val="0"/>
        <w:ind w:firstLine="0"/>
        <w:rPr>
          <w:rFonts w:hint="default" w:ascii="Times New Roman" w:hAnsi="Times New Roman" w:eastAsia="仿宋_GB2312" w:cs="Times New Roman"/>
          <w:b/>
          <w:color w:val="auto"/>
        </w:rPr>
      </w:pPr>
      <w:r>
        <w:rPr>
          <w:rFonts w:hint="default" w:ascii="Times New Roman" w:hAnsi="Times New Roman" w:eastAsia="仿宋_GB2312" w:cs="Times New Roman"/>
          <w:b/>
          <w:color w:val="auto"/>
        </w:rPr>
        <w:t>1.1.2 调查原则</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（1）认真贯彻国家及</w:t>
      </w:r>
      <w:r>
        <w:rPr>
          <w:rFonts w:hint="default" w:ascii="Times New Roman" w:hAnsi="Times New Roman" w:eastAsia="仿宋_GB2312" w:cs="Times New Roman"/>
          <w:color w:val="auto"/>
          <w:lang w:val="en-US" w:eastAsia="zh-CN"/>
        </w:rPr>
        <w:t>地方</w:t>
      </w:r>
      <w:r>
        <w:rPr>
          <w:rFonts w:hint="default" w:ascii="Times New Roman" w:hAnsi="Times New Roman" w:eastAsia="仿宋_GB2312" w:cs="Times New Roman"/>
          <w:color w:val="auto"/>
        </w:rPr>
        <w:t>有关的环境保护法律、法规及有关规定；</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（2）坚持污染防治与生态保护并重的原则；</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（3）坚持客观、公正、科学、实用的验收原则。</w:t>
      </w:r>
    </w:p>
    <w:p>
      <w:pPr>
        <w:pStyle w:val="3"/>
        <w:bidi w:val="0"/>
        <w:rPr>
          <w:rFonts w:hint="default" w:ascii="Times New Roman" w:hAnsi="Times New Roman" w:eastAsia="仿宋_GB2312" w:cs="Times New Roman"/>
          <w:color w:val="auto"/>
        </w:rPr>
      </w:pPr>
      <w:bookmarkStart w:id="13" w:name="bookmark5"/>
      <w:bookmarkEnd w:id="13"/>
      <w:bookmarkStart w:id="14" w:name="_Toc5805"/>
      <w:r>
        <w:rPr>
          <w:rFonts w:hint="default" w:ascii="Times New Roman" w:hAnsi="Times New Roman" w:eastAsia="仿宋_GB2312" w:cs="Times New Roman"/>
          <w:color w:val="auto"/>
        </w:rPr>
        <w:t>1.2 编制依据</w:t>
      </w:r>
      <w:bookmarkEnd w:id="1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 法律法规</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（1）《中华人民共和国环境保护法》（2014年4月24日修订，2015年1月1日起施行）；</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（2）《中华人民共和国环境噪声污染防治法》（2022年6月5日施行）；</w:t>
      </w:r>
    </w:p>
    <w:p>
      <w:pPr>
        <w:bidi w:val="0"/>
        <w:ind w:firstLine="420"/>
        <w:jc w:val="both"/>
        <w:rPr>
          <w:rFonts w:hint="default" w:ascii="Times New Roman" w:hAnsi="Times New Roman" w:eastAsia="仿宋_GB2312" w:cs="Times New Roman"/>
          <w:color w:val="auto"/>
          <w:kern w:val="21"/>
          <w:sz w:val="24"/>
          <w:lang w:eastAsia="zh-CN"/>
        </w:rPr>
      </w:pPr>
      <w:r>
        <w:rPr>
          <w:rFonts w:hint="default" w:ascii="Times New Roman" w:hAnsi="Times New Roman" w:eastAsia="仿宋_GB2312" w:cs="Times New Roman"/>
          <w:color w:val="auto"/>
          <w:kern w:val="21"/>
          <w:sz w:val="24"/>
        </w:rPr>
        <w:t>（3）《中华人民共和国大气污染防治法》（2018年10月26日修订并实施）</w:t>
      </w:r>
      <w:r>
        <w:rPr>
          <w:rFonts w:hint="default" w:ascii="Times New Roman" w:hAnsi="Times New Roman" w:eastAsia="仿宋_GB2312" w:cs="Times New Roman"/>
          <w:color w:val="auto"/>
          <w:kern w:val="21"/>
          <w:sz w:val="24"/>
          <w:lang w:eastAsia="zh-CN"/>
        </w:rPr>
        <w:t>；</w:t>
      </w:r>
    </w:p>
    <w:p>
      <w:pPr>
        <w:bidi w:val="0"/>
        <w:ind w:firstLine="420"/>
        <w:jc w:val="both"/>
        <w:rPr>
          <w:rFonts w:hint="default" w:ascii="Times New Roman" w:hAnsi="Times New Roman" w:eastAsia="仿宋_GB2312" w:cs="Times New Roman"/>
          <w:color w:val="auto"/>
          <w:kern w:val="21"/>
          <w:sz w:val="24"/>
          <w:lang w:val="en-US" w:eastAsia="zh-CN"/>
        </w:rPr>
      </w:pPr>
      <w:r>
        <w:rPr>
          <w:rFonts w:hint="default" w:ascii="Times New Roman" w:hAnsi="Times New Roman" w:eastAsia="仿宋_GB2312" w:cs="Times New Roman"/>
          <w:color w:val="auto"/>
          <w:kern w:val="21"/>
          <w:sz w:val="24"/>
        </w:rPr>
        <w:t>（4）《中华人民共和国水污染防治法》（2017年6月27日修订，2018年1月1日起施行）；</w:t>
      </w:r>
      <w:r>
        <w:rPr>
          <w:rFonts w:hint="default" w:ascii="Times New Roman" w:hAnsi="Times New Roman" w:eastAsia="仿宋_GB2312" w:cs="Times New Roman"/>
          <w:color w:val="auto"/>
          <w:kern w:val="21"/>
          <w:sz w:val="24"/>
          <w:lang w:val="en-US" w:eastAsia="zh-CN"/>
        </w:rPr>
        <w:t xml:space="preserve">         </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（5）《中华人民共和国固体废物污染环境防治法》（2020年4月29日修订</w:t>
      </w:r>
      <w:r>
        <w:rPr>
          <w:rFonts w:hint="default" w:ascii="Times New Roman" w:hAnsi="Times New Roman" w:eastAsia="仿宋_GB2312" w:cs="Times New Roman"/>
          <w:color w:val="auto"/>
          <w:kern w:val="21"/>
          <w:sz w:val="24"/>
          <w:lang w:eastAsia="zh-CN"/>
        </w:rPr>
        <w:t>，</w:t>
      </w:r>
      <w:r>
        <w:rPr>
          <w:rFonts w:hint="default" w:ascii="Times New Roman" w:hAnsi="Times New Roman" w:eastAsia="仿宋_GB2312" w:cs="Times New Roman"/>
          <w:color w:val="auto"/>
          <w:kern w:val="21"/>
          <w:sz w:val="24"/>
        </w:rPr>
        <w:t>2020年9月1日起施行）；</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（6）《中华人民共和国公路法》（2017年11月4日修订）；</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（7）《中华人民共和国农业法》（2012年12月28日修订，2013年1月1日起施行）；</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（8）《中华人民共和国渔业法》（2013年12月28日修订）；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（9）《建设项目环境保护管理条例》，国务院令第253号，2017年10月1日修订；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（10）《危险化学品安全管理条例》，国务院令第645号，2013年12月7日修订；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（11）《中华人民共和国河道管理条例》，国务院令第3号，2018年3月19日修订；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（12）《建设项目竣工环境保护验收暂行办法》；国环规环评〔2017〕4号</w:t>
      </w:r>
      <w:r>
        <w:rPr>
          <w:rFonts w:hint="default" w:ascii="Times New Roman" w:hAnsi="Times New Roman" w:eastAsia="仿宋_GB2312" w:cs="Times New Roman"/>
          <w:snapToGrid/>
          <w:color w:val="auto"/>
          <w:kern w:val="0"/>
          <w:sz w:val="24"/>
          <w:lang w:eastAsia="zh-CN"/>
        </w:rPr>
        <w:t>，</w:t>
      </w:r>
      <w:r>
        <w:rPr>
          <w:rFonts w:hint="default" w:ascii="Times New Roman" w:hAnsi="Times New Roman" w:eastAsia="仿宋_GB2312" w:cs="Times New Roman"/>
          <w:snapToGrid/>
          <w:color w:val="auto"/>
          <w:kern w:val="0"/>
          <w:sz w:val="24"/>
        </w:rPr>
        <w:t>2017年7月16日；</w:t>
      </w:r>
    </w:p>
    <w:p>
      <w:pPr>
        <w:bidi w:val="0"/>
        <w:ind w:firstLine="420"/>
        <w:jc w:val="both"/>
        <w:rPr>
          <w:rFonts w:hint="default" w:ascii="Times New Roman" w:hAnsi="Times New Roman" w:eastAsia="仿宋_GB2312" w:cs="Times New Roman"/>
          <w:snapToGrid/>
          <w:color w:val="auto"/>
          <w:kern w:val="21"/>
          <w:sz w:val="24"/>
        </w:rPr>
      </w:pPr>
      <w:r>
        <w:rPr>
          <w:rFonts w:hint="default" w:ascii="Times New Roman" w:hAnsi="Times New Roman" w:eastAsia="仿宋_GB2312" w:cs="Times New Roman"/>
          <w:snapToGrid/>
          <w:color w:val="auto"/>
          <w:kern w:val="0"/>
          <w:sz w:val="24"/>
        </w:rPr>
        <w:t>（13）《关于印发环评管理中部分行业建设项目重大变动清单的通知》，环办〔2015</w:t>
      </w:r>
      <w:r>
        <w:rPr>
          <w:rFonts w:hint="default" w:ascii="Times New Roman" w:hAnsi="Times New Roman" w:eastAsia="仿宋_GB2312" w:cs="Times New Roman"/>
          <w:snapToGrid/>
          <w:color w:val="auto"/>
          <w:kern w:val="21"/>
          <w:sz w:val="24"/>
        </w:rPr>
        <w:t>〕52号，2015年6月4日；</w:t>
      </w:r>
    </w:p>
    <w:p>
      <w:pPr>
        <w:bidi w:val="0"/>
        <w:ind w:firstLine="420"/>
        <w:jc w:val="both"/>
        <w:rPr>
          <w:rFonts w:hint="default" w:ascii="Times New Roman" w:hAnsi="Times New Roman" w:eastAsia="仿宋_GB2312" w:cs="Times New Roman"/>
          <w:snapToGrid/>
          <w:color w:val="auto"/>
          <w:kern w:val="21"/>
          <w:sz w:val="24"/>
        </w:rPr>
      </w:pPr>
      <w:r>
        <w:rPr>
          <w:rFonts w:hint="default" w:ascii="Times New Roman" w:hAnsi="Times New Roman" w:eastAsia="仿宋_GB2312" w:cs="Times New Roman"/>
          <w:snapToGrid/>
          <w:color w:val="auto"/>
          <w:kern w:val="21"/>
          <w:sz w:val="24"/>
        </w:rPr>
        <w:t>（14）</w:t>
      </w:r>
      <w:r>
        <w:rPr>
          <w:rFonts w:hint="default" w:ascii="Times New Roman" w:hAnsi="Times New Roman" w:eastAsia="仿宋_GB2312" w:cs="Times New Roman"/>
          <w:snapToGrid/>
          <w:color w:val="auto"/>
          <w:kern w:val="22"/>
          <w:sz w:val="24"/>
        </w:rPr>
        <w:t>《关于印发建设项目竣工环境保护验收现场检查及审查要点的通知</w:t>
      </w:r>
      <w:r>
        <w:rPr>
          <w:rFonts w:hint="default" w:ascii="Times New Roman" w:hAnsi="Times New Roman" w:eastAsia="仿宋_GB2312" w:cs="Times New Roman"/>
          <w:snapToGrid/>
          <w:color w:val="auto"/>
          <w:kern w:val="22"/>
          <w:sz w:val="24"/>
          <w:lang w:eastAsia="zh-CN"/>
        </w:rPr>
        <w:t>》，</w:t>
      </w:r>
      <w:r>
        <w:rPr>
          <w:rFonts w:hint="default" w:ascii="Times New Roman" w:hAnsi="Times New Roman" w:eastAsia="仿宋_GB2312" w:cs="Times New Roman"/>
          <w:snapToGrid/>
          <w:color w:val="auto"/>
          <w:kern w:val="22"/>
          <w:sz w:val="24"/>
        </w:rPr>
        <w:t>环办〔2015〕113号，2015年12月30日；</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（15）《关于进一步做好建设项目环境保护“ 三同时 ”及自主验收监督检查工作的通知》，环办执法〔2020〕11号，2020年5月27日。</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1.2.2地方法规及法规性文件</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(1)《黑龙江省环境保护条例》，2018年4月26日修订；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(2)《黑龙江省大气污染防治条例》，2018年12月27日修订；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(3)《黑龙江省地质环境保护条例》，2009年10月1日起实施；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(4)《黑龙江省风景名胜区管理条例》，2000年7月1日起实施；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(5)省政府关于修改《黑龙江省居民居住环境保护办法》的决定，黑龙江省人民政府令第3号，2009年1月5日起实施。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(6)《黑龙江省自然保护区管理办法》，黑龙江省人民政府令第3号，1996年2月8日起实施；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(7)《黑龙江省松花江流域水污染防治条例》，2015年4月17日修订；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(8)《关于印发&lt;黑龙江省环境保护厅关于建设项目环境保护设施验收的工作指引(试行)&gt;的通知》，黑环函[2018]284号，2018年8月23日；</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(9)《哈尔滨市生态功能保护区管理办法》，2005年5月1日起施行；</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(10)《哈尔滨市保护建筑和保护街区条例》，2001年12月1日施行；</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(11)《哈尔滨市历史文化名城保护条例》，2020年6月1日起实施。</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 xml:space="preserve"> 技术规范、标准</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（1）《建设项目竣工环境保护验收技术规范</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公路》（HJ552-2010）；</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rPr>
        <w:t>（2）</w:t>
      </w:r>
      <w:r>
        <w:rPr>
          <w:rFonts w:hint="default" w:ascii="Times New Roman" w:hAnsi="Times New Roman" w:eastAsia="仿宋_GB2312" w:cs="Times New Roman"/>
          <w:color w:val="auto"/>
          <w:kern w:val="21"/>
          <w:sz w:val="24"/>
        </w:rPr>
        <w:t>《建设项目竣工环境保护验收技术规范生态影响类》（HJ/T394-2007</w:t>
      </w:r>
      <w:r>
        <w:rPr>
          <w:rFonts w:hint="default" w:ascii="Times New Roman" w:hAnsi="Times New Roman" w:eastAsia="仿宋_GB2312" w:cs="Times New Roman"/>
          <w:color w:val="auto"/>
          <w:kern w:val="21"/>
          <w:sz w:val="24"/>
          <w:lang w:eastAsia="zh-CN"/>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（3）《声环境质量标准》（GB3096-2008）；</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（4）《地表水环境质量标准》（GB3838-2002）；</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（5）《环境空气质量标准》（GB3095-2012）；</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（6）《建筑施工场界环境噪声排放标准》（GB12523-2011）；</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（7）《大气污染物综合排放标准》（DB32/4041-2021）；</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（8）《污水综合排放标准》（GB8978-1996）；</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（9）《声环境功能区划技术规范》（GB/T15190-2014）。</w:t>
      </w:r>
    </w:p>
    <w:p>
      <w:pPr>
        <w:pStyle w:val="4"/>
        <w:bidi w:val="0"/>
        <w:ind w:firstLine="0"/>
        <w:rPr>
          <w:rFonts w:hint="default" w:ascii="Times New Roman" w:hAnsi="Times New Roman" w:eastAsia="仿宋_GB2312" w:cs="Times New Roman"/>
          <w:b/>
          <w:color w:val="auto"/>
        </w:rPr>
      </w:pPr>
      <w:r>
        <w:rPr>
          <w:rFonts w:hint="default" w:ascii="Times New Roman" w:hAnsi="Times New Roman" w:eastAsia="仿宋_GB2312" w:cs="Times New Roman"/>
          <w:b/>
          <w:color w:val="auto"/>
        </w:rPr>
        <w:t>1.2.</w:t>
      </w:r>
      <w:r>
        <w:rPr>
          <w:rFonts w:hint="default" w:ascii="Times New Roman" w:hAnsi="Times New Roman" w:eastAsia="仿宋_GB2312" w:cs="Times New Roman"/>
          <w:b/>
          <w:color w:val="auto"/>
          <w:lang w:val="en-US" w:eastAsia="zh-CN"/>
        </w:rPr>
        <w:t>4</w:t>
      </w:r>
      <w:r>
        <w:rPr>
          <w:rFonts w:hint="default" w:ascii="Times New Roman" w:hAnsi="Times New Roman" w:eastAsia="仿宋_GB2312" w:cs="Times New Roman"/>
          <w:b/>
          <w:color w:val="auto"/>
        </w:rPr>
        <w:t xml:space="preserve"> 技术资料、工程文件</w:t>
      </w:r>
    </w:p>
    <w:p>
      <w:pPr>
        <w:bidi w:val="0"/>
        <w:ind w:firstLine="420"/>
        <w:jc w:val="both"/>
        <w:rPr>
          <w:rFonts w:hint="default" w:ascii="Times New Roman" w:hAnsi="Times New Roman" w:eastAsia="仿宋_GB2312" w:cs="Times New Roman"/>
          <w:color w:val="auto"/>
          <w:lang w:eastAsia="zh-CN"/>
        </w:rPr>
      </w:pPr>
      <w:bookmarkStart w:id="15" w:name="bookmark6"/>
      <w:bookmarkEnd w:id="15"/>
      <w:r>
        <w:rPr>
          <w:rFonts w:hint="default" w:ascii="Times New Roman" w:hAnsi="Times New Roman" w:eastAsia="仿宋_GB2312" w:cs="Times New Roman"/>
          <w:color w:val="auto"/>
          <w:lang w:eastAsia="zh-CN"/>
        </w:rPr>
        <w:t>环评报告及其批复文件。</w:t>
      </w:r>
    </w:p>
    <w:p>
      <w:pPr>
        <w:pStyle w:val="3"/>
        <w:bidi w:val="0"/>
        <w:rPr>
          <w:rFonts w:hint="default" w:ascii="Times New Roman" w:hAnsi="Times New Roman" w:eastAsia="仿宋_GB2312" w:cs="Times New Roman"/>
          <w:color w:val="auto"/>
        </w:rPr>
      </w:pPr>
      <w:bookmarkStart w:id="16" w:name="_Toc10205"/>
      <w:r>
        <w:rPr>
          <w:rFonts w:hint="default" w:ascii="Times New Roman" w:hAnsi="Times New Roman" w:eastAsia="仿宋_GB2312" w:cs="Times New Roman"/>
          <w:color w:val="auto"/>
        </w:rPr>
        <w:t>1.3 调查方法</w:t>
      </w:r>
      <w:bookmarkEnd w:id="16"/>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（1）本次调查按照《建设项目竣工环境保护验收暂行办法》、《建设项目竣工环境保护验收技术规范公路》、《建设项目环境保护验收技术规范生态影响类》及其它相关规范的要求；</w:t>
      </w:r>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（2）环境影响分析采用现场实地调查、实测和收集分析既有资料相结合的方法；</w:t>
      </w:r>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（3）对线路调查采用“ 点线结合、以点为主和反馈全线 ”的方法，重点调查与生态环境密切相关的工程及环境保护设施、噪声治理及水环境保护及风险防范等内容；</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snapToGrid/>
          <w:color w:val="auto"/>
        </w:rPr>
        <w:t>（4）环境保护措施有效性分析采用改进已有措施与提出补救措施相结合的方法</w:t>
      </w:r>
      <w:r>
        <w:rPr>
          <w:rFonts w:hint="default" w:ascii="Times New Roman" w:hAnsi="Times New Roman" w:eastAsia="仿宋_GB2312" w:cs="Times New Roman"/>
          <w:snapToGrid/>
          <w:color w:val="auto"/>
          <w:lang w:eastAsia="zh-CN"/>
        </w:rPr>
        <w:t>。</w:t>
      </w:r>
    </w:p>
    <w:p>
      <w:pPr>
        <w:pStyle w:val="3"/>
        <w:bidi w:val="0"/>
        <w:rPr>
          <w:rFonts w:hint="default" w:ascii="Times New Roman" w:hAnsi="Times New Roman" w:eastAsia="仿宋_GB2312" w:cs="Times New Roman"/>
          <w:color w:val="auto"/>
        </w:rPr>
      </w:pPr>
      <w:bookmarkStart w:id="17" w:name="bookmark7"/>
      <w:bookmarkEnd w:id="17"/>
      <w:bookmarkStart w:id="18" w:name="_Toc23524"/>
      <w:r>
        <w:rPr>
          <w:rFonts w:hint="default" w:ascii="Times New Roman" w:hAnsi="Times New Roman" w:eastAsia="仿宋_GB2312" w:cs="Times New Roman"/>
          <w:color w:val="auto"/>
        </w:rPr>
        <w:t>1.4 调查范围及内容</w:t>
      </w:r>
      <w:bookmarkEnd w:id="1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1.4.1 调查范围</w:t>
      </w:r>
    </w:p>
    <w:p>
      <w:pPr>
        <w:bidi w:val="0"/>
        <w:ind w:firstLine="42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根据《建设项目竣工环境保护验收技术规范</w:t>
      </w:r>
      <w:r>
        <w:rPr>
          <w:rFonts w:hint="default" w:ascii="Times New Roman" w:hAnsi="Times New Roman" w:eastAsia="仿宋_GB2312" w:cs="Times New Roman"/>
          <w:snapToGrid/>
          <w:color w:val="auto"/>
          <w:lang w:val="en-US" w:eastAsia="zh-CN"/>
        </w:rPr>
        <w:t xml:space="preserve"> </w:t>
      </w:r>
      <w:r>
        <w:rPr>
          <w:rFonts w:hint="default" w:ascii="Times New Roman" w:hAnsi="Times New Roman" w:eastAsia="仿宋_GB2312" w:cs="Times New Roman"/>
          <w:snapToGrid/>
          <w:color w:val="auto"/>
        </w:rPr>
        <w:t>公路》（HJ552-2010），结合项目施工期和运营期对环境影响的特点、工程环境影响报告书的评价范围，确定本次竣工环境保护验收调查范围与环境影响评价范围保持一致。</w:t>
      </w:r>
    </w:p>
    <w:p>
      <w:pPr>
        <w:bidi w:val="0"/>
        <w:ind w:firstLine="42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根据公路建设项目特点，本次验收调查时段分为设计期、施工期、试运营期三个时段。</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表1.4-1本项目调查范围及内容一览表</w:t>
      </w:r>
    </w:p>
    <w:tbl>
      <w:tblPr>
        <w:tblStyle w:val="13"/>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2190"/>
        <w:gridCol w:w="2108"/>
        <w:gridCol w:w="1018"/>
        <w:gridCol w:w="2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环境要素</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环境影响</w:t>
            </w:r>
            <w:r>
              <w:rPr>
                <w:rFonts w:hint="default" w:ascii="Times New Roman" w:hAnsi="Times New Roman" w:eastAsia="仿宋_GB2312" w:cs="Times New Roman"/>
                <w:color w:val="auto"/>
                <w:sz w:val="21"/>
                <w:szCs w:val="21"/>
              </w:rPr>
              <w:t>评价范围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验收调查范围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变化情况</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调查内容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地表水环境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路面雨水径流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环境空气</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道路中心线两侧200m范围内区域</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道路中心线两侧200m范围内区域</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验收范围内敏感点布局情况、性质、受影响情况，大气防治措施落实情况及其效果。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w:t>
            </w:r>
            <w:r>
              <w:rPr>
                <w:rFonts w:hint="default"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rPr>
              <w:t>00m 范围内，扩大到达标范围；</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施工期按照场地周边200m范围内</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w:t>
            </w:r>
            <w:r>
              <w:rPr>
                <w:rFonts w:hint="default"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rPr>
              <w:t>00m 范围内，扩大到达标范围；</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施工期按照场地周边200m范围内</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验收范围内敏感点布局情况、性质、受影响情况，大气防治措施落实情况及其效果。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生态环境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公路中心线两侧各300m范围内区域；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施工场地周边300m范围内区域</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公路中心线两侧各300m范围内区域；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施工场地周边300m范围内区域</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snapToGrid w:val="0"/>
                <w:color w:val="auto"/>
                <w:kern w:val="0"/>
                <w:sz w:val="21"/>
                <w:szCs w:val="21"/>
                <w:lang w:val="en-US" w:eastAsia="zh-CN" w:bidi="ar-SA"/>
              </w:rPr>
              <w:t>验收范围内土地利用功能的变化情况，绿地、植被等损失情况；临时占地、取弃土场的功能恢复情况等。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社会环境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以公路中心线两侧200m范围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以公路中心线两侧200m范围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snapToGrid w:val="0"/>
                <w:color w:val="auto"/>
                <w:kern w:val="0"/>
                <w:sz w:val="21"/>
                <w:szCs w:val="21"/>
                <w:lang w:val="en-US" w:eastAsia="zh-CN" w:bidi="ar-SA"/>
              </w:rPr>
              <w:t>验收范围内敏感点受影响情况，补偿落实情况。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环境风险</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公路中心线两侧200m以内范围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公路中心线两侧200m以内范围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环境保护措施落实情况。</w:t>
            </w: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1.4.2 调查内容及因子</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（1）水环境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①路面径流排放去向，</w:t>
      </w:r>
      <w:r>
        <w:rPr>
          <w:rFonts w:hint="default" w:ascii="Times New Roman" w:hAnsi="Times New Roman" w:eastAsia="仿宋_GB2312" w:cs="Times New Roman"/>
          <w:color w:val="auto"/>
          <w:lang w:val="en-US" w:eastAsia="zh-CN"/>
        </w:rPr>
        <w:t>路</w:t>
      </w:r>
      <w:r>
        <w:rPr>
          <w:rFonts w:hint="default" w:ascii="Times New Roman" w:hAnsi="Times New Roman" w:eastAsia="仿宋_GB2312" w:cs="Times New Roman"/>
          <w:color w:val="auto"/>
        </w:rPr>
        <w:t>面径流收集系统及运行情况。</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（2）声环境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调查目前公路边界线两侧各200m范围内的声环境敏感点，如沿线居民住宅</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学校等；敏感点声环境达标情况。</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（3）大气环境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调查目前公路中心线两侧200m范围内环境空气敏感目标分布情况，调查施工过程 中采取的减少粉尘污染的措施，调查施工过程中采取的减少沥青烟气等有害气体污染的措施及效果。</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（4）生态环境</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①永久占地：类型、面积、数量，补偿措施落实情况；</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②临时占地：临时工程占地的类型、面积、恢复措施及效果；</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③绿化工程：绿化方案、绿化面积、绿化植物的种类、数量、重点区域景观绿化、公路用地范围内的绿化率等；</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④公路建设过程中产生的固体废弃物类型、数量、去向以及处置方式等。</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（5）社会环境</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调查公路沿线区域社会经济发展、规划和产业结构、人文和社会遗迹等。调查公路建设征用土地等情况。调查公路沿线桥涵的设置是否合理，公路建设对沿线民众的生计方式、生活质量、通行交往等的影响。</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（6）环境风险</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调查公路危险化学品运输的管理制度、风险预防及事故应急制度。调查公路试运营期间危险化学品运输事故的发生与处置情况。调查环境影响评价文件及审批文件中要求的环境保护措施的落实情况。</w:t>
      </w:r>
    </w:p>
    <w:p>
      <w:pPr>
        <w:pStyle w:val="3"/>
        <w:bidi w:val="0"/>
        <w:rPr>
          <w:rFonts w:hint="default" w:ascii="Times New Roman" w:hAnsi="Times New Roman" w:eastAsia="仿宋_GB2312" w:cs="Times New Roman"/>
          <w:color w:val="auto"/>
        </w:rPr>
      </w:pPr>
      <w:bookmarkStart w:id="19" w:name="bookmark8"/>
      <w:bookmarkEnd w:id="19"/>
      <w:bookmarkStart w:id="20" w:name="_Toc4794"/>
      <w:r>
        <w:rPr>
          <w:rFonts w:hint="default" w:ascii="Times New Roman" w:hAnsi="Times New Roman" w:eastAsia="仿宋_GB2312" w:cs="Times New Roman"/>
          <w:color w:val="auto"/>
        </w:rPr>
        <w:t>1.5 验收调查标准</w:t>
      </w:r>
      <w:bookmarkEnd w:id="2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1.5.1 环境质量标准</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（1）声环境</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本项目道路级为城市次干路，</w:t>
      </w:r>
      <w:r>
        <w:rPr>
          <w:rFonts w:hint="eastAsia" w:cs="Times New Roman"/>
          <w:color w:val="auto"/>
          <w:lang w:val="en-US" w:eastAsia="zh-CN"/>
        </w:rPr>
        <w:t>相邻区域为3类声环境功能区，</w:t>
      </w:r>
      <w:r>
        <w:rPr>
          <w:rFonts w:hint="default" w:ascii="Times New Roman" w:hAnsi="Times New Roman" w:eastAsia="仿宋_GB2312" w:cs="Times New Roman"/>
          <w:color w:val="auto"/>
          <w:lang w:eastAsia="zh-CN"/>
        </w:rPr>
        <w:t>依据《声环境功能区划分技术规范》（GB/T15190-2014），交通干线边界线外</w:t>
      </w:r>
      <w:r>
        <w:rPr>
          <w:rFonts w:hint="eastAsia" w:cs="Times New Roman"/>
          <w:color w:val="auto"/>
          <w:lang w:val="en-US" w:eastAsia="zh-CN"/>
        </w:rPr>
        <w:t>25</w:t>
      </w:r>
      <w:r>
        <w:rPr>
          <w:rFonts w:hint="default" w:ascii="Times New Roman" w:hAnsi="Times New Roman" w:eastAsia="仿宋_GB2312" w:cs="Times New Roman"/>
          <w:color w:val="auto"/>
          <w:lang w:eastAsia="zh-CN"/>
        </w:rPr>
        <w:t>米内执行《声环境质量标准》（GB3096-2008）中4a类标准，道路交通干线边界线外</w:t>
      </w:r>
      <w:r>
        <w:rPr>
          <w:rFonts w:hint="eastAsia" w:cs="Times New Roman"/>
          <w:color w:val="auto"/>
          <w:lang w:val="en-US" w:eastAsia="zh-CN"/>
        </w:rPr>
        <w:t>25</w:t>
      </w:r>
      <w:r>
        <w:rPr>
          <w:rFonts w:hint="default" w:ascii="Times New Roman" w:hAnsi="Times New Roman" w:eastAsia="仿宋_GB2312" w:cs="Times New Roman"/>
          <w:color w:val="auto"/>
          <w:lang w:eastAsia="zh-CN"/>
        </w:rPr>
        <w:t>米外执行《声环境质量标准》（GB3096-2008）中</w:t>
      </w:r>
      <w:r>
        <w:rPr>
          <w:rFonts w:hint="eastAsia" w:cs="Times New Roman"/>
          <w:color w:val="auto"/>
          <w:lang w:val="en-US" w:eastAsia="zh-CN"/>
        </w:rPr>
        <w:t>3</w:t>
      </w:r>
      <w:r>
        <w:rPr>
          <w:rFonts w:hint="default" w:ascii="Times New Roman" w:hAnsi="Times New Roman" w:eastAsia="仿宋_GB2312" w:cs="Times New Roman"/>
          <w:color w:val="auto"/>
          <w:lang w:eastAsia="zh-CN"/>
        </w:rPr>
        <w:t>类标准。</w:t>
      </w:r>
      <w:r>
        <w:rPr>
          <w:rFonts w:hint="eastAsia" w:cs="Times New Roman"/>
          <w:color w:val="auto"/>
          <w:lang w:val="en-US" w:eastAsia="zh-CN"/>
        </w:rPr>
        <w:t>对3类标准适用区中的职工生活区、居民居住区，执行2类标准</w:t>
      </w:r>
      <w:r>
        <w:rPr>
          <w:rFonts w:hint="default" w:ascii="Times New Roman" w:hAnsi="Times New Roman" w:eastAsia="仿宋_GB2312" w:cs="Times New Roman"/>
          <w:color w:val="auto"/>
        </w:rPr>
        <w:t>，见表1.5-1。</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表1.5-1公路两侧范围内噪声验收执行标准</w:t>
      </w:r>
    </w:p>
    <w:tbl>
      <w:tblPr>
        <w:tblStyle w:val="13"/>
        <w:tblW w:w="50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23"/>
        <w:gridCol w:w="1587"/>
        <w:gridCol w:w="1552"/>
        <w:gridCol w:w="1328"/>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2442" w:type="pct"/>
            <w:gridSpan w:val="2"/>
            <w:vMerge w:val="restart"/>
            <w:tcBorders/>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范围</w:t>
            </w:r>
          </w:p>
        </w:tc>
        <w:tc>
          <w:tcPr>
            <w:tcW w:w="922"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声环境功能 标准</w:t>
            </w:r>
          </w:p>
        </w:tc>
        <w:tc>
          <w:tcPr>
            <w:tcW w:w="1635" w:type="pct"/>
            <w:gridSpan w:val="2"/>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2442" w:type="pct"/>
            <w:gridSpan w:val="2"/>
            <w:vMerge w:val="continue"/>
            <w:tcBorders/>
            <w:vAlign w:val="center"/>
          </w:tcPr>
          <w:p>
            <w:pPr>
              <w:pStyle w:val="17"/>
              <w:bidi w:val="0"/>
              <w:rPr>
                <w:rFonts w:hint="default" w:ascii="Times New Roman" w:hAnsi="Times New Roman" w:eastAsia="仿宋_GB2312" w:cs="Times New Roman"/>
                <w:color w:val="auto"/>
                <w:sz w:val="21"/>
                <w:szCs w:val="21"/>
              </w:rPr>
            </w:pPr>
          </w:p>
        </w:tc>
        <w:tc>
          <w:tcPr>
            <w:tcW w:w="922" w:type="pct"/>
            <w:vMerge w:val="continue"/>
            <w:vAlign w:val="center"/>
          </w:tcPr>
          <w:p>
            <w:pPr>
              <w:pStyle w:val="17"/>
              <w:bidi w:val="0"/>
              <w:rPr>
                <w:rFonts w:hint="default" w:ascii="Times New Roman" w:hAnsi="Times New Roman" w:eastAsia="仿宋_GB2312" w:cs="Times New Roman"/>
                <w:color w:val="auto"/>
                <w:sz w:val="21"/>
                <w:szCs w:val="21"/>
              </w:rPr>
            </w:pPr>
          </w:p>
        </w:tc>
        <w:tc>
          <w:tcPr>
            <w:tcW w:w="789"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昼间</w:t>
            </w:r>
          </w:p>
        </w:tc>
        <w:tc>
          <w:tcPr>
            <w:tcW w:w="845"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2442" w:type="pct"/>
            <w:gridSpan w:val="2"/>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交通干线边界线外</w:t>
            </w:r>
            <w:r>
              <w:rPr>
                <w:rFonts w:hint="eastAsia" w:cs="Times New Roman"/>
                <w:color w:val="auto"/>
                <w:sz w:val="21"/>
                <w:szCs w:val="21"/>
                <w:lang w:val="en-US" w:eastAsia="zh-CN"/>
              </w:rPr>
              <w:t>25</w:t>
            </w:r>
            <w:r>
              <w:rPr>
                <w:rFonts w:hint="default" w:ascii="Times New Roman" w:hAnsi="Times New Roman" w:eastAsia="仿宋_GB2312" w:cs="Times New Roman"/>
                <w:color w:val="auto"/>
                <w:sz w:val="21"/>
                <w:szCs w:val="21"/>
              </w:rPr>
              <w:t>m内</w:t>
            </w:r>
          </w:p>
        </w:tc>
        <w:tc>
          <w:tcPr>
            <w:tcW w:w="922"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4a 类</w:t>
            </w:r>
          </w:p>
        </w:tc>
        <w:tc>
          <w:tcPr>
            <w:tcW w:w="789"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70</w:t>
            </w:r>
          </w:p>
        </w:tc>
        <w:tc>
          <w:tcPr>
            <w:tcW w:w="845"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499"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交通干线边界线外</w:t>
            </w:r>
            <w:r>
              <w:rPr>
                <w:rFonts w:hint="eastAsia" w:cs="Times New Roman"/>
                <w:color w:val="auto"/>
                <w:sz w:val="21"/>
                <w:szCs w:val="21"/>
                <w:lang w:val="en-US" w:eastAsia="zh-CN"/>
              </w:rPr>
              <w:t>25</w:t>
            </w:r>
            <w:r>
              <w:rPr>
                <w:rFonts w:hint="default" w:ascii="Times New Roman" w:hAnsi="Times New Roman" w:eastAsia="仿宋_GB2312" w:cs="Times New Roman"/>
                <w:color w:val="auto"/>
                <w:sz w:val="21"/>
                <w:szCs w:val="21"/>
              </w:rPr>
              <w:t>m外</w:t>
            </w:r>
          </w:p>
        </w:tc>
        <w:tc>
          <w:tcPr>
            <w:tcW w:w="942"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其他区域</w:t>
            </w:r>
          </w:p>
        </w:tc>
        <w:tc>
          <w:tcPr>
            <w:tcW w:w="922" w:type="pct"/>
            <w:vAlign w:val="center"/>
          </w:tcPr>
          <w:p>
            <w:pPr>
              <w:pStyle w:val="17"/>
              <w:bidi w:val="0"/>
              <w:rPr>
                <w:rFonts w:hint="default" w:ascii="Times New Roman" w:hAnsi="Times New Roman" w:eastAsia="仿宋_GB2312" w:cs="Times New Roman"/>
                <w:color w:val="auto"/>
                <w:sz w:val="21"/>
                <w:szCs w:val="21"/>
              </w:rPr>
            </w:pPr>
            <w:r>
              <w:rPr>
                <w:rFonts w:hint="eastAsia" w:cs="Times New Roman"/>
                <w:color w:val="auto"/>
                <w:sz w:val="21"/>
                <w:szCs w:val="21"/>
                <w:lang w:val="en-US" w:eastAsia="zh-CN"/>
              </w:rPr>
              <w:t>3</w:t>
            </w:r>
            <w:r>
              <w:rPr>
                <w:rFonts w:hint="default" w:ascii="Times New Roman" w:hAnsi="Times New Roman" w:eastAsia="仿宋_GB2312" w:cs="Times New Roman"/>
                <w:color w:val="auto"/>
                <w:sz w:val="21"/>
                <w:szCs w:val="21"/>
              </w:rPr>
              <w:t>类</w:t>
            </w:r>
          </w:p>
        </w:tc>
        <w:tc>
          <w:tcPr>
            <w:tcW w:w="789"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65</w:t>
            </w:r>
          </w:p>
        </w:tc>
        <w:tc>
          <w:tcPr>
            <w:tcW w:w="845"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499" w:type="pct"/>
            <w:vMerge w:val="continue"/>
            <w:tcBorders/>
            <w:vAlign w:val="center"/>
          </w:tcPr>
          <w:p>
            <w:pPr>
              <w:pStyle w:val="17"/>
              <w:bidi w:val="0"/>
              <w:rPr>
                <w:rFonts w:hint="default" w:ascii="Times New Roman" w:hAnsi="Times New Roman" w:eastAsia="仿宋_GB2312" w:cs="Times New Roman"/>
                <w:color w:val="auto"/>
                <w:sz w:val="21"/>
                <w:szCs w:val="21"/>
              </w:rPr>
            </w:pPr>
          </w:p>
        </w:tc>
        <w:tc>
          <w:tcPr>
            <w:tcW w:w="942"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居住区</w:t>
            </w:r>
          </w:p>
        </w:tc>
        <w:tc>
          <w:tcPr>
            <w:tcW w:w="922" w:type="pct"/>
            <w:vAlign w:val="center"/>
          </w:tcPr>
          <w:p>
            <w:pPr>
              <w:pStyle w:val="17"/>
              <w:bidi w:val="0"/>
              <w:rPr>
                <w:rFonts w:hint="default" w:cs="Times New Roman"/>
                <w:color w:val="auto"/>
                <w:sz w:val="21"/>
                <w:szCs w:val="21"/>
                <w:lang w:val="en-US" w:eastAsia="zh-CN"/>
              </w:rPr>
            </w:pPr>
            <w:r>
              <w:rPr>
                <w:rFonts w:hint="eastAsia" w:cs="Times New Roman"/>
                <w:color w:val="auto"/>
                <w:sz w:val="21"/>
                <w:szCs w:val="21"/>
                <w:lang w:val="en-US" w:eastAsia="zh-CN"/>
              </w:rPr>
              <w:t>2类</w:t>
            </w:r>
          </w:p>
        </w:tc>
        <w:tc>
          <w:tcPr>
            <w:tcW w:w="789" w:type="pct"/>
            <w:vAlign w:val="center"/>
          </w:tcPr>
          <w:p>
            <w:pPr>
              <w:pStyle w:val="17"/>
              <w:bidi w:val="0"/>
              <w:rPr>
                <w:rFonts w:hint="default" w:cs="Times New Roman"/>
                <w:color w:val="auto"/>
                <w:sz w:val="21"/>
                <w:szCs w:val="21"/>
                <w:lang w:val="en-US" w:eastAsia="zh-CN"/>
              </w:rPr>
            </w:pPr>
            <w:r>
              <w:rPr>
                <w:rFonts w:hint="eastAsia" w:cs="Times New Roman"/>
                <w:color w:val="auto"/>
                <w:sz w:val="21"/>
                <w:szCs w:val="21"/>
                <w:lang w:val="en-US" w:eastAsia="zh-CN"/>
              </w:rPr>
              <w:t>60</w:t>
            </w:r>
          </w:p>
        </w:tc>
        <w:tc>
          <w:tcPr>
            <w:tcW w:w="845" w:type="pct"/>
            <w:vAlign w:val="center"/>
          </w:tcPr>
          <w:p>
            <w:pPr>
              <w:pStyle w:val="17"/>
              <w:bidi w:val="0"/>
              <w:rPr>
                <w:rFonts w:hint="default" w:cs="Times New Roman"/>
                <w:color w:val="auto"/>
                <w:sz w:val="21"/>
                <w:szCs w:val="21"/>
                <w:lang w:val="en-US" w:eastAsia="zh-CN"/>
              </w:rPr>
            </w:pPr>
            <w:r>
              <w:rPr>
                <w:rFonts w:hint="eastAsia" w:cs="Times New Roman"/>
                <w:color w:val="auto"/>
                <w:sz w:val="21"/>
                <w:szCs w:val="21"/>
                <w:lang w:val="en-US" w:eastAsia="zh-CN"/>
              </w:rPr>
              <w:t>50</w:t>
            </w:r>
          </w:p>
        </w:tc>
      </w:tr>
    </w:tbl>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地表水环境</w:t>
      </w:r>
    </w:p>
    <w:p>
      <w:pPr>
        <w:bidi w:val="0"/>
        <w:ind w:firstLine="420"/>
        <w:jc w:val="both"/>
        <w:rPr>
          <w:rFonts w:hint="default" w:cs="Times New Roman"/>
          <w:color w:val="auto"/>
          <w:lang w:val="en-US" w:eastAsia="zh-CN"/>
        </w:rPr>
      </w:pPr>
      <w:r>
        <w:rPr>
          <w:rFonts w:hint="default" w:ascii="Times New Roman" w:hAnsi="Times New Roman" w:eastAsia="仿宋_GB2312" w:cs="Times New Roman"/>
          <w:color w:val="auto"/>
        </w:rPr>
        <w:t>项目区域水体</w:t>
      </w:r>
      <w:r>
        <w:rPr>
          <w:rFonts w:hint="eastAsia" w:cs="Times New Roman"/>
          <w:color w:val="auto"/>
          <w:lang w:val="en-US" w:eastAsia="zh-CN"/>
        </w:rPr>
        <w:t>为</w:t>
      </w:r>
      <w:r>
        <w:rPr>
          <w:rFonts w:hint="default" w:ascii="Times New Roman" w:hAnsi="Times New Roman" w:eastAsia="仿宋_GB2312" w:cs="Times New Roman"/>
          <w:color w:val="auto"/>
        </w:rPr>
        <w:t>松花江</w:t>
      </w:r>
      <w:r>
        <w:rPr>
          <w:rFonts w:hint="eastAsia" w:cs="Times New Roman"/>
          <w:color w:val="auto"/>
          <w:lang w:val="en-US" w:eastAsia="zh-CN"/>
        </w:rPr>
        <w:t>干流</w:t>
      </w:r>
      <w:r>
        <w:rPr>
          <w:rFonts w:hint="eastAsia" w:cs="Times New Roman"/>
          <w:color w:val="auto"/>
          <w:lang w:eastAsia="zh-CN"/>
        </w:rPr>
        <w:t>（</w:t>
      </w:r>
      <w:r>
        <w:rPr>
          <w:rFonts w:hint="eastAsia" w:cs="Times New Roman"/>
          <w:color w:val="auto"/>
          <w:lang w:val="en-US" w:eastAsia="zh-CN"/>
        </w:rPr>
        <w:t>哈尔滨市与阿城市交界至大顶子山段</w:t>
      </w:r>
      <w:r>
        <w:rPr>
          <w:rFonts w:hint="eastAsia" w:cs="Times New Roman"/>
          <w:color w:val="auto"/>
          <w:lang w:eastAsia="zh-CN"/>
        </w:rPr>
        <w:t>）</w:t>
      </w:r>
      <w:r>
        <w:rPr>
          <w:rFonts w:hint="default" w:ascii="Times New Roman" w:hAnsi="Times New Roman" w:eastAsia="仿宋_GB2312" w:cs="Times New Roman"/>
          <w:color w:val="auto"/>
        </w:rPr>
        <w:t>，区域内雨水汇入</w:t>
      </w:r>
      <w:r>
        <w:rPr>
          <w:rFonts w:hint="eastAsia" w:cs="Times New Roman"/>
          <w:color w:val="auto"/>
          <w:lang w:val="en-US" w:eastAsia="zh-CN"/>
        </w:rPr>
        <w:t>马家沟</w:t>
      </w:r>
      <w:r>
        <w:rPr>
          <w:rFonts w:hint="default" w:ascii="Times New Roman" w:hAnsi="Times New Roman" w:eastAsia="仿宋_GB2312" w:cs="Times New Roman"/>
          <w:color w:val="auto"/>
        </w:rPr>
        <w:t>后最终汇入松花江。根据《全国重要江河湖泊水功能区划(2011-2030年)》</w:t>
      </w:r>
      <w:r>
        <w:rPr>
          <w:rFonts w:hint="default" w:ascii="Times New Roman" w:hAnsi="Times New Roman" w:eastAsia="仿宋_GB2312" w:cs="Times New Roman"/>
          <w:color w:val="auto"/>
          <w:lang w:eastAsia="zh-CN"/>
        </w:rPr>
        <w:t>，</w:t>
      </w:r>
      <w:r>
        <w:rPr>
          <w:rFonts w:hint="eastAsia" w:cs="Times New Roman"/>
          <w:color w:val="auto"/>
          <w:lang w:val="en-US" w:eastAsia="zh-CN"/>
        </w:rPr>
        <w:t>哈尔滨市与阿城市交界至大顶子山段所在一级水功能区为松花江哈尔滨市开发利用区，所在二级水功能区为松花江阿城市过渡区，水质目标为IV类。</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eastAsia" w:cs="Times New Roman"/>
          <w:color w:val="auto"/>
          <w:lang w:val="en-US" w:eastAsia="zh-CN"/>
        </w:rPr>
        <w:t>2</w:t>
      </w:r>
      <w:r>
        <w:rPr>
          <w:rFonts w:hint="default" w:ascii="Times New Roman" w:hAnsi="Times New Roman" w:eastAsia="仿宋_GB2312" w:cs="Times New Roman"/>
          <w:color w:val="auto"/>
          <w:lang w:val="en-US" w:eastAsia="zh-CN"/>
        </w:rPr>
        <w:t xml:space="preserve"> </w:t>
      </w:r>
      <w:r>
        <w:rPr>
          <w:rFonts w:hint="eastAsia" w:cs="Times New Roman"/>
          <w:color w:val="auto"/>
          <w:lang w:val="en-US" w:eastAsia="zh-CN"/>
        </w:rPr>
        <w:t xml:space="preserve"> </w:t>
      </w:r>
      <w:r>
        <w:rPr>
          <w:rFonts w:hint="default" w:ascii="Times New Roman" w:hAnsi="Times New Roman" w:eastAsia="仿宋_GB2312" w:cs="Times New Roman"/>
          <w:color w:val="auto"/>
        </w:rPr>
        <w:t>项目沿线主要水环境功能区划一览表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127"/>
        <w:gridCol w:w="1677"/>
        <w:gridCol w:w="1311"/>
        <w:gridCol w:w="3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 目</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单位</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IV类标准</w:t>
            </w:r>
          </w:p>
        </w:tc>
        <w:tc>
          <w:tcPr>
            <w:tcW w:w="192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en-US"/>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CODcr</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30</w:t>
            </w:r>
          </w:p>
        </w:tc>
        <w:tc>
          <w:tcPr>
            <w:tcW w:w="1920"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《地表水环境质量标准》</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(GB3838-2002)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BODs</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w:t>
            </w:r>
          </w:p>
        </w:tc>
        <w:tc>
          <w:tcPr>
            <w:tcW w:w="1920" w:type="pct"/>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8"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高锰酸盐指数</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w:t>
            </w:r>
          </w:p>
        </w:tc>
        <w:tc>
          <w:tcPr>
            <w:tcW w:w="1920" w:type="pct"/>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NH₃-N</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w:t>
            </w:r>
          </w:p>
        </w:tc>
        <w:tc>
          <w:tcPr>
            <w:tcW w:w="1920" w:type="pct"/>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1280"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石油类</w:t>
            </w:r>
          </w:p>
        </w:tc>
        <w:tc>
          <w:tcPr>
            <w:tcW w:w="1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78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0.5</w:t>
            </w:r>
          </w:p>
        </w:tc>
        <w:tc>
          <w:tcPr>
            <w:tcW w:w="1920" w:type="pct"/>
            <w:vMerge w:val="continue"/>
            <w:vAlign w:val="center"/>
          </w:tcPr>
          <w:p>
            <w:pPr>
              <w:pStyle w:val="17"/>
              <w:bidi w:val="0"/>
              <w:rPr>
                <w:rFonts w:hint="default" w:ascii="Times New Roman" w:hAnsi="Times New Roman" w:eastAsia="仿宋_GB2312" w:cs="Times New Roman"/>
                <w:color w:val="auto"/>
              </w:rPr>
            </w:pP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（3）环境空气</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本项目所在区域环境空气执行《环境空气质量标准》(GB3095-2012)的二级标准具体见表1.5-</w:t>
      </w:r>
      <w:r>
        <w:rPr>
          <w:rFonts w:hint="eastAsia" w:cs="Times New Roman"/>
          <w:color w:val="auto"/>
          <w:lang w:val="en-US" w:eastAsia="zh-CN"/>
        </w:rPr>
        <w:t>3</w:t>
      </w:r>
      <w:r>
        <w:rPr>
          <w:rFonts w:hint="default" w:ascii="Times New Roman" w:hAnsi="Times New Roman" w:eastAsia="仿宋_GB2312" w:cs="Times New Roman"/>
          <w:color w:val="auto"/>
          <w:lang w:eastAsia="zh-CN"/>
        </w:rPr>
        <w:t>。</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eastAsia" w:cs="Times New Roman"/>
          <w:color w:val="auto"/>
          <w:lang w:val="en-US" w:eastAsia="zh-CN"/>
        </w:rPr>
        <w:t>3</w:t>
      </w:r>
      <w:r>
        <w:rPr>
          <w:rFonts w:hint="default" w:ascii="Times New Roman" w:hAnsi="Times New Roman" w:eastAsia="仿宋_GB2312" w:cs="Times New Roman"/>
          <w:color w:val="auto"/>
          <w:lang w:val="en-US" w:eastAsia="zh-CN"/>
        </w:rPr>
        <w:t xml:space="preserve"> </w:t>
      </w:r>
      <w:r>
        <w:rPr>
          <w:rFonts w:hint="eastAsia" w:cs="Times New Roman"/>
          <w:color w:val="auto"/>
          <w:lang w:val="en-US" w:eastAsia="zh-CN"/>
        </w:rPr>
        <w:t xml:space="preserve"> </w:t>
      </w:r>
      <w:r>
        <w:rPr>
          <w:rFonts w:hint="default" w:ascii="Times New Roman" w:hAnsi="Times New Roman" w:eastAsia="仿宋_GB2312" w:cs="Times New Roman"/>
          <w:color w:val="auto"/>
        </w:rPr>
        <w:t>环境空气质量标准</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10"/>
        <w:gridCol w:w="1905"/>
        <w:gridCol w:w="2131"/>
        <w:gridCol w:w="2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969"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污染物名称</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取值时间</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浓度限值</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mg/m³</w:t>
            </w:r>
            <w:r>
              <w:rPr>
                <w:rFonts w:hint="default" w:ascii="Times New Roman" w:hAnsi="Times New Roman" w:eastAsia="仿宋_GB2312" w:cs="Times New Roman"/>
                <w:color w:val="auto"/>
                <w:sz w:val="21"/>
                <w:szCs w:val="21"/>
                <w:lang w:eastAsia="zh-CN"/>
              </w:rPr>
              <w:t>）</w:t>
            </w:r>
          </w:p>
        </w:tc>
        <w:tc>
          <w:tcPr>
            <w:tcW w:w="160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NO₂</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0.04</w:t>
            </w:r>
          </w:p>
        </w:tc>
        <w:tc>
          <w:tcPr>
            <w:tcW w:w="1601"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《环境空气质量标准》 (GB3095-2012)二级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8"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0.08</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0.20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9"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TSP</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0.20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0.30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CO</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1.5.2 污染物排放标准</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（1）噪声</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施工期噪声排放标准执行《建筑施工场界环境噪声排放标准》（GB12523-2011），具体见表1.5-</w:t>
      </w:r>
      <w:r>
        <w:rPr>
          <w:rFonts w:hint="eastAsia" w:cs="Times New Roman"/>
          <w:color w:val="auto"/>
          <w:lang w:val="en-US" w:eastAsia="zh-CN"/>
        </w:rPr>
        <w:t>4</w:t>
      </w:r>
      <w:r>
        <w:rPr>
          <w:rFonts w:hint="default" w:ascii="Times New Roman" w:hAnsi="Times New Roman" w:eastAsia="仿宋_GB2312" w:cs="Times New Roman"/>
          <w:color w:val="auto"/>
          <w:lang w:eastAsia="zh-CN"/>
        </w:rPr>
        <w:t>。</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eastAsia" w:cs="Times New Roman"/>
          <w:color w:val="auto"/>
          <w:lang w:val="en-US" w:eastAsia="zh-CN"/>
        </w:rPr>
        <w:t>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噪声排放标准</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单位：dB（A）</w:t>
      </w:r>
    </w:p>
    <w:tbl>
      <w:tblPr>
        <w:tblStyle w:val="13"/>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33"/>
        <w:gridCol w:w="1548"/>
        <w:gridCol w:w="5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 w:hRule="atLeast"/>
        </w:trPr>
        <w:tc>
          <w:tcPr>
            <w:tcW w:w="91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92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31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 w:hRule="atLeast"/>
        </w:trPr>
        <w:tc>
          <w:tcPr>
            <w:tcW w:w="91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70</w:t>
            </w:r>
          </w:p>
        </w:tc>
        <w:tc>
          <w:tcPr>
            <w:tcW w:w="92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55</w:t>
            </w:r>
          </w:p>
        </w:tc>
        <w:tc>
          <w:tcPr>
            <w:tcW w:w="31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《建筑施工场界环境噪声排放标准》(GB12523-2011)</w:t>
            </w: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（2）废气</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施工期大气污染物排 放执行《大气污染物综合排放标准》（GB16297-1996）二级标准。</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eastAsia" w:cs="Times New Roman"/>
          <w:color w:val="auto"/>
          <w:lang w:val="en-US" w:eastAsia="zh-CN"/>
        </w:rPr>
        <w:t>5</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大气污染物排放执行标准</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60"/>
        <w:gridCol w:w="1469"/>
        <w:gridCol w:w="1539"/>
        <w:gridCol w:w="3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7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环境空气功能区</w:t>
            </w:r>
          </w:p>
        </w:tc>
        <w:tc>
          <w:tcPr>
            <w:tcW w:w="88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 目</w:t>
            </w:r>
          </w:p>
        </w:tc>
        <w:tc>
          <w:tcPr>
            <w:tcW w:w="926"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标准值</w:t>
            </w:r>
          </w:p>
        </w:tc>
        <w:tc>
          <w:tcPr>
            <w:tcW w:w="2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7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二类</w:t>
            </w:r>
          </w:p>
        </w:tc>
        <w:tc>
          <w:tcPr>
            <w:tcW w:w="88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颗粒物</w:t>
            </w:r>
          </w:p>
        </w:tc>
        <w:tc>
          <w:tcPr>
            <w:tcW w:w="926"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1.0mg/m³</w:t>
            </w:r>
          </w:p>
        </w:tc>
        <w:tc>
          <w:tcPr>
            <w:tcW w:w="2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《大气污染物综合排放标准》</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(GB16297-1996)表2无组织排放监</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控浓度限值</w:t>
            </w: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lang w:eastAsia="zh-CN"/>
        </w:rPr>
        <w:t>）废水</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本项目施工期产生的废水经沉淀处理后回用于施工，不外排。</w:t>
      </w:r>
    </w:p>
    <w:p>
      <w:pPr>
        <w:pStyle w:val="3"/>
        <w:bidi w:val="0"/>
        <w:rPr>
          <w:rFonts w:hint="default" w:ascii="Times New Roman" w:hAnsi="Times New Roman" w:eastAsia="仿宋_GB2312" w:cs="Times New Roman"/>
          <w:color w:val="auto"/>
        </w:rPr>
      </w:pPr>
      <w:bookmarkStart w:id="21" w:name="bookmark9"/>
      <w:bookmarkEnd w:id="21"/>
      <w:bookmarkStart w:id="22" w:name="_Toc6245"/>
      <w:r>
        <w:rPr>
          <w:rFonts w:hint="default" w:ascii="Times New Roman" w:hAnsi="Times New Roman" w:eastAsia="仿宋_GB2312" w:cs="Times New Roman"/>
          <w:color w:val="auto"/>
        </w:rPr>
        <w:t>1.6 验收调查重点</w:t>
      </w:r>
      <w:bookmarkEnd w:id="2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1.6.1 设计期</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（1）核查实际工程内容、设计方案变更情况和环境保护设施方案设计变更情况；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（2）对比建设项目的环境影响评价文件，调查声环境敏感点变更和其他环境敏感目标的变更情况；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（3）对比建设项目工程内容和工程设计方案的变更，调查声环境敏感点变更和其他环境敏感目标的变更情况；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（4）明确工程是否发生重大工程变动，是否符合竣工环境保护验收条件。</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1.6.2 施工期</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（1）环境影响评价制度和其他有关环境保护法律、法规执行情况；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（2）调查施工期实际产生的环境影响，确定影响的程度与范围；</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（3）调查环境影响评价文件及审批文件中提出的有关环境保护设施与要求的落实情况和保护效果。</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1.6.3 试运营期</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（1）调查建设单位依据实际环境影响而采取的环境保护措施和实施效果，调查试运营期环境风险源、环境风险防范与应急措施落实情况；</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（2）调查试运营期实际存在的环境问题，需要进一步改进、完善的环境保护工作。</w:t>
      </w:r>
    </w:p>
    <w:p>
      <w:pPr>
        <w:pStyle w:val="3"/>
        <w:bidi w:val="0"/>
        <w:rPr>
          <w:rFonts w:hint="default" w:ascii="Times New Roman" w:hAnsi="Times New Roman" w:eastAsia="仿宋_GB2312" w:cs="Times New Roman"/>
          <w:color w:val="auto"/>
        </w:rPr>
      </w:pPr>
      <w:bookmarkStart w:id="23" w:name="bookmark10"/>
      <w:bookmarkEnd w:id="23"/>
      <w:bookmarkStart w:id="24" w:name="_Toc24592"/>
      <w:r>
        <w:rPr>
          <w:rFonts w:hint="default" w:ascii="Times New Roman" w:hAnsi="Times New Roman" w:eastAsia="仿宋_GB2312" w:cs="Times New Roman"/>
          <w:color w:val="auto"/>
        </w:rPr>
        <w:t>1.7 环境保护目标</w:t>
      </w:r>
      <w:bookmarkEnd w:id="24"/>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 xml:space="preserve">1.7.1 </w:t>
      </w:r>
      <w:r>
        <w:rPr>
          <w:rFonts w:hint="default" w:ascii="Times New Roman" w:hAnsi="Times New Roman" w:eastAsia="仿宋_GB2312" w:cs="Times New Roman"/>
          <w:color w:val="auto"/>
          <w:lang w:val="en-US" w:eastAsia="zh-CN"/>
        </w:rPr>
        <w:t>生态环境保护目标</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本工程主要布局在市区</w:t>
      </w:r>
      <w:r>
        <w:rPr>
          <w:rFonts w:hint="eastAsia" w:cs="Times New Roman"/>
          <w:color w:val="auto"/>
          <w:lang w:eastAsia="zh-CN"/>
        </w:rPr>
        <w:t>香坊区</w:t>
      </w:r>
      <w:r>
        <w:rPr>
          <w:rFonts w:hint="default" w:ascii="Times New Roman" w:hAnsi="Times New Roman" w:eastAsia="仿宋_GB2312" w:cs="Times New Roman"/>
          <w:color w:val="auto"/>
        </w:rPr>
        <w:t>范围，沿现有交通主干道走向，不涉及哈尔滨市的自然保护区、风景名胜区、历史文化名城等生态敏感目标。</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1.7.2地表水环境保护目标</w:t>
      </w:r>
    </w:p>
    <w:p>
      <w:pPr>
        <w:bidi w:val="0"/>
        <w:ind w:firstLine="42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验收阶段本工程</w:t>
      </w:r>
      <w:r>
        <w:rPr>
          <w:rFonts w:hint="default" w:ascii="Times New Roman" w:hAnsi="Times New Roman" w:eastAsia="仿宋_GB2312" w:cs="Times New Roman"/>
          <w:color w:val="auto"/>
          <w:lang w:val="en-US" w:eastAsia="zh-CN"/>
        </w:rPr>
        <w:t>以</w:t>
      </w:r>
      <w:r>
        <w:rPr>
          <w:rFonts w:hint="default" w:ascii="Times New Roman" w:hAnsi="Times New Roman" w:eastAsia="仿宋_GB2312" w:cs="Times New Roman"/>
          <w:color w:val="auto"/>
        </w:rPr>
        <w:t>松花江江段作为地表水环境保护目标，与环评一致。</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1.7.3</w:t>
      </w:r>
      <w:r>
        <w:rPr>
          <w:rFonts w:hint="default" w:ascii="Times New Roman" w:hAnsi="Times New Roman" w:eastAsia="仿宋_GB2312" w:cs="Times New Roman"/>
          <w:color w:val="auto"/>
        </w:rPr>
        <w:t>声、大气环境保护目标</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声环境影响将重点调查公路沿线声环境敏感目标受交通噪声的影响程度，分析对比公路修建前后的噪声变化，调查环评中提出的噪声防治措施的落实情况，对超标的敏感目标提出防治噪声影响的补救措施。</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大气环境主要调查施工期环境空气保护措施的实施情况及环评文件中所提的环境空气保护措施的落实情况。</w:t>
      </w:r>
    </w:p>
    <w:p>
      <w:pPr>
        <w:pStyle w:val="15"/>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表1.7-1 环境保护目标</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6"/>
        <w:gridCol w:w="378"/>
        <w:gridCol w:w="477"/>
        <w:gridCol w:w="565"/>
        <w:gridCol w:w="898"/>
        <w:gridCol w:w="441"/>
        <w:gridCol w:w="647"/>
        <w:gridCol w:w="597"/>
        <w:gridCol w:w="554"/>
        <w:gridCol w:w="542"/>
        <w:gridCol w:w="931"/>
        <w:gridCol w:w="587"/>
        <w:gridCol w:w="662"/>
        <w:gridCol w:w="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251"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环境 要素</w:t>
            </w:r>
          </w:p>
        </w:tc>
        <w:tc>
          <w:tcPr>
            <w:tcW w:w="228" w:type="pct"/>
            <w:vMerge w:val="restart"/>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编号</w:t>
            </w:r>
          </w:p>
        </w:tc>
        <w:tc>
          <w:tcPr>
            <w:tcW w:w="2513" w:type="pct"/>
            <w:gridSpan w:val="7"/>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环评阶段</w:t>
            </w:r>
          </w:p>
        </w:tc>
        <w:tc>
          <w:tcPr>
            <w:tcW w:w="1637" w:type="pct"/>
            <w:gridSpan w:val="4"/>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验收阶段</w:t>
            </w:r>
          </w:p>
        </w:tc>
        <w:tc>
          <w:tcPr>
            <w:tcW w:w="368"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25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p>
        </w:tc>
        <w:tc>
          <w:tcPr>
            <w:tcW w:w="228"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p>
        </w:tc>
        <w:tc>
          <w:tcPr>
            <w:tcW w:w="28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保护目标名称</w:t>
            </w:r>
          </w:p>
        </w:tc>
        <w:tc>
          <w:tcPr>
            <w:tcW w:w="34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color w:val="auto"/>
              </w:rPr>
              <w:t>方位</w:t>
            </w:r>
            <w:r>
              <w:rPr>
                <w:rFonts w:hint="eastAsia" w:cs="Times New Roman"/>
                <w:color w:val="auto"/>
                <w:lang w:val="en-US" w:eastAsia="zh-CN"/>
              </w:rPr>
              <w:t>/高差</w:t>
            </w:r>
          </w:p>
        </w:tc>
        <w:tc>
          <w:tcPr>
            <w:tcW w:w="54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距交通干线边界线/中心线距离/m</w:t>
            </w:r>
          </w:p>
        </w:tc>
        <w:tc>
          <w:tcPr>
            <w:tcW w:w="26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现状声功能区</w:t>
            </w:r>
          </w:p>
        </w:tc>
        <w:tc>
          <w:tcPr>
            <w:tcW w:w="3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建成后声功能区</w:t>
            </w:r>
          </w:p>
        </w:tc>
        <w:tc>
          <w:tcPr>
            <w:tcW w:w="35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功能区变化户数</w:t>
            </w:r>
          </w:p>
        </w:tc>
        <w:tc>
          <w:tcPr>
            <w:tcW w:w="3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规模</w:t>
            </w:r>
          </w:p>
        </w:tc>
        <w:tc>
          <w:tcPr>
            <w:tcW w:w="32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方位</w:t>
            </w:r>
            <w:r>
              <w:rPr>
                <w:rFonts w:hint="eastAsia" w:cs="Times New Roman"/>
                <w:color w:val="auto"/>
                <w:lang w:val="en-US" w:eastAsia="zh-CN"/>
              </w:rPr>
              <w:t>/高差</w:t>
            </w:r>
          </w:p>
        </w:tc>
        <w:tc>
          <w:tcPr>
            <w:tcW w:w="56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距交通干线边界线/中心线距离/m</w:t>
            </w:r>
          </w:p>
        </w:tc>
        <w:tc>
          <w:tcPr>
            <w:tcW w:w="3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现状声功能区</w:t>
            </w:r>
          </w:p>
        </w:tc>
        <w:tc>
          <w:tcPr>
            <w:tcW w:w="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规模</w:t>
            </w:r>
          </w:p>
        </w:tc>
        <w:tc>
          <w:tcPr>
            <w:tcW w:w="368"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2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 环境</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声环</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境</w:t>
            </w:r>
          </w:p>
        </w:tc>
        <w:tc>
          <w:tcPr>
            <w:tcW w:w="22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8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棚户区住宅</w:t>
            </w:r>
          </w:p>
        </w:tc>
        <w:tc>
          <w:tcPr>
            <w:tcW w:w="34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北</w:t>
            </w:r>
            <w:r>
              <w:rPr>
                <w:rFonts w:hint="default" w:ascii="Times New Roman" w:hAnsi="Times New Roman" w:eastAsia="仿宋_GB2312" w:cs="Times New Roman"/>
                <w:color w:val="auto"/>
              </w:rPr>
              <w:t>侧</w:t>
            </w:r>
            <w:r>
              <w:rPr>
                <w:rFonts w:hint="eastAsia" w:cs="Times New Roman"/>
                <w:color w:val="auto"/>
                <w:lang w:val="en-US" w:eastAsia="zh-CN"/>
              </w:rPr>
              <w:t>/0</w:t>
            </w:r>
          </w:p>
        </w:tc>
        <w:tc>
          <w:tcPr>
            <w:tcW w:w="54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112/89</w:t>
            </w:r>
          </w:p>
        </w:tc>
        <w:tc>
          <w:tcPr>
            <w:tcW w:w="26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Times New Roman" w:hAnsi="Times New Roman" w:eastAsia="仿宋_GB2312" w:cs="Times New Roman"/>
                <w:color w:val="auto"/>
                <w:lang w:eastAsia="zh-CN"/>
              </w:rPr>
            </w:pPr>
            <w:r>
              <w:rPr>
                <w:rFonts w:hint="eastAsia" w:cs="Times New Roman"/>
                <w:color w:val="auto"/>
                <w:lang w:val="en-US" w:eastAsia="zh-CN"/>
              </w:rPr>
              <w:t>2</w:t>
            </w:r>
          </w:p>
        </w:tc>
        <w:tc>
          <w:tcPr>
            <w:tcW w:w="3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Times New Roman" w:hAnsi="Times New Roman" w:eastAsia="仿宋_GB2312" w:cs="Times New Roman"/>
                <w:color w:val="auto"/>
                <w:lang w:eastAsia="zh-CN"/>
              </w:rPr>
            </w:pPr>
            <w:r>
              <w:rPr>
                <w:rFonts w:hint="eastAsia" w:cs="Times New Roman"/>
                <w:color w:val="auto"/>
                <w:lang w:val="en-US" w:eastAsia="zh-CN"/>
              </w:rPr>
              <w:t>2</w:t>
            </w:r>
          </w:p>
        </w:tc>
        <w:tc>
          <w:tcPr>
            <w:tcW w:w="35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Times New Roman" w:hAnsi="Times New Roman" w:eastAsia="仿宋_GB2312" w:cs="Times New Roman"/>
                <w:color w:val="auto"/>
                <w:lang w:eastAsia="zh-CN"/>
              </w:rPr>
            </w:pPr>
            <w:r>
              <w:rPr>
                <w:rFonts w:hint="eastAsia" w:cs="Times New Roman"/>
                <w:color w:val="auto"/>
                <w:lang w:val="en-US" w:eastAsia="zh-CN"/>
              </w:rPr>
              <w:t>0</w:t>
            </w:r>
          </w:p>
        </w:tc>
        <w:tc>
          <w:tcPr>
            <w:tcW w:w="332"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住户/6户（8人）</w:t>
            </w:r>
          </w:p>
        </w:tc>
        <w:tc>
          <w:tcPr>
            <w:tcW w:w="32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eastAsia" w:cs="Times New Roman"/>
                <w:color w:val="auto"/>
                <w:lang w:val="en-US" w:eastAsia="zh-CN"/>
              </w:rPr>
              <w:t>北</w:t>
            </w:r>
            <w:r>
              <w:rPr>
                <w:rFonts w:hint="default" w:ascii="Times New Roman" w:hAnsi="Times New Roman" w:eastAsia="仿宋_GB2312" w:cs="Times New Roman"/>
                <w:color w:val="auto"/>
              </w:rPr>
              <w:t>侧</w:t>
            </w:r>
            <w:r>
              <w:rPr>
                <w:rFonts w:hint="eastAsia" w:cs="Times New Roman"/>
                <w:color w:val="auto"/>
                <w:lang w:val="en-US" w:eastAsia="zh-CN"/>
              </w:rPr>
              <w:t>/0</w:t>
            </w:r>
          </w:p>
        </w:tc>
        <w:tc>
          <w:tcPr>
            <w:tcW w:w="56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eastAsia" w:cs="Times New Roman"/>
                <w:color w:val="auto"/>
                <w:lang w:val="en-US" w:eastAsia="zh-CN"/>
              </w:rPr>
              <w:t>112/89</w:t>
            </w:r>
          </w:p>
        </w:tc>
        <w:tc>
          <w:tcPr>
            <w:tcW w:w="3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Times New Roman" w:hAnsi="Times New Roman" w:eastAsia="仿宋_GB2312" w:cs="Times New Roman"/>
                <w:color w:val="auto"/>
                <w:lang w:eastAsia="zh-CN"/>
              </w:rPr>
            </w:pPr>
            <w:r>
              <w:rPr>
                <w:rFonts w:hint="eastAsia" w:cs="Times New Roman"/>
                <w:color w:val="auto"/>
                <w:lang w:val="en-US" w:eastAsia="zh-CN"/>
              </w:rPr>
              <w:t>2</w:t>
            </w:r>
          </w:p>
        </w:tc>
        <w:tc>
          <w:tcPr>
            <w:tcW w:w="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eastAsia" w:cs="Times New Roman"/>
                <w:color w:val="auto"/>
                <w:lang w:val="en-US" w:eastAsia="zh-CN"/>
              </w:rPr>
              <w:t>住户/6户（8人）</w:t>
            </w:r>
          </w:p>
        </w:tc>
        <w:tc>
          <w:tcPr>
            <w:tcW w:w="36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与环评阶段一致</w:t>
            </w:r>
          </w:p>
        </w:tc>
      </w:tr>
    </w:tbl>
    <w:p>
      <w:pPr>
        <w:spacing w:line="220" w:lineRule="auto"/>
        <w:ind w:left="0" w:leftChars="0" w:firstLine="0" w:firstLineChars="0"/>
        <w:rPr>
          <w:rFonts w:hint="default" w:ascii="Times New Roman" w:hAnsi="Times New Roman" w:eastAsia="仿宋_GB2312" w:cs="Times New Roman"/>
          <w:color w:val="auto"/>
          <w:sz w:val="24"/>
          <w:szCs w:val="24"/>
        </w:rPr>
        <w:sectPr>
          <w:footerReference r:id="rId7" w:type="default"/>
          <w:pgSz w:w="11906" w:h="16839"/>
          <w:pgMar w:top="1440" w:right="1803" w:bottom="1440" w:left="1803" w:header="0" w:footer="989" w:gutter="0"/>
          <w:pgNumType w:fmt="numberInDash" w:start="1"/>
          <w:cols w:space="720" w:num="1"/>
        </w:sectPr>
      </w:pPr>
    </w:p>
    <w:p>
      <w:pPr>
        <w:pStyle w:val="2"/>
        <w:bidi w:val="0"/>
        <w:rPr>
          <w:rFonts w:hint="default" w:ascii="Times New Roman" w:hAnsi="Times New Roman" w:eastAsia="仿宋_GB2312" w:cs="Times New Roman"/>
          <w:color w:val="auto"/>
          <w:lang w:val="en-US" w:eastAsia="zh-CN"/>
        </w:rPr>
      </w:pPr>
      <w:bookmarkStart w:id="25" w:name="bookmark11"/>
      <w:bookmarkEnd w:id="25"/>
      <w:bookmarkStart w:id="26" w:name="bookmark12"/>
      <w:bookmarkEnd w:id="26"/>
      <w:bookmarkStart w:id="27" w:name="_Toc14717"/>
      <w:r>
        <w:rPr>
          <w:rFonts w:hint="default" w:ascii="Times New Roman" w:hAnsi="Times New Roman" w:eastAsia="仿宋_GB2312" w:cs="Times New Roman"/>
          <w:color w:val="auto"/>
        </w:rPr>
        <w:t>2. 工程</w:t>
      </w:r>
      <w:r>
        <w:rPr>
          <w:rFonts w:hint="default" w:ascii="Times New Roman" w:hAnsi="Times New Roman" w:eastAsia="仿宋_GB2312" w:cs="Times New Roman"/>
          <w:color w:val="auto"/>
          <w:lang w:val="en-US" w:eastAsia="zh-CN"/>
        </w:rPr>
        <w:t>调查</w:t>
      </w:r>
      <w:bookmarkEnd w:id="27"/>
    </w:p>
    <w:p>
      <w:pPr>
        <w:pStyle w:val="3"/>
        <w:bidi w:val="0"/>
        <w:rPr>
          <w:rFonts w:hint="default" w:ascii="Times New Roman" w:hAnsi="Times New Roman" w:eastAsia="仿宋_GB2312" w:cs="Times New Roman"/>
          <w:color w:val="auto"/>
        </w:rPr>
      </w:pPr>
      <w:bookmarkStart w:id="28" w:name="_Toc11424"/>
      <w:r>
        <w:rPr>
          <w:rFonts w:hint="default" w:ascii="Times New Roman" w:hAnsi="Times New Roman" w:eastAsia="仿宋_GB2312" w:cs="Times New Roman"/>
          <w:color w:val="auto"/>
        </w:rPr>
        <w:t>2.1 工程建设过程调查</w:t>
      </w:r>
      <w:bookmarkEnd w:id="28"/>
    </w:p>
    <w:p>
      <w:pPr>
        <w:bidi w:val="0"/>
        <w:ind w:firstLine="420"/>
        <w:jc w:val="both"/>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年8月</w:t>
      </w:r>
      <w:r>
        <w:rPr>
          <w:rFonts w:hint="default" w:ascii="Times New Roman" w:hAnsi="Times New Roman" w:eastAsia="仿宋_GB2312" w:cs="Times New Roman"/>
          <w:color w:val="auto"/>
          <w:lang w:eastAsia="zh-CN"/>
        </w:rPr>
        <w:t>哈尔滨市城乡建设委员会委托</w:t>
      </w:r>
      <w:r>
        <w:rPr>
          <w:rFonts w:hint="eastAsia" w:cs="Times New Roman"/>
          <w:color w:val="auto"/>
          <w:lang w:val="en-US" w:eastAsia="zh-CN"/>
        </w:rPr>
        <w:t>北京</w:t>
      </w:r>
      <w:r>
        <w:rPr>
          <w:rFonts w:hint="default" w:ascii="Times New Roman" w:hAnsi="Times New Roman" w:eastAsia="仿宋_GB2312" w:cs="Times New Roman"/>
          <w:color w:val="auto"/>
          <w:lang w:eastAsia="zh-CN"/>
        </w:rPr>
        <w:t>国环</w:t>
      </w:r>
      <w:r>
        <w:rPr>
          <w:rFonts w:hint="eastAsia" w:cs="Times New Roman"/>
          <w:color w:val="auto"/>
          <w:lang w:val="en-US" w:eastAsia="zh-CN"/>
        </w:rPr>
        <w:t>建邦环保</w:t>
      </w:r>
      <w:r>
        <w:rPr>
          <w:rFonts w:hint="default" w:ascii="Times New Roman" w:hAnsi="Times New Roman" w:eastAsia="仿宋_GB2312" w:cs="Times New Roman"/>
          <w:color w:val="auto"/>
          <w:lang w:eastAsia="zh-CN"/>
        </w:rPr>
        <w:t>科技有限公司</w:t>
      </w:r>
      <w:r>
        <w:rPr>
          <w:rFonts w:hint="default" w:ascii="Times New Roman" w:hAnsi="Times New Roman" w:eastAsia="仿宋_GB2312" w:cs="Times New Roman"/>
          <w:color w:val="auto"/>
        </w:rPr>
        <w:t>编制了《</w:t>
      </w:r>
      <w:r>
        <w:rPr>
          <w:rFonts w:hint="eastAsia" w:cs="Times New Roman"/>
          <w:color w:val="auto"/>
          <w:lang w:eastAsia="zh-CN"/>
        </w:rPr>
        <w:t>同江路道路</w:t>
      </w:r>
      <w:r>
        <w:rPr>
          <w:rFonts w:hint="default" w:ascii="Times New Roman" w:hAnsi="Times New Roman" w:eastAsia="仿宋_GB2312" w:cs="Times New Roman"/>
          <w:color w:val="auto"/>
        </w:rPr>
        <w:t>工程环境影响报告书》，于201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9</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eastAsia="zh-CN"/>
        </w:rPr>
        <w:t>取</w:t>
      </w:r>
      <w:r>
        <w:rPr>
          <w:rFonts w:hint="default" w:ascii="Times New Roman" w:hAnsi="Times New Roman" w:eastAsia="仿宋_GB2312" w:cs="Times New Roman"/>
          <w:color w:val="auto"/>
        </w:rPr>
        <w:t>得了</w:t>
      </w:r>
      <w:r>
        <w:rPr>
          <w:rFonts w:hint="default" w:ascii="Times New Roman" w:hAnsi="Times New Roman" w:eastAsia="仿宋_GB2312" w:cs="Times New Roman"/>
          <w:color w:val="auto"/>
          <w:lang w:eastAsia="zh-CN"/>
        </w:rPr>
        <w:t>哈尔滨市生态环境局（原哈尔滨市环境保护局）</w:t>
      </w:r>
      <w:r>
        <w:rPr>
          <w:rFonts w:hint="default" w:ascii="Times New Roman" w:hAnsi="Times New Roman" w:eastAsia="仿宋_GB2312" w:cs="Times New Roman"/>
          <w:color w:val="auto"/>
        </w:rPr>
        <w:t>批复</w:t>
      </w:r>
      <w:r>
        <w:rPr>
          <w:rFonts w:hint="default" w:ascii="Times New Roman" w:hAnsi="Times New Roman" w:eastAsia="仿宋_GB2312" w:cs="Times New Roman"/>
          <w:color w:val="auto"/>
          <w:lang w:eastAsia="zh-CN"/>
        </w:rPr>
        <w:t>文件</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rPr>
        <w:t>环审</w:t>
      </w:r>
      <w:r>
        <w:rPr>
          <w:rFonts w:hint="default" w:ascii="Times New Roman" w:hAnsi="Times New Roman" w:eastAsia="仿宋_GB2312" w:cs="Times New Roman"/>
          <w:color w:val="auto"/>
          <w:lang w:eastAsia="zh-CN"/>
        </w:rPr>
        <w:t>书</w:t>
      </w: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6</w:t>
      </w:r>
      <w:r>
        <w:rPr>
          <w:rFonts w:hint="eastAsia" w:cs="Times New Roman"/>
          <w:color w:val="auto"/>
          <w:lang w:val="en-US" w:eastAsia="zh-CN"/>
        </w:rPr>
        <w:t>3</w:t>
      </w:r>
      <w:r>
        <w:rPr>
          <w:rFonts w:hint="default" w:ascii="Times New Roman" w:hAnsi="Times New Roman" w:eastAsia="仿宋_GB2312" w:cs="Times New Roman"/>
          <w:color w:val="auto"/>
        </w:rPr>
        <w:t>号</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工程于20</w:t>
      </w:r>
      <w:r>
        <w:rPr>
          <w:rFonts w:hint="default" w:ascii="Times New Roman" w:hAnsi="Times New Roman" w:eastAsia="仿宋_GB2312" w:cs="Times New Roman"/>
          <w:color w:val="auto"/>
          <w:lang w:val="en-US" w:eastAsia="zh-CN"/>
        </w:rPr>
        <w:t>1</w:t>
      </w:r>
      <w:r>
        <w:rPr>
          <w:rFonts w:hint="eastAsia"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月全面开工建设，20</w:t>
      </w:r>
      <w:r>
        <w:rPr>
          <w:rFonts w:hint="eastAsia" w:cs="Times New Roman"/>
          <w:color w:val="auto"/>
          <w:lang w:val="en-US" w:eastAsia="zh-CN"/>
        </w:rPr>
        <w:t>18</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10</w:t>
      </w:r>
      <w:r>
        <w:rPr>
          <w:rFonts w:hint="default" w:ascii="Times New Roman" w:hAnsi="Times New Roman" w:eastAsia="仿宋_GB2312" w:cs="Times New Roman"/>
          <w:color w:val="auto"/>
        </w:rPr>
        <w:t>月建成</w:t>
      </w:r>
      <w:r>
        <w:rPr>
          <w:rFonts w:hint="default" w:ascii="Times New Roman" w:hAnsi="Times New Roman" w:eastAsia="仿宋_GB2312" w:cs="Times New Roman"/>
          <w:color w:val="auto"/>
          <w:lang w:eastAsia="zh-CN"/>
        </w:rPr>
        <w:t>通车</w:t>
      </w:r>
      <w:r>
        <w:rPr>
          <w:rFonts w:hint="default" w:ascii="Times New Roman" w:hAnsi="Times New Roman" w:eastAsia="仿宋_GB2312" w:cs="Times New Roman"/>
          <w:color w:val="auto"/>
        </w:rPr>
        <w:t>。工程于20</w:t>
      </w:r>
      <w:r>
        <w:rPr>
          <w:rFonts w:hint="eastAsia" w:cs="Times New Roman"/>
          <w:color w:val="auto"/>
          <w:lang w:val="en-US" w:eastAsia="zh-CN"/>
        </w:rPr>
        <w:t>19</w:t>
      </w:r>
      <w:r>
        <w:rPr>
          <w:rFonts w:hint="default" w:ascii="Times New Roman" w:hAnsi="Times New Roman" w:eastAsia="仿宋_GB2312" w:cs="Times New Roman"/>
          <w:color w:val="auto"/>
        </w:rPr>
        <w:t>年1</w:t>
      </w:r>
      <w:r>
        <w:rPr>
          <w:rFonts w:hint="eastAsia" w:cs="Times New Roman"/>
          <w:color w:val="auto"/>
          <w:lang w:val="en-US" w:eastAsia="zh-CN"/>
        </w:rPr>
        <w:t>2</w:t>
      </w:r>
      <w:r>
        <w:rPr>
          <w:rFonts w:hint="default" w:ascii="Times New Roman" w:hAnsi="Times New Roman" w:eastAsia="仿宋_GB2312" w:cs="Times New Roman"/>
          <w:color w:val="auto"/>
        </w:rPr>
        <w:t>月2</w:t>
      </w:r>
      <w:r>
        <w:rPr>
          <w:rFonts w:hint="eastAsia" w:cs="Times New Roman"/>
          <w:color w:val="auto"/>
          <w:lang w:val="en-US" w:eastAsia="zh-CN"/>
        </w:rPr>
        <w:t>5</w:t>
      </w:r>
      <w:r>
        <w:rPr>
          <w:rFonts w:hint="default" w:ascii="Times New Roman" w:hAnsi="Times New Roman" w:eastAsia="仿宋_GB2312" w:cs="Times New Roman"/>
          <w:color w:val="auto"/>
        </w:rPr>
        <w:t>日通过</w:t>
      </w:r>
      <w:r>
        <w:rPr>
          <w:rFonts w:hint="default" w:ascii="Times New Roman" w:hAnsi="Times New Roman" w:eastAsia="仿宋_GB2312" w:cs="Times New Roman"/>
          <w:color w:val="auto"/>
          <w:lang w:eastAsia="zh-CN"/>
        </w:rPr>
        <w:t>工程竣工</w:t>
      </w:r>
      <w:r>
        <w:rPr>
          <w:rFonts w:hint="default" w:ascii="Times New Roman" w:hAnsi="Times New Roman" w:eastAsia="仿宋_GB2312" w:cs="Times New Roman"/>
          <w:color w:val="auto"/>
        </w:rPr>
        <w:t>验收</w:t>
      </w:r>
      <w:r>
        <w:rPr>
          <w:rFonts w:hint="default" w:ascii="Times New Roman" w:hAnsi="Times New Roman" w:eastAsia="仿宋_GB2312" w:cs="Times New Roman"/>
          <w:color w:val="auto"/>
          <w:lang w:val="en-US" w:eastAsia="zh-CN"/>
        </w:rPr>
        <w:t>。</w:t>
      </w:r>
    </w:p>
    <w:p>
      <w:pPr>
        <w:pStyle w:val="3"/>
        <w:bidi w:val="0"/>
        <w:rPr>
          <w:rFonts w:hint="default" w:ascii="Times New Roman" w:hAnsi="Times New Roman" w:eastAsia="仿宋_GB2312" w:cs="Times New Roman"/>
          <w:color w:val="auto"/>
        </w:rPr>
      </w:pPr>
      <w:bookmarkStart w:id="29" w:name="bookmark13"/>
      <w:bookmarkEnd w:id="29"/>
      <w:bookmarkStart w:id="30" w:name="_Toc25317"/>
      <w:r>
        <w:rPr>
          <w:rFonts w:hint="default" w:ascii="Times New Roman" w:hAnsi="Times New Roman" w:eastAsia="仿宋_GB2312" w:cs="Times New Roman"/>
          <w:color w:val="auto"/>
        </w:rPr>
        <w:t>2.2 工程概况调查</w:t>
      </w:r>
      <w:bookmarkEnd w:id="3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2.2.1 地理位置和线路走向</w:t>
      </w:r>
    </w:p>
    <w:p>
      <w:pPr>
        <w:bidi w:val="0"/>
        <w:ind w:firstLine="42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项目位于哈尔滨市</w:t>
      </w:r>
      <w:r>
        <w:rPr>
          <w:rFonts w:hint="eastAsia" w:cs="Times New Roman"/>
          <w:color w:val="auto"/>
          <w:sz w:val="24"/>
          <w:szCs w:val="24"/>
          <w:lang w:eastAsia="zh-CN"/>
        </w:rPr>
        <w:t>香坊区</w:t>
      </w:r>
      <w:r>
        <w:rPr>
          <w:rFonts w:hint="default" w:ascii="Times New Roman" w:hAnsi="Times New Roman" w:eastAsia="仿宋_GB2312" w:cs="Times New Roman"/>
          <w:color w:val="auto"/>
          <w:sz w:val="24"/>
          <w:szCs w:val="24"/>
        </w:rPr>
        <w:t>，</w:t>
      </w:r>
      <w:r>
        <w:rPr>
          <w:rFonts w:hint="eastAsia" w:cs="Times New Roman"/>
          <w:color w:val="auto"/>
          <w:lang w:val="en-US" w:eastAsia="zh-CN"/>
        </w:rPr>
        <w:t>工程起点为规划长寿路，终点为征仪路</w:t>
      </w:r>
      <w:r>
        <w:rPr>
          <w:rFonts w:hint="default" w:ascii="Times New Roman" w:hAnsi="Times New Roman" w:eastAsia="仿宋_GB2312" w:cs="Times New Roman"/>
          <w:color w:val="auto"/>
          <w:sz w:val="24"/>
          <w:szCs w:val="24"/>
        </w:rPr>
        <w:t>。工程</w:t>
      </w:r>
      <w:r>
        <w:rPr>
          <w:rFonts w:hint="default" w:ascii="Times New Roman" w:hAnsi="Times New Roman" w:eastAsia="仿宋_GB2312" w:cs="Times New Roman"/>
          <w:color w:val="auto"/>
          <w:sz w:val="24"/>
          <w:szCs w:val="24"/>
          <w:lang w:val="en-US" w:eastAsia="zh-CN"/>
        </w:rPr>
        <w:t>设计阶段</w:t>
      </w:r>
      <w:r>
        <w:rPr>
          <w:rFonts w:hint="default" w:ascii="Times New Roman" w:hAnsi="Times New Roman" w:eastAsia="仿宋_GB2312" w:cs="Times New Roman"/>
          <w:color w:val="auto"/>
          <w:sz w:val="24"/>
          <w:szCs w:val="24"/>
        </w:rPr>
        <w:t>全长</w:t>
      </w:r>
      <w:r>
        <w:rPr>
          <w:rFonts w:hint="eastAsia" w:cs="Times New Roman"/>
          <w:color w:val="auto"/>
          <w:sz w:val="24"/>
          <w:szCs w:val="24"/>
          <w:lang w:eastAsia="zh-CN"/>
        </w:rPr>
        <w:t>639.694</w:t>
      </w:r>
      <w:r>
        <w:rPr>
          <w:rFonts w:hint="default" w:ascii="Times New Roman" w:hAnsi="Times New Roman" w:eastAsia="仿宋_GB2312" w:cs="Times New Roman"/>
          <w:color w:val="auto"/>
          <w:sz w:val="24"/>
          <w:szCs w:val="24"/>
        </w:rPr>
        <w:t>m</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lang w:val="en-US" w:eastAsia="zh-CN"/>
        </w:rPr>
        <w:t>实际建设</w:t>
      </w:r>
      <w:r>
        <w:rPr>
          <w:rFonts w:hint="eastAsia" w:cs="Times New Roman"/>
          <w:color w:val="auto"/>
          <w:sz w:val="24"/>
          <w:szCs w:val="24"/>
          <w:lang w:val="en-US" w:eastAsia="zh-CN"/>
        </w:rPr>
        <w:t>639.694</w:t>
      </w:r>
      <w:r>
        <w:rPr>
          <w:rFonts w:hint="default" w:ascii="Times New Roman" w:hAnsi="Times New Roman" w:eastAsia="仿宋_GB2312" w:cs="Times New Roman"/>
          <w:color w:val="auto"/>
          <w:sz w:val="24"/>
          <w:szCs w:val="24"/>
        </w:rPr>
        <w:t>m</w:t>
      </w:r>
      <w:r>
        <w:rPr>
          <w:rFonts w:hint="default" w:ascii="Times New Roman" w:hAnsi="Times New Roman" w:eastAsia="仿宋_GB2312" w:cs="Times New Roman"/>
          <w:color w:val="auto"/>
          <w:sz w:val="24"/>
          <w:szCs w:val="24"/>
          <w:lang w:eastAsia="zh-CN"/>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2.2.2 建设规模与主要技术指标</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（1）项目组成</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工程建设内容主要包括路基路面主体工程，以及</w:t>
      </w:r>
      <w:r>
        <w:rPr>
          <w:rFonts w:hint="default" w:ascii="Times New Roman" w:hAnsi="Times New Roman" w:eastAsia="仿宋_GB2312" w:cs="Times New Roman"/>
          <w:color w:val="auto"/>
          <w:lang w:val="en-US" w:eastAsia="zh-CN"/>
        </w:rPr>
        <w:t>绿化、路灯、排水</w:t>
      </w:r>
      <w:r>
        <w:rPr>
          <w:rFonts w:hint="default" w:ascii="Times New Roman" w:hAnsi="Times New Roman" w:eastAsia="仿宋_GB2312" w:cs="Times New Roman"/>
          <w:color w:val="auto"/>
        </w:rPr>
        <w:t>附属工程。</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（2）主要技术经济指标</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道路等级为城市次干道，</w:t>
      </w:r>
      <w:r>
        <w:rPr>
          <w:rFonts w:hint="eastAsia" w:cs="Times New Roman"/>
          <w:color w:val="auto"/>
          <w:lang w:val="en-US" w:eastAsia="zh-CN"/>
        </w:rPr>
        <w:t>道路红线60m</w:t>
      </w:r>
      <w:r>
        <w:rPr>
          <w:rFonts w:hint="default" w:ascii="Times New Roman" w:hAnsi="Times New Roman" w:eastAsia="仿宋_GB2312" w:cs="Times New Roman"/>
          <w:color w:val="auto"/>
          <w:lang w:val="en-US" w:eastAsia="zh-CN"/>
        </w:rPr>
        <w:t>，设计行车速度</w:t>
      </w:r>
      <w:r>
        <w:rPr>
          <w:rFonts w:hint="eastAsia" w:cs="Times New Roman"/>
          <w:color w:val="auto"/>
          <w:lang w:val="en-US" w:eastAsia="zh-CN"/>
        </w:rPr>
        <w:t>50km/h</w:t>
      </w:r>
      <w:r>
        <w:rPr>
          <w:rFonts w:hint="default" w:ascii="Times New Roman" w:hAnsi="Times New Roman" w:eastAsia="仿宋_GB2312" w:cs="Times New Roman"/>
          <w:color w:val="auto"/>
          <w:lang w:val="en-US" w:eastAsia="zh-CN"/>
        </w:rPr>
        <w:t>，双向</w:t>
      </w:r>
      <w:r>
        <w:rPr>
          <w:rFonts w:hint="eastAsia" w:cs="Times New Roman"/>
          <w:color w:val="auto"/>
          <w:lang w:val="en-US" w:eastAsia="zh-CN"/>
        </w:rPr>
        <w:t>6车道</w:t>
      </w:r>
      <w:r>
        <w:rPr>
          <w:rFonts w:hint="default" w:ascii="Times New Roman" w:hAnsi="Times New Roman" w:eastAsia="仿宋_GB2312" w:cs="Times New Roman"/>
          <w:color w:val="auto"/>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（3）工程建设规模及工程量</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工程道路红线宽度</w:t>
      </w:r>
      <w:r>
        <w:rPr>
          <w:rFonts w:hint="eastAsia" w:cs="Times New Roman"/>
          <w:color w:val="auto"/>
          <w:lang w:val="en-US" w:eastAsia="zh-CN"/>
        </w:rPr>
        <w:t>6</w:t>
      </w:r>
      <w:r>
        <w:rPr>
          <w:rFonts w:hint="default" w:ascii="Times New Roman" w:hAnsi="Times New Roman" w:eastAsia="仿宋_GB2312" w:cs="Times New Roman"/>
          <w:color w:val="auto"/>
        </w:rPr>
        <w:t>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包括行道树</w:t>
      </w:r>
      <w:r>
        <w:rPr>
          <w:rFonts w:hint="eastAsia" w:cs="Times New Roman"/>
          <w:color w:val="auto"/>
          <w:lang w:val="en-US" w:eastAsia="zh-CN"/>
        </w:rPr>
        <w:t>256</w:t>
      </w:r>
      <w:r>
        <w:rPr>
          <w:rFonts w:hint="default" w:ascii="Times New Roman" w:hAnsi="Times New Roman" w:eastAsia="仿宋_GB2312" w:cs="Times New Roman"/>
          <w:color w:val="auto"/>
        </w:rPr>
        <w:t>棵</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路灯</w:t>
      </w:r>
      <w:r>
        <w:rPr>
          <w:rFonts w:hint="eastAsia" w:cs="Times New Roman"/>
          <w:color w:val="auto"/>
          <w:lang w:val="en-US" w:eastAsia="zh-CN"/>
        </w:rPr>
        <w:t>34</w:t>
      </w:r>
      <w:r>
        <w:rPr>
          <w:rFonts w:hint="default" w:ascii="Times New Roman" w:hAnsi="Times New Roman" w:eastAsia="仿宋_GB2312" w:cs="Times New Roman"/>
          <w:color w:val="auto"/>
        </w:rPr>
        <w:t>基，</w:t>
      </w:r>
      <w:r>
        <w:rPr>
          <w:rFonts w:hint="eastAsia" w:cs="Times New Roman"/>
          <w:color w:val="auto"/>
          <w:lang w:val="en-US" w:eastAsia="zh-CN"/>
        </w:rPr>
        <w:t>污</w:t>
      </w:r>
      <w:r>
        <w:rPr>
          <w:rFonts w:hint="default" w:ascii="Times New Roman" w:hAnsi="Times New Roman" w:eastAsia="仿宋_GB2312" w:cs="Times New Roman"/>
          <w:color w:val="auto"/>
        </w:rPr>
        <w:t>水管线</w:t>
      </w:r>
      <w:r>
        <w:rPr>
          <w:rFonts w:hint="eastAsia" w:cs="Times New Roman"/>
          <w:color w:val="auto"/>
          <w:lang w:val="en-US" w:eastAsia="zh-CN"/>
        </w:rPr>
        <w:t>1388.49</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eastAsia" w:cs="Times New Roman"/>
          <w:color w:val="auto"/>
          <w:lang w:val="en-US" w:eastAsia="zh-CN"/>
        </w:rPr>
        <w:t>雨水管线1036.66m，</w:t>
      </w:r>
      <w:r>
        <w:rPr>
          <w:rFonts w:hint="default" w:ascii="Times New Roman" w:hAnsi="Times New Roman" w:eastAsia="仿宋_GB2312" w:cs="Times New Roman"/>
          <w:color w:val="auto"/>
        </w:rPr>
        <w:t>以及交通工程</w:t>
      </w:r>
      <w:r>
        <w:rPr>
          <w:rFonts w:hint="default" w:ascii="Times New Roman" w:hAnsi="Times New Roman" w:eastAsia="仿宋_GB2312" w:cs="Times New Roman"/>
          <w:color w:val="auto"/>
          <w:lang w:eastAsia="zh-CN"/>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（4）工程总投资及环保投资</w:t>
      </w:r>
    </w:p>
    <w:p>
      <w:pPr>
        <w:keepNext w:val="0"/>
        <w:keepLines w:val="0"/>
        <w:pageBreakBefore w:val="0"/>
        <w:widowControl/>
        <w:kinsoku w:val="0"/>
        <w:wordWrap/>
        <w:overflowPunct/>
        <w:topLinePunct w:val="0"/>
        <w:autoSpaceDE w:val="0"/>
        <w:autoSpaceDN w:val="0"/>
        <w:bidi w:val="0"/>
        <w:adjustRightInd/>
        <w:snapToGrid/>
        <w:ind w:firstLine="420"/>
        <w:jc w:val="both"/>
        <w:textAlignment w:val="baseline"/>
        <w:rPr>
          <w:rFonts w:hint="default" w:ascii="Times New Roman" w:hAnsi="Times New Roman" w:eastAsia="仿宋_GB2312" w:cs="Times New Roman"/>
          <w:snapToGrid w:val="0"/>
          <w:color w:val="auto"/>
          <w:kern w:val="21"/>
          <w:sz w:val="24"/>
        </w:rPr>
      </w:pPr>
      <w:r>
        <w:rPr>
          <w:rFonts w:hint="default" w:ascii="Times New Roman" w:hAnsi="Times New Roman" w:eastAsia="仿宋_GB2312" w:cs="Times New Roman"/>
          <w:snapToGrid w:val="0"/>
          <w:color w:val="auto"/>
          <w:kern w:val="21"/>
          <w:sz w:val="24"/>
          <w:lang w:val="en-US" w:eastAsia="zh-CN"/>
        </w:rPr>
        <w:t>环评阶段：</w:t>
      </w:r>
      <w:r>
        <w:rPr>
          <w:rFonts w:hint="default" w:ascii="Times New Roman" w:hAnsi="Times New Roman" w:eastAsia="仿宋_GB2312" w:cs="Times New Roman"/>
          <w:snapToGrid w:val="0"/>
          <w:color w:val="auto"/>
          <w:kern w:val="21"/>
          <w:sz w:val="24"/>
        </w:rPr>
        <w:t>工程投资总概算为</w:t>
      </w:r>
      <w:r>
        <w:rPr>
          <w:rFonts w:hint="eastAsia" w:cs="Times New Roman"/>
          <w:snapToGrid w:val="0"/>
          <w:color w:val="auto"/>
          <w:kern w:val="21"/>
          <w:sz w:val="24"/>
          <w:lang w:eastAsia="zh-CN"/>
        </w:rPr>
        <w:t>6425.43</w:t>
      </w:r>
      <w:r>
        <w:rPr>
          <w:rFonts w:hint="default" w:ascii="Times New Roman" w:hAnsi="Times New Roman" w:eastAsia="仿宋_GB2312" w:cs="Times New Roman"/>
          <w:snapToGrid w:val="0"/>
          <w:color w:val="auto"/>
          <w:kern w:val="21"/>
          <w:sz w:val="24"/>
        </w:rPr>
        <w:t>万元，环保投资约</w:t>
      </w:r>
      <w:r>
        <w:rPr>
          <w:rFonts w:hint="default" w:ascii="Times New Roman" w:hAnsi="Times New Roman" w:eastAsia="仿宋_GB2312" w:cs="Times New Roman"/>
          <w:snapToGrid w:val="0"/>
          <w:color w:val="auto"/>
          <w:kern w:val="21"/>
          <w:sz w:val="24"/>
          <w:lang w:val="en-US" w:eastAsia="zh-CN"/>
        </w:rPr>
        <w:t>10</w:t>
      </w:r>
      <w:r>
        <w:rPr>
          <w:rFonts w:hint="eastAsia" w:cs="Times New Roman"/>
          <w:snapToGrid w:val="0"/>
          <w:color w:val="auto"/>
          <w:kern w:val="21"/>
          <w:sz w:val="24"/>
          <w:lang w:val="en-US" w:eastAsia="zh-CN"/>
        </w:rPr>
        <w:t>0</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eastAsia" w:cs="Times New Roman"/>
          <w:snapToGrid w:val="0"/>
          <w:color w:val="auto"/>
          <w:kern w:val="21"/>
          <w:sz w:val="24"/>
          <w:lang w:val="en-US" w:eastAsia="zh-CN"/>
        </w:rPr>
        <w:t>1.56</w:t>
      </w:r>
      <w:r>
        <w:rPr>
          <w:rFonts w:hint="default" w:ascii="Times New Roman" w:hAnsi="Times New Roman" w:eastAsia="仿宋_GB2312" w:cs="Times New Roman"/>
          <w:snapToGrid w:val="0"/>
          <w:color w:val="auto"/>
          <w:kern w:val="21"/>
          <w:sz w:val="24"/>
          <w:lang w:val="en-US" w:eastAsia="zh-CN"/>
        </w:rPr>
        <w:t>%</w:t>
      </w:r>
      <w:r>
        <w:rPr>
          <w:rFonts w:hint="default" w:ascii="Times New Roman" w:hAnsi="Times New Roman" w:eastAsia="仿宋_GB2312" w:cs="Times New Roman"/>
          <w:snapToGrid w:val="0"/>
          <w:color w:val="auto"/>
          <w:kern w:val="21"/>
          <w:sz w:val="24"/>
        </w:rPr>
        <w:t>。</w:t>
      </w:r>
    </w:p>
    <w:p>
      <w:pPr>
        <w:keepNext w:val="0"/>
        <w:keepLines w:val="0"/>
        <w:pageBreakBefore w:val="0"/>
        <w:widowControl/>
        <w:kinsoku w:val="0"/>
        <w:wordWrap/>
        <w:overflowPunct/>
        <w:topLinePunct w:val="0"/>
        <w:autoSpaceDE w:val="0"/>
        <w:autoSpaceDN w:val="0"/>
        <w:bidi w:val="0"/>
        <w:adjustRightInd/>
        <w:snapToGrid/>
        <w:ind w:firstLine="420"/>
        <w:jc w:val="both"/>
        <w:textAlignment w:val="baseline"/>
        <w:rPr>
          <w:rFonts w:hint="default" w:ascii="Times New Roman" w:hAnsi="Times New Roman" w:eastAsia="仿宋_GB2312" w:cs="Times New Roman"/>
          <w:snapToGrid w:val="0"/>
          <w:color w:val="auto"/>
          <w:kern w:val="21"/>
          <w:sz w:val="24"/>
          <w:lang w:val="en-US" w:eastAsia="zh-CN"/>
        </w:rPr>
      </w:pPr>
      <w:r>
        <w:rPr>
          <w:rFonts w:hint="default" w:ascii="Times New Roman" w:hAnsi="Times New Roman" w:eastAsia="仿宋_GB2312" w:cs="Times New Roman"/>
          <w:snapToGrid w:val="0"/>
          <w:color w:val="auto"/>
          <w:kern w:val="21"/>
          <w:sz w:val="24"/>
          <w:lang w:val="en-US" w:eastAsia="zh-CN"/>
        </w:rPr>
        <w:t>验收阶段：</w:t>
      </w:r>
      <w:r>
        <w:rPr>
          <w:rFonts w:hint="default" w:ascii="Times New Roman" w:hAnsi="Times New Roman" w:eastAsia="仿宋_GB2312" w:cs="Times New Roman"/>
          <w:snapToGrid w:val="0"/>
          <w:color w:val="auto"/>
          <w:kern w:val="21"/>
          <w:sz w:val="24"/>
        </w:rPr>
        <w:t>工程</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投资总概算为</w:t>
      </w:r>
      <w:r>
        <w:rPr>
          <w:rFonts w:hint="eastAsia" w:cs="Times New Roman"/>
          <w:snapToGrid w:val="0"/>
          <w:color w:val="auto"/>
          <w:kern w:val="21"/>
          <w:sz w:val="24"/>
          <w:lang w:val="en-US" w:eastAsia="zh-CN"/>
        </w:rPr>
        <w:t>2170.730933</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环保投资约</w:t>
      </w:r>
      <w:r>
        <w:rPr>
          <w:rFonts w:hint="default" w:ascii="Times New Roman" w:hAnsi="Times New Roman" w:eastAsia="仿宋_GB2312" w:cs="Times New Roman"/>
          <w:snapToGrid w:val="0"/>
          <w:color w:val="auto"/>
          <w:kern w:val="21"/>
          <w:sz w:val="24"/>
          <w:lang w:val="en-US" w:eastAsia="zh-CN"/>
        </w:rPr>
        <w:t>37.8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eastAsia" w:cs="Times New Roman"/>
          <w:snapToGrid w:val="0"/>
          <w:color w:val="auto"/>
          <w:kern w:val="21"/>
          <w:sz w:val="24"/>
          <w:lang w:val="en-US" w:eastAsia="zh-CN"/>
        </w:rPr>
        <w:t>1.74%</w:t>
      </w:r>
      <w:r>
        <w:rPr>
          <w:rFonts w:hint="default" w:ascii="Times New Roman" w:hAnsi="Times New Roman" w:eastAsia="仿宋_GB2312" w:cs="Times New Roman"/>
          <w:snapToGrid w:val="0"/>
          <w:color w:val="auto"/>
          <w:kern w:val="21"/>
          <w:sz w:val="24"/>
        </w:rPr>
        <w:t>。</w:t>
      </w:r>
    </w:p>
    <w:p>
      <w:pPr>
        <w:pStyle w:val="15"/>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表2.2-1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环保投资情况一览表</w:t>
      </w:r>
      <w:r>
        <w:rPr>
          <w:rFonts w:hint="default" w:ascii="Times New Roman" w:hAnsi="Times New Roman" w:eastAsia="仿宋_GB2312" w:cs="Times New Roman"/>
          <w:color w:val="auto"/>
          <w:lang w:val="en-US" w:eastAsia="zh-CN"/>
        </w:rPr>
        <w:t xml:space="preserve">    单位：万元</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9"/>
        <w:gridCol w:w="956"/>
        <w:gridCol w:w="3442"/>
        <w:gridCol w:w="1263"/>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污染源</w:t>
            </w:r>
          </w:p>
        </w:tc>
        <w:tc>
          <w:tcPr>
            <w:tcW w:w="2613" w:type="pct"/>
            <w:gridSpan w:val="2"/>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环保设施名称</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环评阶段</w:t>
            </w:r>
            <w:r>
              <w:rPr>
                <w:rFonts w:hint="default" w:ascii="Times New Roman" w:hAnsi="Times New Roman" w:eastAsia="仿宋_GB2312" w:cs="Times New Roman"/>
                <w:color w:val="auto"/>
                <w:sz w:val="21"/>
                <w:szCs w:val="21"/>
              </w:rPr>
              <w:t>环保投资</w:t>
            </w:r>
          </w:p>
        </w:tc>
        <w:tc>
          <w:tcPr>
            <w:tcW w:w="83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验收调查阶段环保投资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废水</w:t>
            </w:r>
          </w:p>
        </w:tc>
        <w:tc>
          <w:tcPr>
            <w:tcW w:w="56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204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生产废水防渗沉淀池</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vMerge w:val="restar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废气</w:t>
            </w:r>
          </w:p>
        </w:tc>
        <w:tc>
          <w:tcPr>
            <w:tcW w:w="56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204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临时堆场、建筑材料遮盖</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2.5</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56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204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施工隔尘挡板、洒水车</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4</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固废</w:t>
            </w:r>
          </w:p>
        </w:tc>
        <w:tc>
          <w:tcPr>
            <w:tcW w:w="56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204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弃土集中收集，清运车辆。</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4</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96"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噪声</w:t>
            </w:r>
          </w:p>
        </w:tc>
        <w:tc>
          <w:tcPr>
            <w:tcW w:w="56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204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低噪声设备、移动声屏障</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8</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eastAsia" w:cs="Times New Roman"/>
                <w:color w:val="auto"/>
                <w:sz w:val="21"/>
                <w:szCs w:val="21"/>
                <w:lang w:val="en-US" w:eastAsia="zh-CN"/>
              </w:rPr>
              <w:t>绿化</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25</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环境保护工程设计</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10</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环境监测</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10</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环境保护管理</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8</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宣传教育</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环保竣工验收调查费用</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10</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eastAsia"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预留费用</w:t>
            </w:r>
          </w:p>
        </w:tc>
        <w:tc>
          <w:tcPr>
            <w:tcW w:w="751"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10</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以上环保投资小计</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textAlignment w:val="baseline"/>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95.5</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不可预见费（=小计×5%）</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4.5</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410"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总环保费用合计</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eastAsia"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10</w:t>
            </w:r>
            <w:r>
              <w:rPr>
                <w:rFonts w:hint="eastAsia" w:cs="Times New Roman"/>
                <w:color w:val="auto"/>
                <w:sz w:val="21"/>
                <w:szCs w:val="21"/>
                <w:lang w:val="en-US" w:eastAsia="zh-CN"/>
              </w:rPr>
              <w:t>0</w:t>
            </w:r>
          </w:p>
        </w:tc>
        <w:tc>
          <w:tcPr>
            <w:tcW w:w="838" w:type="pct"/>
            <w:vAlign w:val="center"/>
          </w:tcPr>
          <w:p>
            <w:pPr>
              <w:keepNext w:val="0"/>
              <w:keepLines w:val="0"/>
              <w:pageBreakBefore w:val="0"/>
              <w:widowControl/>
              <w:suppressLineNumbers w:val="0"/>
              <w:wordWrap/>
              <w:overflowPunct/>
              <w:topLinePunct w:val="0"/>
              <w:autoSpaceDE w:val="0"/>
              <w:autoSpaceDN w:val="0"/>
              <w:bidi w:val="0"/>
              <w:adjustRightInd w:val="0"/>
              <w:snapToGrid w:val="0"/>
              <w:spacing w:line="240" w:lineRule="auto"/>
              <w:ind w:firstLine="0" w:firstLineChars="0"/>
              <w:jc w:val="center"/>
              <w:textAlignment w:val="center"/>
              <w:rPr>
                <w:rFonts w:hint="default"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37.8</w:t>
            </w:r>
          </w:p>
        </w:tc>
      </w:tr>
    </w:tbl>
    <w:p>
      <w:pPr>
        <w:pStyle w:val="3"/>
        <w:bidi w:val="0"/>
        <w:rPr>
          <w:rFonts w:hint="default" w:ascii="Times New Roman" w:hAnsi="Times New Roman" w:eastAsia="仿宋_GB2312" w:cs="Times New Roman"/>
          <w:color w:val="auto"/>
        </w:rPr>
      </w:pPr>
      <w:bookmarkStart w:id="31" w:name="bookmark14"/>
      <w:bookmarkEnd w:id="31"/>
      <w:bookmarkStart w:id="32" w:name="_Toc10039"/>
      <w:r>
        <w:rPr>
          <w:rFonts w:hint="default" w:ascii="Times New Roman" w:hAnsi="Times New Roman" w:eastAsia="仿宋_GB2312" w:cs="Times New Roman"/>
          <w:color w:val="auto"/>
        </w:rPr>
        <w:t>2.3 工程建设内容及规模核查</w:t>
      </w:r>
      <w:bookmarkEnd w:id="3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2.3.1 主要技术指标核查</w:t>
      </w:r>
    </w:p>
    <w:p>
      <w:pPr>
        <w:bidi w:val="0"/>
        <w:rPr>
          <w:rFonts w:hint="default" w:ascii="Times New Roman" w:hAnsi="Times New Roman" w:eastAsia="仿宋_GB2312" w:cs="Times New Roman"/>
          <w:color w:val="auto"/>
          <w:szCs w:val="24"/>
        </w:rPr>
      </w:pPr>
      <w:r>
        <w:rPr>
          <w:rFonts w:hint="default" w:ascii="Times New Roman" w:hAnsi="Times New Roman" w:eastAsia="仿宋_GB2312" w:cs="Times New Roman"/>
          <w:color w:val="auto"/>
        </w:rPr>
        <w:t>环评及实际工程技术指标对比情况见表2.3-1，经比较，各项技术指标较环评阶段无变化。</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表2.3-1主要技术指标对照表</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3"/>
        <w:gridCol w:w="1529"/>
        <w:gridCol w:w="1401"/>
        <w:gridCol w:w="2320"/>
        <w:gridCol w:w="2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序号</w:t>
            </w:r>
          </w:p>
        </w:tc>
        <w:tc>
          <w:tcPr>
            <w:tcW w:w="920"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指标名称</w:t>
            </w:r>
          </w:p>
        </w:tc>
        <w:tc>
          <w:tcPr>
            <w:tcW w:w="843"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单位</w:t>
            </w:r>
          </w:p>
        </w:tc>
        <w:tc>
          <w:tcPr>
            <w:tcW w:w="2794" w:type="pct"/>
            <w:gridSpan w:val="2"/>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主线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920"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843"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环评报告</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工程实际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修建标准</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新建双向 </w:t>
            </w:r>
            <w:r>
              <w:rPr>
                <w:rFonts w:hint="eastAsia" w:cs="Times New Roman"/>
                <w:color w:val="auto"/>
                <w:lang w:val="en-US" w:eastAsia="zh-CN"/>
              </w:rPr>
              <w:t>6</w:t>
            </w:r>
            <w:r>
              <w:rPr>
                <w:rFonts w:hint="default" w:ascii="Times New Roman" w:hAnsi="Times New Roman" w:eastAsia="仿宋_GB2312" w:cs="Times New Roman"/>
                <w:color w:val="auto"/>
              </w:rPr>
              <w:t>车道公路</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eastAsia" w:cs="Times New Roman"/>
                <w:color w:val="auto"/>
                <w:lang w:val="en-US" w:eastAsia="zh-CN"/>
              </w:rPr>
              <w:t>红线</w:t>
            </w:r>
            <w:r>
              <w:rPr>
                <w:rFonts w:hint="default" w:ascii="Times New Roman" w:hAnsi="Times New Roman" w:eastAsia="仿宋_GB2312" w:cs="Times New Roman"/>
                <w:color w:val="auto"/>
              </w:rPr>
              <w:t>宽度</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m</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60</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设计行车速度</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km/h</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50</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桥涵设计载荷</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val="en-US" w:eastAsia="zh-CN"/>
              </w:rPr>
              <w:t>城市次干道</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2.3.2 工程量核查</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全线主要工程数量与环评阶段工程量对比情况见表2.3-2。</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表2.3-2主要工程数量一览表</w:t>
      </w:r>
    </w:p>
    <w:tbl>
      <w:tblPr>
        <w:tblStyle w:val="13"/>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5"/>
        <w:gridCol w:w="1875"/>
        <w:gridCol w:w="1045"/>
        <w:gridCol w:w="1320"/>
        <w:gridCol w:w="1769"/>
        <w:gridCol w:w="1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工程项目</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单位</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环评数量</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实际工程量</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公路等级</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城市次干道</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城市次干道</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设计速度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km/h</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50</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50</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eastAsia" w:cs="Times New Roman"/>
                <w:color w:val="auto"/>
                <w:lang w:val="en-US" w:eastAsia="zh-CN"/>
              </w:rPr>
              <w:t>红线</w:t>
            </w:r>
            <w:r>
              <w:rPr>
                <w:rFonts w:hint="default" w:ascii="Times New Roman" w:hAnsi="Times New Roman" w:eastAsia="仿宋_GB2312" w:cs="Times New Roman"/>
                <w:color w:val="auto"/>
                <w:sz w:val="21"/>
                <w:szCs w:val="21"/>
              </w:rPr>
              <w:t>宽度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60</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60</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新建路线长度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639.694</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639.694</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5</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行车道宽度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pacing w:val="-2"/>
                <w:sz w:val="21"/>
                <w:szCs w:val="21"/>
                <w:lang w:val="en-US" w:eastAsia="zh-CN"/>
              </w:rPr>
              <w:t>6</w:t>
            </w:r>
            <w:r>
              <w:rPr>
                <w:rFonts w:hint="default" w:ascii="Times New Roman" w:hAnsi="Times New Roman" w:eastAsia="仿宋_GB2312" w:cs="Times New Roman"/>
                <w:color w:val="auto"/>
                <w:spacing w:val="-2"/>
                <w:sz w:val="21"/>
                <w:szCs w:val="21"/>
              </w:rPr>
              <w:t>×3.5</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pacing w:val="-2"/>
                <w:sz w:val="21"/>
                <w:szCs w:val="21"/>
                <w:lang w:val="en-US" w:eastAsia="zh-CN"/>
              </w:rPr>
              <w:t>6</w:t>
            </w:r>
            <w:r>
              <w:rPr>
                <w:rFonts w:hint="default" w:ascii="Times New Roman" w:hAnsi="Times New Roman" w:eastAsia="仿宋_GB2312" w:cs="Times New Roman"/>
                <w:color w:val="auto"/>
                <w:spacing w:val="-2"/>
                <w:sz w:val="21"/>
                <w:szCs w:val="21"/>
              </w:rPr>
              <w:t>×3.5</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bl>
    <w:p>
      <w:pPr>
        <w:pStyle w:val="3"/>
        <w:bidi w:val="0"/>
        <w:rPr>
          <w:rFonts w:hint="default" w:ascii="Times New Roman" w:hAnsi="Times New Roman" w:eastAsia="仿宋_GB2312" w:cs="Times New Roman"/>
          <w:color w:val="auto"/>
        </w:rPr>
      </w:pPr>
      <w:bookmarkStart w:id="33" w:name="bookmark15"/>
      <w:bookmarkEnd w:id="33"/>
      <w:bookmarkStart w:id="34" w:name="_Toc8782"/>
      <w:r>
        <w:rPr>
          <w:rFonts w:hint="default" w:ascii="Times New Roman" w:hAnsi="Times New Roman" w:eastAsia="仿宋_GB2312" w:cs="Times New Roman"/>
          <w:color w:val="auto"/>
        </w:rPr>
        <w:t>2.4 工程变动情况</w:t>
      </w:r>
      <w:bookmarkEnd w:id="34"/>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在本次竣工环保验收调查过程中，工程主要技术指标及工程数量与环评阶段相比</w:t>
      </w:r>
      <w:r>
        <w:rPr>
          <w:rFonts w:hint="default" w:ascii="Times New Roman" w:hAnsi="Times New Roman" w:eastAsia="仿宋_GB2312" w:cs="Times New Roman"/>
          <w:color w:val="auto"/>
          <w:sz w:val="24"/>
          <w:lang w:val="en-US" w:eastAsia="zh-CN"/>
        </w:rPr>
        <w:t>无变化</w:t>
      </w:r>
      <w:r>
        <w:rPr>
          <w:rFonts w:hint="default" w:ascii="Times New Roman" w:hAnsi="Times New Roman" w:eastAsia="仿宋_GB2312" w:cs="Times New Roman"/>
          <w:color w:val="auto"/>
          <w:sz w:val="24"/>
        </w:rPr>
        <w:t>。本项目较环评阶段未发生重大变动，不需重新报批环境影响评价文件，可纳入竣工环境保护验收管理。</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表2.4-1工程变动情况对照一览表</w:t>
      </w:r>
    </w:p>
    <w:tbl>
      <w:tblPr>
        <w:tblStyle w:val="1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22"/>
        <w:gridCol w:w="2276"/>
        <w:gridCol w:w="1710"/>
        <w:gridCol w:w="1757"/>
        <w:gridCol w:w="1056"/>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1675" w:type="pct"/>
            <w:gridSpan w:val="2"/>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对照内容</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环评阶段情况</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实际建设情况</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变化情况</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是否属于重大变动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性质</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项目主要功能、性质发 生变化</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r>
              <w:rPr>
                <w:rFonts w:hint="eastAsia" w:cs="Times New Roman"/>
                <w:color w:val="auto"/>
                <w:sz w:val="21"/>
                <w:szCs w:val="21"/>
                <w:lang w:eastAsia="zh-CN"/>
              </w:rPr>
              <w:t>同江路道路</w:t>
            </w:r>
            <w:r>
              <w:rPr>
                <w:rFonts w:hint="default" w:ascii="Times New Roman" w:hAnsi="Times New Roman" w:eastAsia="仿宋_GB2312" w:cs="Times New Roman"/>
                <w:color w:val="auto"/>
                <w:sz w:val="21"/>
                <w:szCs w:val="21"/>
              </w:rPr>
              <w:t>工程</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r>
              <w:rPr>
                <w:rFonts w:hint="eastAsia" w:cs="Times New Roman"/>
                <w:color w:val="auto"/>
                <w:sz w:val="21"/>
                <w:szCs w:val="21"/>
                <w:lang w:eastAsia="zh-CN"/>
              </w:rPr>
              <w:t>同江路道路</w:t>
            </w:r>
            <w:r>
              <w:rPr>
                <w:rFonts w:hint="default" w:ascii="Times New Roman" w:hAnsi="Times New Roman" w:eastAsia="仿宋_GB2312" w:cs="Times New Roman"/>
                <w:color w:val="auto"/>
                <w:sz w:val="21"/>
                <w:szCs w:val="21"/>
              </w:rPr>
              <w:t>工程</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规模</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主线长度增加 30%及以 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w:t>
            </w:r>
            <w:r>
              <w:rPr>
                <w:rFonts w:hint="eastAsia" w:cs="Times New Roman"/>
                <w:color w:val="auto"/>
                <w:sz w:val="21"/>
                <w:szCs w:val="21"/>
                <w:lang w:eastAsia="zh-CN"/>
              </w:rPr>
              <w:t>639.694</w:t>
            </w:r>
            <w:r>
              <w:rPr>
                <w:rFonts w:hint="default" w:ascii="Times New Roman" w:hAnsi="Times New Roman" w:eastAsia="仿宋_GB2312" w:cs="Times New Roman"/>
                <w:color w:val="auto"/>
                <w:sz w:val="21"/>
                <w:szCs w:val="21"/>
              </w:rPr>
              <w:t>m</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新建道路</w:t>
            </w:r>
            <w:r>
              <w:rPr>
                <w:rFonts w:hint="eastAsia" w:cs="Times New Roman"/>
                <w:color w:val="auto"/>
                <w:sz w:val="21"/>
                <w:szCs w:val="21"/>
                <w:lang w:val="en-US" w:eastAsia="zh-CN"/>
              </w:rPr>
              <w:t>639.694</w:t>
            </w:r>
            <w:r>
              <w:rPr>
                <w:rFonts w:hint="default" w:ascii="Times New Roman" w:hAnsi="Times New Roman" w:eastAsia="仿宋_GB2312" w:cs="Times New Roman"/>
                <w:color w:val="auto"/>
                <w:sz w:val="21"/>
                <w:szCs w:val="21"/>
              </w:rPr>
              <w:t>m</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设计运营能力增加30% 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环评阶段预计202</w:t>
            </w:r>
            <w:r>
              <w:rPr>
                <w:rFonts w:hint="eastAsia" w:cs="Times New Roman"/>
                <w:color w:val="auto"/>
                <w:sz w:val="21"/>
                <w:szCs w:val="21"/>
                <w:lang w:val="en-US" w:eastAsia="zh-CN"/>
              </w:rPr>
              <w:t>5</w:t>
            </w:r>
            <w:r>
              <w:rPr>
                <w:rFonts w:hint="default" w:ascii="Times New Roman" w:hAnsi="Times New Roman" w:eastAsia="仿宋_GB2312" w:cs="Times New Roman"/>
                <w:color w:val="auto"/>
                <w:sz w:val="21"/>
                <w:szCs w:val="21"/>
              </w:rPr>
              <w:t xml:space="preserve"> 年交通量为</w:t>
            </w:r>
            <w:r>
              <w:rPr>
                <w:rFonts w:hint="eastAsia" w:cs="Times New Roman"/>
                <w:color w:val="auto"/>
                <w:sz w:val="21"/>
                <w:szCs w:val="21"/>
                <w:lang w:val="en-US" w:eastAsia="zh-CN"/>
              </w:rPr>
              <w:t>47562</w:t>
            </w:r>
            <w:r>
              <w:rPr>
                <w:rFonts w:hint="default" w:ascii="Times New Roman" w:hAnsi="Times New Roman" w:eastAsia="仿宋_GB2312" w:cs="Times New Roman"/>
                <w:color w:val="auto"/>
                <w:sz w:val="21"/>
                <w:szCs w:val="21"/>
              </w:rPr>
              <w:t>pcu/d，203</w:t>
            </w:r>
            <w:r>
              <w:rPr>
                <w:rFonts w:hint="eastAsia" w:cs="Times New Roman"/>
                <w:color w:val="auto"/>
                <w:sz w:val="21"/>
                <w:szCs w:val="21"/>
                <w:lang w:val="en-US" w:eastAsia="zh-CN"/>
              </w:rPr>
              <w:t>3</w:t>
            </w:r>
            <w:r>
              <w:rPr>
                <w:rFonts w:hint="default" w:ascii="Times New Roman" w:hAnsi="Times New Roman" w:eastAsia="仿宋_GB2312" w:cs="Times New Roman"/>
                <w:color w:val="auto"/>
                <w:sz w:val="21"/>
                <w:szCs w:val="21"/>
              </w:rPr>
              <w:t xml:space="preserve">年交通量为 </w:t>
            </w:r>
            <w:r>
              <w:rPr>
                <w:rFonts w:hint="eastAsia" w:cs="Times New Roman"/>
                <w:color w:val="auto"/>
                <w:sz w:val="21"/>
                <w:szCs w:val="21"/>
                <w:lang w:val="en-US" w:eastAsia="zh-CN"/>
              </w:rPr>
              <w:t>58161</w:t>
            </w:r>
            <w:r>
              <w:rPr>
                <w:rFonts w:hint="default" w:ascii="Times New Roman" w:hAnsi="Times New Roman" w:eastAsia="仿宋_GB2312" w:cs="Times New Roman"/>
                <w:color w:val="auto"/>
                <w:sz w:val="21"/>
                <w:szCs w:val="21"/>
              </w:rPr>
              <w:t>pcu/d</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验收阶段监测交通量</w:t>
            </w:r>
            <w:r>
              <w:rPr>
                <w:rFonts w:hint="eastAsia" w:cs="Times New Roman"/>
                <w:color w:val="auto"/>
                <w:sz w:val="21"/>
                <w:szCs w:val="21"/>
                <w:highlight w:val="none"/>
                <w:lang w:val="en-US" w:eastAsia="zh-CN"/>
              </w:rPr>
              <w:t>950</w:t>
            </w:r>
            <w:r>
              <w:rPr>
                <w:rFonts w:hint="default" w:ascii="Times New Roman" w:hAnsi="Times New Roman" w:eastAsia="仿宋_GB2312" w:cs="Times New Roman"/>
                <w:color w:val="auto"/>
                <w:sz w:val="21"/>
                <w:szCs w:val="21"/>
                <w:highlight w:val="none"/>
              </w:rPr>
              <w:t>pcu/d</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验收阶段交通量占202</w:t>
            </w:r>
            <w:r>
              <w:rPr>
                <w:rFonts w:hint="eastAsia" w:cs="Times New Roman"/>
                <w:color w:val="auto"/>
                <w:sz w:val="21"/>
                <w:szCs w:val="21"/>
                <w:highlight w:val="none"/>
                <w:lang w:val="en-US" w:eastAsia="zh-CN"/>
              </w:rPr>
              <w:t>5</w:t>
            </w:r>
            <w:r>
              <w:rPr>
                <w:rFonts w:hint="default" w:ascii="Times New Roman" w:hAnsi="Times New Roman" w:eastAsia="仿宋_GB2312" w:cs="Times New Roman"/>
                <w:color w:val="auto"/>
                <w:sz w:val="21"/>
                <w:szCs w:val="21"/>
                <w:highlight w:val="none"/>
              </w:rPr>
              <w:t>年交通量的</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highlight w:val="none"/>
                <w:lang w:val="en-US" w:eastAsia="zh-CN"/>
              </w:rPr>
            </w:pPr>
            <w:r>
              <w:rPr>
                <w:rFonts w:hint="eastAsia" w:cs="Times New Roman"/>
                <w:color w:val="auto"/>
                <w:sz w:val="21"/>
                <w:szCs w:val="21"/>
                <w:highlight w:val="none"/>
                <w:lang w:val="en-US" w:eastAsia="zh-CN"/>
              </w:rPr>
              <w:t>2</w:t>
            </w:r>
            <w:r>
              <w:rPr>
                <w:rFonts w:hint="default" w:ascii="Times New Roman" w:hAnsi="Times New Roman" w:eastAsia="仿宋_GB2312" w:cs="Times New Roman"/>
                <w:color w:val="auto"/>
                <w:sz w:val="21"/>
                <w:szCs w:val="21"/>
                <w:highlight w:val="none"/>
                <w:lang w:val="en-US" w:eastAsia="zh-CN"/>
              </w:rPr>
              <w:t>%</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总占地面积（含陆域面积、水域面积等）增加30%及以上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本项目永久占地</w:t>
            </w:r>
            <w:r>
              <w:rPr>
                <w:rFonts w:hint="eastAsia" w:cs="Times New Roman"/>
                <w:color w:val="auto"/>
                <w:sz w:val="21"/>
                <w:szCs w:val="21"/>
                <w:lang w:val="en-US" w:eastAsia="zh-CN"/>
              </w:rPr>
              <w:t>21835.92</w:t>
            </w:r>
            <w:r>
              <w:rPr>
                <w:rFonts w:hint="default" w:ascii="Times New Roman" w:hAnsi="Times New Roman" w:eastAsia="仿宋_GB2312" w:cs="Times New Roman"/>
                <w:color w:val="auto"/>
                <w:sz w:val="21"/>
                <w:szCs w:val="21"/>
              </w:rPr>
              <w:t>m²</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本项目永久占地</w:t>
            </w:r>
            <w:r>
              <w:rPr>
                <w:rFonts w:hint="eastAsia" w:cs="Times New Roman"/>
                <w:color w:val="auto"/>
                <w:sz w:val="21"/>
                <w:szCs w:val="21"/>
                <w:lang w:val="en-US" w:eastAsia="zh-CN"/>
              </w:rPr>
              <w:t>21835.92</w:t>
            </w:r>
            <w:r>
              <w:rPr>
                <w:rFonts w:hint="default" w:ascii="Times New Roman" w:hAnsi="Times New Roman" w:eastAsia="仿宋_GB2312" w:cs="Times New Roman"/>
                <w:color w:val="auto"/>
                <w:sz w:val="21"/>
                <w:szCs w:val="21"/>
              </w:rPr>
              <w:t>m²</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地点</w:t>
            </w: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项目重新选址</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项目位于哈尔滨市</w:t>
            </w:r>
            <w:r>
              <w:rPr>
                <w:rFonts w:hint="eastAsia" w:cs="Times New Roman"/>
                <w:color w:val="auto"/>
                <w:sz w:val="21"/>
                <w:szCs w:val="21"/>
                <w:lang w:val="en-US" w:eastAsia="zh-CN"/>
              </w:rPr>
              <w:t>香坊区</w:t>
            </w:r>
            <w:r>
              <w:rPr>
                <w:rFonts w:hint="default" w:ascii="Times New Roman" w:hAnsi="Times New Roman" w:eastAsia="仿宋_GB2312" w:cs="Times New Roman"/>
                <w:color w:val="auto"/>
                <w:sz w:val="21"/>
                <w:szCs w:val="21"/>
                <w:lang w:val="en-US" w:eastAsia="en-US"/>
              </w:rPr>
              <w:t>，</w:t>
            </w:r>
            <w:r>
              <w:rPr>
                <w:rFonts w:hint="eastAsia" w:cs="Times New Roman"/>
                <w:color w:val="auto"/>
                <w:lang w:val="en-US" w:eastAsia="zh-CN"/>
              </w:rPr>
              <w:t>起点为规划长寿路，终点为征仪路</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项目位于哈尔滨市</w:t>
            </w:r>
            <w:r>
              <w:rPr>
                <w:rFonts w:hint="eastAsia" w:cs="Times New Roman"/>
                <w:color w:val="auto"/>
                <w:sz w:val="21"/>
                <w:szCs w:val="21"/>
                <w:lang w:val="en-US" w:eastAsia="zh-CN"/>
              </w:rPr>
              <w:t>香坊区</w:t>
            </w:r>
            <w:r>
              <w:rPr>
                <w:rFonts w:hint="default" w:ascii="Times New Roman" w:hAnsi="Times New Roman" w:eastAsia="仿宋_GB2312" w:cs="Times New Roman"/>
                <w:color w:val="auto"/>
                <w:sz w:val="21"/>
                <w:szCs w:val="21"/>
                <w:lang w:val="en-US" w:eastAsia="en-US"/>
              </w:rPr>
              <w:t>，</w:t>
            </w:r>
            <w:r>
              <w:rPr>
                <w:rFonts w:hint="eastAsia" w:cs="Times New Roman"/>
                <w:color w:val="auto"/>
                <w:lang w:val="en-US" w:eastAsia="zh-CN"/>
              </w:rPr>
              <w:t>工程起点为规划长寿路，终点为征仪路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项目总平面布置或者主要装置设施发生变化导</w:t>
            </w:r>
            <w:r>
              <w:rPr>
                <w:rFonts w:hint="default" w:ascii="Times New Roman" w:hAnsi="Times New Roman" w:eastAsia="仿宋_GB2312" w:cs="Times New Roman"/>
                <w:color w:val="auto"/>
                <w:sz w:val="21"/>
                <w:szCs w:val="21"/>
              </w:rPr>
              <w:t>致不利环境影响或者环 境风险明显增加</w:t>
            </w:r>
          </w:p>
        </w:tc>
        <w:tc>
          <w:tcPr>
            <w:tcW w:w="102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sz w:val="21"/>
                <w:szCs w:val="21"/>
                <w:lang w:val="en-US" w:eastAsia="zh-CN"/>
              </w:rPr>
              <w:t>3m绿化带+4m人行道+1.5m设施带+4m非机动车道+11m机动车道+13m中央分隔带+1m机动车道+4m非机动车道+1.5m设施带+4m人行道+3m绿化带</w:t>
            </w:r>
          </w:p>
        </w:tc>
        <w:tc>
          <w:tcPr>
            <w:tcW w:w="1052"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en-US"/>
              </w:rPr>
            </w:pPr>
            <w:r>
              <w:rPr>
                <w:rFonts w:hint="eastAsia" w:cs="Times New Roman"/>
                <w:color w:val="auto"/>
                <w:sz w:val="21"/>
                <w:szCs w:val="21"/>
                <w:lang w:val="en-US" w:eastAsia="zh-CN"/>
              </w:rPr>
              <w:t>3m绿化带+4m人行道+1.5m设施带+4m非机动车道+11m机动车道+13m中央分隔带+1m机动车道+4m非机动车道+1.5m设施带+4m人行道+3m绿化带</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线路横向位移超过200米的长度累计达到原线路长度的30%及以上，或者线位走向发生调整（包括线路配套设施如阀室、场站等建设地址发生调整）导致新增的大气、振动或者声环境敏感目标超过原数量的30%及以上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eastAsia" w:cs="Times New Roman"/>
                <w:color w:val="auto"/>
                <w:lang w:val="en-US" w:eastAsia="zh-CN"/>
              </w:rPr>
              <w:t>起点为规划长寿路，终点为征仪路</w:t>
            </w:r>
          </w:p>
        </w:tc>
        <w:tc>
          <w:tcPr>
            <w:tcW w:w="1052"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eastAsia" w:cs="Times New Roman"/>
                <w:color w:val="auto"/>
                <w:lang w:val="en-US" w:eastAsia="zh-CN"/>
              </w:rPr>
              <w:t>起点为规划长寿路，终点为征仪路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位置或者管线调整，导致占用新的环境敏感区；在现有环境敏感区内位置或者管线发生变动，导致不利环境影响或者环境风险明显增加；位置或者管线调整，导致对评价范围内环境敏感区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Times New Roman" w:hAnsi="Times New Roman" w:eastAsia="仿宋_GB2312" w:cs="Times New Roman"/>
                <w:color w:val="auto"/>
                <w:sz w:val="21"/>
                <w:szCs w:val="21"/>
                <w:lang w:eastAsia="zh-CN"/>
              </w:rPr>
            </w:pPr>
            <w:r>
              <w:rPr>
                <w:rFonts w:hint="eastAsia" w:cs="Times New Roman"/>
                <w:color w:val="auto"/>
                <w:sz w:val="21"/>
                <w:szCs w:val="21"/>
                <w:lang w:val="en-US" w:eastAsia="zh-CN"/>
              </w:rPr>
              <w:t>起点为规划长寿路，终点为征仪路</w:t>
            </w:r>
          </w:p>
        </w:tc>
        <w:tc>
          <w:tcPr>
            <w:tcW w:w="1052"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eastAsia" w:ascii="Times New Roman" w:hAnsi="Times New Roman" w:eastAsia="仿宋_GB2312" w:cs="Times New Roman"/>
                <w:color w:val="auto"/>
                <w:sz w:val="21"/>
                <w:szCs w:val="21"/>
                <w:lang w:eastAsia="zh-CN"/>
              </w:rPr>
            </w:pPr>
            <w:r>
              <w:rPr>
                <w:rFonts w:hint="eastAsia" w:cs="Times New Roman"/>
                <w:color w:val="auto"/>
                <w:sz w:val="21"/>
                <w:szCs w:val="21"/>
                <w:lang w:val="en-US" w:eastAsia="zh-CN"/>
              </w:rPr>
              <w:t>起点为规划长寿路，终点为征仪路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rPr>
              <w:t>生产 工艺</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kern w:val="21"/>
                <w:sz w:val="21"/>
                <w:szCs w:val="21"/>
                <w:lang w:val="en-US" w:eastAsia="en-US"/>
              </w:rPr>
            </w:pPr>
            <w:r>
              <w:rPr>
                <w:rFonts w:hint="default" w:ascii="Times New Roman" w:hAnsi="Times New Roman" w:eastAsia="仿宋_GB2312" w:cs="Times New Roman"/>
                <w:color w:val="auto"/>
                <w:kern w:val="21"/>
                <w:sz w:val="21"/>
                <w:szCs w:val="21"/>
                <w:lang w:val="en-US" w:eastAsia="en-US"/>
              </w:rPr>
              <w:t>工艺施工、运营方案发生变化，导致对自然保护区、风景名胜区、一级和二级饮用水水源保护区等环境敏感区的不利环境影响或者环境风险明显增加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不涉及敏感区</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不涉及敏感区</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rPr>
              <w:t>环境 保护 措施</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kern w:val="21"/>
                <w:sz w:val="21"/>
                <w:szCs w:val="21"/>
                <w:lang w:val="en-US" w:eastAsia="en-US"/>
              </w:rPr>
            </w:pPr>
            <w:r>
              <w:rPr>
                <w:rFonts w:hint="default" w:ascii="Times New Roman" w:hAnsi="Times New Roman" w:eastAsia="仿宋_GB2312" w:cs="Times New Roman"/>
                <w:color w:val="auto"/>
                <w:kern w:val="21"/>
                <w:sz w:val="21"/>
                <w:szCs w:val="21"/>
              </w:rPr>
              <w:t>环境保护措施施工期或者运营期主要生态保护措施、环境污染防治措施调整，导致不利环境影响或者环境风险明显增加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环评中针对施工期、运营期环境问题提出来一系列的环保措</w:t>
            </w:r>
            <w:r>
              <w:rPr>
                <w:rFonts w:hint="default" w:ascii="Times New Roman" w:hAnsi="Times New Roman" w:eastAsia="仿宋_GB2312" w:cs="Times New Roman"/>
                <w:color w:val="auto"/>
                <w:sz w:val="21"/>
                <w:szCs w:val="21"/>
              </w:rPr>
              <w:t>施</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按照环评的环保措施实行，不增加环境风险</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bl>
    <w:p>
      <w:pPr>
        <w:pStyle w:val="3"/>
        <w:bidi w:val="0"/>
        <w:rPr>
          <w:rFonts w:hint="default" w:ascii="Times New Roman" w:hAnsi="Times New Roman" w:eastAsia="仿宋_GB2312" w:cs="Times New Roman"/>
          <w:color w:val="auto"/>
        </w:rPr>
      </w:pPr>
      <w:bookmarkStart w:id="35" w:name="bookmark16"/>
      <w:bookmarkEnd w:id="35"/>
      <w:bookmarkStart w:id="36" w:name="_Toc8335"/>
      <w:r>
        <w:rPr>
          <w:rFonts w:hint="default" w:ascii="Times New Roman" w:hAnsi="Times New Roman" w:eastAsia="仿宋_GB2312" w:cs="Times New Roman"/>
          <w:color w:val="auto"/>
        </w:rPr>
        <w:t>2.5 交通量调查</w:t>
      </w:r>
      <w:bookmarkEnd w:id="36"/>
    </w:p>
    <w:p>
      <w:pPr>
        <w:pStyle w:val="4"/>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2.5.1 环评阶段预测交通量</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根据本项目环境影响报告书，项目各特征年平均交通量见表2.5-1。</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表2.5-1本项目预测交通量（单位：pcu/d）</w:t>
      </w:r>
    </w:p>
    <w:tbl>
      <w:tblPr>
        <w:tblStyle w:val="13"/>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94"/>
        <w:gridCol w:w="2172"/>
        <w:gridCol w:w="1923"/>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路段/交通量</w:t>
            </w:r>
          </w:p>
        </w:tc>
        <w:tc>
          <w:tcPr>
            <w:tcW w:w="130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eastAsia" w:cs="Times New Roman"/>
                <w:color w:val="auto"/>
                <w:lang w:val="en-US" w:eastAsia="zh-CN"/>
              </w:rPr>
              <w:t>9</w:t>
            </w:r>
            <w:r>
              <w:rPr>
                <w:rFonts w:hint="default" w:ascii="Times New Roman" w:hAnsi="Times New Roman" w:eastAsia="仿宋_GB2312" w:cs="Times New Roman"/>
                <w:color w:val="auto"/>
              </w:rPr>
              <w:t>年</w:t>
            </w:r>
          </w:p>
        </w:tc>
        <w:tc>
          <w:tcPr>
            <w:tcW w:w="11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w:t>
            </w:r>
            <w:r>
              <w:rPr>
                <w:rFonts w:hint="eastAsia" w:cs="Times New Roman"/>
                <w:color w:val="auto"/>
                <w:lang w:val="en-US" w:eastAsia="zh-CN"/>
              </w:rPr>
              <w:t>5</w:t>
            </w:r>
            <w:r>
              <w:rPr>
                <w:rFonts w:hint="default" w:ascii="Times New Roman" w:hAnsi="Times New Roman" w:eastAsia="仿宋_GB2312" w:cs="Times New Roman"/>
                <w:color w:val="auto"/>
              </w:rPr>
              <w:t>年</w:t>
            </w:r>
          </w:p>
        </w:tc>
        <w:tc>
          <w:tcPr>
            <w:tcW w:w="92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w:t>
            </w:r>
            <w:r>
              <w:rPr>
                <w:rFonts w:hint="eastAsia" w:cs="Times New Roman"/>
                <w:color w:val="auto"/>
                <w:lang w:val="en-US" w:eastAsia="zh-CN"/>
              </w:rPr>
              <w:t>3</w:t>
            </w:r>
            <w:r>
              <w:rPr>
                <w:rFonts w:hint="default" w:ascii="Times New Roman" w:hAnsi="Times New Roman" w:eastAsia="仿宋_GB2312" w:cs="Times New Roman"/>
                <w:color w:val="auto"/>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130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35261</w:t>
            </w:r>
          </w:p>
        </w:tc>
        <w:tc>
          <w:tcPr>
            <w:tcW w:w="11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47526</w:t>
            </w:r>
          </w:p>
        </w:tc>
        <w:tc>
          <w:tcPr>
            <w:tcW w:w="92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eastAsia" w:cs="Times New Roman"/>
                <w:color w:val="auto"/>
                <w:lang w:val="en-US" w:eastAsia="zh-CN"/>
              </w:rPr>
              <w:t>58161</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2.5-2 </w:t>
      </w:r>
      <w:r>
        <w:rPr>
          <w:rFonts w:hint="default" w:ascii="Times New Roman" w:hAnsi="Times New Roman" w:eastAsia="仿宋_GB2312" w:cs="Times New Roman"/>
          <w:color w:val="auto"/>
        </w:rPr>
        <w:t>预测车型比</w:t>
      </w:r>
    </w:p>
    <w:p>
      <w:pPr>
        <w:spacing w:line="34" w:lineRule="exact"/>
        <w:rPr>
          <w:rFonts w:hint="default" w:ascii="Times New Roman" w:hAnsi="Times New Roman" w:eastAsia="仿宋_GB2312" w:cs="Times New Roman"/>
          <w:color w:val="auto"/>
        </w:rPr>
      </w:pP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73"/>
        <w:gridCol w:w="1843"/>
        <w:gridCol w:w="1815"/>
        <w:gridCol w:w="1805"/>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车型</w:t>
            </w:r>
          </w:p>
        </w:tc>
        <w:tc>
          <w:tcPr>
            <w:tcW w:w="1109"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大型车</w:t>
            </w:r>
          </w:p>
        </w:tc>
        <w:tc>
          <w:tcPr>
            <w:tcW w:w="1092"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中型车</w:t>
            </w:r>
          </w:p>
        </w:tc>
        <w:tc>
          <w:tcPr>
            <w:tcW w:w="108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小型车</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2019年</w:t>
            </w:r>
          </w:p>
        </w:tc>
        <w:tc>
          <w:tcPr>
            <w:tcW w:w="1109" w:type="pct"/>
            <w:vAlign w:val="center"/>
          </w:tcPr>
          <w:p>
            <w:pPr>
              <w:pStyle w:val="17"/>
              <w:bidi w:val="0"/>
              <w:jc w:val="center"/>
              <w:rPr>
                <w:rFonts w:hint="default" w:ascii="Times New Roman" w:hAnsi="Times New Roman" w:eastAsia="仿宋_GB2312" w:cs="Times New Roman"/>
                <w:color w:val="auto"/>
              </w:rPr>
            </w:pPr>
            <w:r>
              <w:rPr>
                <w:rFonts w:hint="eastAsia" w:cs="Times New Roman"/>
                <w:color w:val="auto"/>
                <w:lang w:val="en-US" w:eastAsia="zh-CN"/>
              </w:rPr>
              <w:t>14.95</w:t>
            </w:r>
            <w:r>
              <w:rPr>
                <w:rFonts w:hint="default" w:ascii="Times New Roman" w:hAnsi="Times New Roman" w:eastAsia="仿宋_GB2312" w:cs="Times New Roman"/>
                <w:color w:val="auto"/>
              </w:rPr>
              <w:t>%</w:t>
            </w:r>
          </w:p>
        </w:tc>
        <w:tc>
          <w:tcPr>
            <w:tcW w:w="1092" w:type="pct"/>
            <w:vAlign w:val="center"/>
          </w:tcPr>
          <w:p>
            <w:pPr>
              <w:pStyle w:val="17"/>
              <w:bidi w:val="0"/>
              <w:jc w:val="center"/>
              <w:rPr>
                <w:rFonts w:hint="default" w:ascii="Times New Roman" w:hAnsi="Times New Roman" w:eastAsia="仿宋_GB2312" w:cs="Times New Roman"/>
                <w:color w:val="auto"/>
              </w:rPr>
            </w:pPr>
            <w:r>
              <w:rPr>
                <w:rFonts w:hint="eastAsia" w:cs="Times New Roman"/>
                <w:color w:val="auto"/>
                <w:lang w:val="en-US" w:eastAsia="zh-CN"/>
              </w:rPr>
              <w:t>14.76</w:t>
            </w:r>
            <w:r>
              <w:rPr>
                <w:rFonts w:hint="default" w:ascii="Times New Roman" w:hAnsi="Times New Roman" w:eastAsia="仿宋_GB2312" w:cs="Times New Roman"/>
                <w:color w:val="auto"/>
              </w:rPr>
              <w:t>%</w:t>
            </w:r>
          </w:p>
        </w:tc>
        <w:tc>
          <w:tcPr>
            <w:tcW w:w="1086" w:type="pct"/>
            <w:vAlign w:val="center"/>
          </w:tcPr>
          <w:p>
            <w:pPr>
              <w:pStyle w:val="17"/>
              <w:bidi w:val="0"/>
              <w:jc w:val="center"/>
              <w:rPr>
                <w:rFonts w:hint="default" w:ascii="Times New Roman" w:hAnsi="Times New Roman" w:eastAsia="仿宋_GB2312" w:cs="Times New Roman"/>
                <w:color w:val="auto"/>
              </w:rPr>
            </w:pPr>
            <w:r>
              <w:rPr>
                <w:rFonts w:hint="eastAsia" w:cs="Times New Roman"/>
                <w:color w:val="auto"/>
                <w:lang w:val="en-US" w:eastAsia="zh-CN"/>
              </w:rPr>
              <w:t>70.29</w:t>
            </w:r>
            <w:r>
              <w:rPr>
                <w:rFonts w:hint="default" w:ascii="Times New Roman" w:hAnsi="Times New Roman" w:eastAsia="仿宋_GB2312" w:cs="Times New Roman"/>
                <w:color w:val="auto"/>
              </w:rPr>
              <w:t>%</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2025年</w:t>
            </w:r>
          </w:p>
        </w:tc>
        <w:tc>
          <w:tcPr>
            <w:tcW w:w="1109"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13.62</w:t>
            </w:r>
            <w:r>
              <w:rPr>
                <w:rFonts w:hint="default" w:ascii="Times New Roman" w:hAnsi="Times New Roman" w:eastAsia="仿宋_GB2312" w:cs="Times New Roman"/>
                <w:color w:val="auto"/>
              </w:rPr>
              <w:t>%</w:t>
            </w:r>
          </w:p>
        </w:tc>
        <w:tc>
          <w:tcPr>
            <w:tcW w:w="1092"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14.10</w:t>
            </w:r>
            <w:r>
              <w:rPr>
                <w:rFonts w:hint="default" w:ascii="Times New Roman" w:hAnsi="Times New Roman" w:eastAsia="仿宋_GB2312" w:cs="Times New Roman"/>
                <w:color w:val="auto"/>
              </w:rPr>
              <w:t>%</w:t>
            </w:r>
          </w:p>
        </w:tc>
        <w:tc>
          <w:tcPr>
            <w:tcW w:w="1086"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72.28</w:t>
            </w:r>
            <w:r>
              <w:rPr>
                <w:rFonts w:hint="default" w:ascii="Times New Roman" w:hAnsi="Times New Roman" w:eastAsia="仿宋_GB2312" w:cs="Times New Roman"/>
                <w:color w:val="auto"/>
              </w:rPr>
              <w:t>%</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2033年</w:t>
            </w:r>
          </w:p>
        </w:tc>
        <w:tc>
          <w:tcPr>
            <w:tcW w:w="1109"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12.80</w:t>
            </w:r>
            <w:r>
              <w:rPr>
                <w:rFonts w:hint="default" w:ascii="Times New Roman" w:hAnsi="Times New Roman" w:eastAsia="仿宋_GB2312" w:cs="Times New Roman"/>
                <w:color w:val="auto"/>
              </w:rPr>
              <w:t>%</w:t>
            </w:r>
          </w:p>
        </w:tc>
        <w:tc>
          <w:tcPr>
            <w:tcW w:w="1092"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14.00</w:t>
            </w:r>
            <w:r>
              <w:rPr>
                <w:rFonts w:hint="default" w:ascii="Times New Roman" w:hAnsi="Times New Roman" w:eastAsia="仿宋_GB2312" w:cs="Times New Roman"/>
                <w:color w:val="auto"/>
              </w:rPr>
              <w:t>%</w:t>
            </w:r>
          </w:p>
        </w:tc>
        <w:tc>
          <w:tcPr>
            <w:tcW w:w="1086" w:type="pct"/>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73.20</w:t>
            </w:r>
            <w:r>
              <w:rPr>
                <w:rFonts w:hint="default" w:ascii="Times New Roman" w:hAnsi="Times New Roman" w:eastAsia="仿宋_GB2312" w:cs="Times New Roman"/>
                <w:color w:val="auto"/>
              </w:rPr>
              <w:t>%</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100%</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2.5-3  </w:t>
      </w:r>
      <w:r>
        <w:rPr>
          <w:rFonts w:hint="default" w:ascii="Times New Roman" w:hAnsi="Times New Roman" w:eastAsia="仿宋_GB2312" w:cs="Times New Roman"/>
          <w:color w:val="auto"/>
        </w:rPr>
        <w:t xml:space="preserve">各征年总交通量预测结果  </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自然车流量单位：辆/h</w:t>
      </w:r>
    </w:p>
    <w:tbl>
      <w:tblPr>
        <w:tblStyle w:val="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777"/>
        <w:gridCol w:w="1532"/>
        <w:gridCol w:w="1669"/>
        <w:gridCol w:w="1630"/>
        <w:gridCol w:w="16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路段名称</w:t>
            </w: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年段</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交通量(辆/d)</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昼间(辆/h)</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夜间(辆/h)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restar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eastAsia" w:cs="Times New Roman"/>
                <w:color w:val="auto"/>
                <w:lang w:val="en-US" w:eastAsia="zh-CN"/>
              </w:rPr>
              <w:t>9</w:t>
            </w:r>
            <w:r>
              <w:rPr>
                <w:rFonts w:hint="default" w:ascii="Times New Roman" w:hAnsi="Times New Roman" w:eastAsia="仿宋_GB2312" w:cs="Times New Roman"/>
                <w:color w:val="auto"/>
              </w:rPr>
              <w:t>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27165</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1528</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340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continue"/>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w:t>
            </w:r>
            <w:r>
              <w:rPr>
                <w:rFonts w:hint="eastAsia" w:cs="Times New Roman"/>
                <w:color w:val="auto"/>
                <w:lang w:val="en-US" w:eastAsia="zh-CN"/>
              </w:rPr>
              <w:t>5</w:t>
            </w:r>
            <w:r>
              <w:rPr>
                <w:rFonts w:hint="default" w:ascii="Times New Roman" w:hAnsi="Times New Roman" w:eastAsia="仿宋_GB2312" w:cs="Times New Roman"/>
                <w:color w:val="auto"/>
              </w:rPr>
              <w:t>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37281</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2097</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466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continue"/>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w:t>
            </w:r>
            <w:r>
              <w:rPr>
                <w:rFonts w:hint="eastAsia" w:cs="Times New Roman"/>
                <w:color w:val="auto"/>
                <w:lang w:val="en-US" w:eastAsia="zh-CN"/>
              </w:rPr>
              <w:t>3</w:t>
            </w:r>
            <w:r>
              <w:rPr>
                <w:rFonts w:hint="default" w:ascii="Times New Roman" w:hAnsi="Times New Roman" w:eastAsia="仿宋_GB2312" w:cs="Times New Roman"/>
                <w:color w:val="auto"/>
              </w:rPr>
              <w:t>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46086</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2592</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eastAsia" w:cs="Times New Roman"/>
                <w:color w:val="auto"/>
                <w:lang w:val="en-US" w:eastAsia="zh-CN"/>
              </w:rPr>
              <w:t>576</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2.5-4 </w:t>
      </w:r>
      <w:r>
        <w:rPr>
          <w:rFonts w:hint="default" w:ascii="Times New Roman" w:hAnsi="Times New Roman" w:eastAsia="仿宋_GB2312" w:cs="Times New Roman"/>
          <w:color w:val="auto"/>
        </w:rPr>
        <w:t xml:space="preserve">折算特征年各车型交通量预测结果  </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绝对车流量单位：辆/h</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828"/>
        <w:gridCol w:w="1044"/>
        <w:gridCol w:w="938"/>
        <w:gridCol w:w="989"/>
        <w:gridCol w:w="919"/>
        <w:gridCol w:w="873"/>
        <w:gridCol w:w="873"/>
        <w:gridCol w:w="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路段名称</w:t>
            </w:r>
          </w:p>
        </w:tc>
        <w:tc>
          <w:tcPr>
            <w:tcW w:w="628"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车型</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预测年</w:t>
            </w:r>
          </w:p>
        </w:tc>
        <w:tc>
          <w:tcPr>
            <w:tcW w:w="1159"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小型车</w:t>
            </w:r>
          </w:p>
        </w:tc>
        <w:tc>
          <w:tcPr>
            <w:tcW w:w="1078"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中型车</w:t>
            </w:r>
          </w:p>
        </w:tc>
        <w:tc>
          <w:tcPr>
            <w:tcW w:w="1032"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大型车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628" w:type="pct"/>
            <w:vMerge w:val="continue"/>
            <w:vAlign w:val="center"/>
          </w:tcPr>
          <w:p>
            <w:pPr>
              <w:pStyle w:val="17"/>
              <w:bidi w:val="0"/>
              <w:rPr>
                <w:rFonts w:hint="default" w:ascii="Times New Roman" w:hAnsi="Times New Roman" w:eastAsia="仿宋_GB2312" w:cs="Times New Roman"/>
                <w:color w:val="auto"/>
              </w:rPr>
            </w:pPr>
          </w:p>
        </w:tc>
        <w:tc>
          <w:tcPr>
            <w:tcW w:w="56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9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5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0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1044" w:type="dxa"/>
            <w:vAlign w:val="center"/>
          </w:tcPr>
          <w:p>
            <w:pPr>
              <w:pStyle w:val="17"/>
              <w:bidi w:val="0"/>
              <w:ind w:firstLine="0" w:firstLineChars="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eastAsia" w:cs="Times New Roman"/>
                <w:color w:val="auto"/>
                <w:lang w:val="en-US" w:eastAsia="zh-CN"/>
              </w:rPr>
              <w:t>9</w:t>
            </w:r>
            <w:r>
              <w:rPr>
                <w:rFonts w:hint="default" w:ascii="Times New Roman" w:hAnsi="Times New Roman" w:eastAsia="仿宋_GB2312" w:cs="Times New Roman"/>
                <w:color w:val="auto"/>
              </w:rPr>
              <w:t>年</w:t>
            </w:r>
          </w:p>
        </w:tc>
        <w:tc>
          <w:tcPr>
            <w:tcW w:w="56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1074</w:t>
            </w:r>
          </w:p>
        </w:tc>
        <w:tc>
          <w:tcPr>
            <w:tcW w:w="59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239</w:t>
            </w:r>
          </w:p>
        </w:tc>
        <w:tc>
          <w:tcPr>
            <w:tcW w:w="553"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226</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50</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228</w:t>
            </w:r>
          </w:p>
        </w:tc>
        <w:tc>
          <w:tcPr>
            <w:tcW w:w="507"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1044" w:type="dxa"/>
            <w:vAlign w:val="center"/>
          </w:tcPr>
          <w:p>
            <w:pPr>
              <w:pStyle w:val="17"/>
              <w:bidi w:val="0"/>
              <w:ind w:firstLine="0" w:firstLineChars="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w:t>
            </w:r>
            <w:r>
              <w:rPr>
                <w:rFonts w:hint="eastAsia" w:cs="Times New Roman"/>
                <w:color w:val="auto"/>
                <w:lang w:val="en-US" w:eastAsia="zh-CN"/>
              </w:rPr>
              <w:t>5</w:t>
            </w:r>
            <w:r>
              <w:rPr>
                <w:rFonts w:hint="default" w:ascii="Times New Roman" w:hAnsi="Times New Roman" w:eastAsia="仿宋_GB2312" w:cs="Times New Roman"/>
                <w:color w:val="auto"/>
              </w:rPr>
              <w:t>年</w:t>
            </w:r>
          </w:p>
        </w:tc>
        <w:tc>
          <w:tcPr>
            <w:tcW w:w="56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1516</w:t>
            </w:r>
          </w:p>
        </w:tc>
        <w:tc>
          <w:tcPr>
            <w:tcW w:w="59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337</w:t>
            </w:r>
          </w:p>
        </w:tc>
        <w:tc>
          <w:tcPr>
            <w:tcW w:w="553"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296</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66</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286</w:t>
            </w:r>
          </w:p>
        </w:tc>
        <w:tc>
          <w:tcPr>
            <w:tcW w:w="507"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1044" w:type="dxa"/>
            <w:vAlign w:val="center"/>
          </w:tcPr>
          <w:p>
            <w:pPr>
              <w:pStyle w:val="17"/>
              <w:bidi w:val="0"/>
              <w:ind w:firstLine="0" w:firstLineChars="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w:t>
            </w:r>
            <w:r>
              <w:rPr>
                <w:rFonts w:hint="eastAsia" w:cs="Times New Roman"/>
                <w:color w:val="auto"/>
                <w:lang w:val="en-US" w:eastAsia="zh-CN"/>
              </w:rPr>
              <w:t>3</w:t>
            </w:r>
            <w:r>
              <w:rPr>
                <w:rFonts w:hint="default" w:ascii="Times New Roman" w:hAnsi="Times New Roman" w:eastAsia="仿宋_GB2312" w:cs="Times New Roman"/>
                <w:color w:val="auto"/>
              </w:rPr>
              <w:t>年</w:t>
            </w:r>
          </w:p>
        </w:tc>
        <w:tc>
          <w:tcPr>
            <w:tcW w:w="56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1898</w:t>
            </w:r>
          </w:p>
        </w:tc>
        <w:tc>
          <w:tcPr>
            <w:tcW w:w="594"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422</w:t>
            </w:r>
          </w:p>
        </w:tc>
        <w:tc>
          <w:tcPr>
            <w:tcW w:w="553"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363</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81</w:t>
            </w:r>
          </w:p>
        </w:tc>
        <w:tc>
          <w:tcPr>
            <w:tcW w:w="525"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332</w:t>
            </w:r>
          </w:p>
        </w:tc>
        <w:tc>
          <w:tcPr>
            <w:tcW w:w="507" w:type="pct"/>
            <w:vAlign w:val="center"/>
          </w:tcPr>
          <w:p>
            <w:pPr>
              <w:pStyle w:val="17"/>
              <w:bidi w:val="0"/>
              <w:rPr>
                <w:rFonts w:hint="default" w:ascii="Times New Roman" w:hAnsi="Times New Roman" w:eastAsia="仿宋_GB2312" w:cs="Times New Roman"/>
                <w:color w:val="auto"/>
                <w:lang w:val="en-US" w:eastAsia="zh-CN"/>
              </w:rPr>
            </w:pPr>
            <w:r>
              <w:rPr>
                <w:rFonts w:hint="eastAsia" w:cs="Times New Roman"/>
                <w:color w:val="auto"/>
                <w:lang w:val="en-US" w:eastAsia="zh-CN"/>
              </w:rPr>
              <w:t>74</w:t>
            </w:r>
          </w:p>
        </w:tc>
      </w:tr>
    </w:tbl>
    <w:p>
      <w:pPr>
        <w:pStyle w:val="4"/>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2.5.2 调查阶段交通量</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根据工程验收监测报告，</w:t>
      </w:r>
      <w:r>
        <w:rPr>
          <w:rFonts w:hint="default" w:ascii="Times New Roman" w:hAnsi="Times New Roman" w:eastAsia="仿宋_GB2312" w:cs="Times New Roman"/>
          <w:color w:val="auto"/>
          <w:sz w:val="24"/>
          <w:highlight w:val="none"/>
          <w:lang w:val="en-US" w:eastAsia="zh-CN"/>
        </w:rPr>
        <w:t>验收监测</w:t>
      </w:r>
      <w:r>
        <w:rPr>
          <w:rFonts w:hint="default" w:ascii="Times New Roman" w:hAnsi="Times New Roman" w:eastAsia="仿宋_GB2312" w:cs="Times New Roman"/>
          <w:color w:val="auto"/>
          <w:sz w:val="24"/>
          <w:highlight w:val="none"/>
        </w:rPr>
        <w:t>车流量统计结果见表2.5-</w:t>
      </w:r>
      <w:r>
        <w:rPr>
          <w:rFonts w:hint="default" w:ascii="Times New Roman" w:hAnsi="Times New Roman"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rPr>
        <w:t>。</w:t>
      </w:r>
    </w:p>
    <w:p>
      <w:pPr>
        <w:pStyle w:val="15"/>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表 2.5-</w:t>
      </w:r>
      <w:r>
        <w:rPr>
          <w:rFonts w:hint="default" w:ascii="Times New Roman" w:hAnsi="Times New Roman" w:eastAsia="仿宋_GB2312" w:cs="Times New Roman"/>
          <w:color w:val="auto"/>
          <w:highlight w:val="none"/>
          <w:lang w:val="en-US" w:eastAsia="zh-CN"/>
        </w:rPr>
        <w:t>5 调查期间</w:t>
      </w:r>
      <w:r>
        <w:rPr>
          <w:rFonts w:hint="default" w:ascii="Times New Roman" w:hAnsi="Times New Roman" w:eastAsia="仿宋_GB2312" w:cs="Times New Roman"/>
          <w:color w:val="auto"/>
          <w:highlight w:val="none"/>
        </w:rPr>
        <w:t>车流量统计结果表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48"/>
        <w:gridCol w:w="1298"/>
        <w:gridCol w:w="1343"/>
        <w:gridCol w:w="1263"/>
        <w:gridCol w:w="1517"/>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51"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路段</w:t>
            </w:r>
          </w:p>
        </w:tc>
        <w:tc>
          <w:tcPr>
            <w:tcW w:w="781"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昼间车流量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（pcu/h）</w:t>
            </w:r>
          </w:p>
        </w:tc>
        <w:tc>
          <w:tcPr>
            <w:tcW w:w="808"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夜间车流量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rPr>
              <w:t>pcu/h</w:t>
            </w:r>
            <w:r>
              <w:rPr>
                <w:rFonts w:hint="default" w:ascii="Times New Roman" w:hAnsi="Times New Roman" w:eastAsia="仿宋_GB2312" w:cs="Times New Roman"/>
                <w:color w:val="auto"/>
                <w:highlight w:val="none"/>
                <w:lang w:eastAsia="zh-CN"/>
              </w:rPr>
              <w:t>）</w:t>
            </w:r>
          </w:p>
        </w:tc>
        <w:tc>
          <w:tcPr>
            <w:tcW w:w="760"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日车流量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（pcu/d）</w:t>
            </w:r>
          </w:p>
        </w:tc>
        <w:tc>
          <w:tcPr>
            <w:tcW w:w="912"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实际占预测</w:t>
            </w:r>
            <w:r>
              <w:rPr>
                <w:rFonts w:hint="eastAsia" w:cs="Times New Roman"/>
                <w:color w:val="auto"/>
                <w:highlight w:val="none"/>
                <w:lang w:val="en-US" w:eastAsia="zh-CN"/>
              </w:rPr>
              <w:t>中</w:t>
            </w:r>
            <w:r>
              <w:rPr>
                <w:rFonts w:hint="default" w:ascii="Times New Roman" w:hAnsi="Times New Roman" w:eastAsia="仿宋_GB2312" w:cs="Times New Roman"/>
                <w:color w:val="auto"/>
                <w:highlight w:val="none"/>
              </w:rPr>
              <w:t>期百分比（%）</w:t>
            </w:r>
          </w:p>
        </w:tc>
        <w:tc>
          <w:tcPr>
            <w:tcW w:w="985" w:type="pct"/>
            <w:vAlign w:val="center"/>
          </w:tcPr>
          <w:p>
            <w:pPr>
              <w:pStyle w:val="17"/>
              <w:bidi w:val="0"/>
              <w:jc w:val="center"/>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rPr>
              <w:t>实际占预测</w:t>
            </w:r>
            <w:r>
              <w:rPr>
                <w:rFonts w:hint="eastAsia" w:cs="Times New Roman"/>
                <w:color w:val="auto"/>
                <w:highlight w:val="none"/>
                <w:lang w:val="en-US" w:eastAsia="zh-CN"/>
              </w:rPr>
              <w:t>远</w:t>
            </w:r>
            <w:r>
              <w:rPr>
                <w:rFonts w:hint="default" w:ascii="Times New Roman" w:hAnsi="Times New Roman" w:eastAsia="仿宋_GB2312" w:cs="Times New Roman"/>
                <w:color w:val="auto"/>
                <w:highlight w:val="none"/>
              </w:rPr>
              <w:t>期百分比</w:t>
            </w: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lang w:val="en-US" w:eastAsia="zh-CN"/>
              </w:rPr>
              <w:t>%</w:t>
            </w:r>
            <w:r>
              <w:rPr>
                <w:rFonts w:hint="default" w:ascii="Times New Roman" w:hAnsi="Times New Roman" w:eastAsia="仿宋_GB2312" w:cs="Times New Roman"/>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51" w:type="pct"/>
            <w:vAlign w:val="center"/>
          </w:tcPr>
          <w:p>
            <w:pPr>
              <w:pStyle w:val="17"/>
              <w:bidi w:val="0"/>
              <w:jc w:val="center"/>
              <w:rPr>
                <w:rFonts w:hint="default" w:ascii="Times New Roman" w:hAnsi="Times New Roman" w:eastAsia="仿宋_GB2312" w:cs="Times New Roman"/>
                <w:color w:val="auto"/>
                <w:highlight w:val="none"/>
                <w:lang w:eastAsia="zh-CN"/>
              </w:rPr>
            </w:pPr>
            <w:r>
              <w:rPr>
                <w:rFonts w:hint="eastAsia" w:cs="Times New Roman"/>
                <w:color w:val="auto"/>
                <w:highlight w:val="none"/>
                <w:lang w:val="en-US" w:eastAsia="zh-CN"/>
              </w:rPr>
              <w:t>同江路</w:t>
            </w:r>
          </w:p>
        </w:tc>
        <w:tc>
          <w:tcPr>
            <w:tcW w:w="781"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760</w:t>
            </w:r>
          </w:p>
        </w:tc>
        <w:tc>
          <w:tcPr>
            <w:tcW w:w="808"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190</w:t>
            </w:r>
          </w:p>
        </w:tc>
        <w:tc>
          <w:tcPr>
            <w:tcW w:w="760"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950</w:t>
            </w:r>
          </w:p>
        </w:tc>
        <w:tc>
          <w:tcPr>
            <w:tcW w:w="912"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2%</w:t>
            </w:r>
          </w:p>
        </w:tc>
        <w:tc>
          <w:tcPr>
            <w:tcW w:w="985" w:type="pct"/>
            <w:vAlign w:val="center"/>
          </w:tcPr>
          <w:p>
            <w:pPr>
              <w:pStyle w:val="17"/>
              <w:bidi w:val="0"/>
              <w:jc w:val="center"/>
              <w:rPr>
                <w:rFonts w:hint="default" w:ascii="Times New Roman" w:hAnsi="Times New Roman" w:eastAsia="仿宋_GB2312" w:cs="Times New Roman"/>
                <w:color w:val="auto"/>
                <w:highlight w:val="none"/>
              </w:rPr>
            </w:pPr>
            <w:r>
              <w:rPr>
                <w:rFonts w:hint="eastAsia" w:cs="Times New Roman"/>
                <w:color w:val="auto"/>
                <w:highlight w:val="none"/>
                <w:lang w:val="en-US" w:eastAsia="zh-CN"/>
              </w:rPr>
              <w:t>1.6</w:t>
            </w:r>
            <w:r>
              <w:rPr>
                <w:rFonts w:hint="default" w:ascii="Times New Roman" w:hAnsi="Times New Roman" w:eastAsia="仿宋_GB2312" w:cs="Times New Roman"/>
                <w:color w:val="auto"/>
                <w:highlight w:val="none"/>
              </w:rPr>
              <w:t>%</w:t>
            </w:r>
          </w:p>
        </w:tc>
      </w:tr>
    </w:tbl>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202</w:t>
      </w:r>
      <w:r>
        <w:rPr>
          <w:rFonts w:hint="eastAsia" w:cs="Times New Roman"/>
          <w:color w:val="auto"/>
          <w:sz w:val="24"/>
          <w:highlight w:val="none"/>
          <w:lang w:val="en-US" w:eastAsia="zh-CN"/>
        </w:rPr>
        <w:t>4</w:t>
      </w:r>
      <w:r>
        <w:rPr>
          <w:rFonts w:hint="default" w:ascii="Times New Roman" w:hAnsi="Times New Roman" w:eastAsia="仿宋_GB2312" w:cs="Times New Roman"/>
          <w:color w:val="auto"/>
          <w:sz w:val="24"/>
          <w:highlight w:val="none"/>
        </w:rPr>
        <w:t>年</w:t>
      </w:r>
      <w:r>
        <w:rPr>
          <w:rFonts w:hint="eastAsia" w:cs="Times New Roman"/>
          <w:color w:val="auto"/>
          <w:sz w:val="24"/>
          <w:highlight w:val="none"/>
          <w:lang w:val="en-US" w:eastAsia="zh-CN"/>
        </w:rPr>
        <w:t>3</w:t>
      </w:r>
      <w:r>
        <w:rPr>
          <w:rFonts w:hint="default" w:ascii="Times New Roman" w:hAnsi="Times New Roman" w:eastAsia="仿宋_GB2312" w:cs="Times New Roman"/>
          <w:color w:val="auto"/>
          <w:sz w:val="24"/>
          <w:highlight w:val="none"/>
        </w:rPr>
        <w:t>月</w:t>
      </w:r>
      <w:r>
        <w:rPr>
          <w:rFonts w:hint="eastAsia" w:cs="Times New Roman"/>
          <w:color w:val="auto"/>
          <w:sz w:val="24"/>
          <w:highlight w:val="none"/>
          <w:lang w:val="en-US" w:eastAsia="zh-CN"/>
        </w:rPr>
        <w:t>20</w:t>
      </w:r>
      <w:r>
        <w:rPr>
          <w:rFonts w:hint="default" w:ascii="Times New Roman" w:hAnsi="Times New Roman" w:eastAsia="仿宋_GB2312" w:cs="Times New Roman"/>
          <w:color w:val="auto"/>
          <w:sz w:val="24"/>
          <w:highlight w:val="none"/>
        </w:rPr>
        <w:t xml:space="preserve"> 日-</w:t>
      </w:r>
      <w:r>
        <w:rPr>
          <w:rFonts w:hint="eastAsia" w:cs="Times New Roman"/>
          <w:color w:val="auto"/>
          <w:sz w:val="24"/>
          <w:highlight w:val="none"/>
          <w:lang w:val="en-US" w:eastAsia="zh-CN"/>
        </w:rPr>
        <w:t>21</w:t>
      </w:r>
      <w:r>
        <w:rPr>
          <w:rFonts w:hint="default" w:ascii="Times New Roman" w:hAnsi="Times New Roman" w:eastAsia="仿宋_GB2312" w:cs="Times New Roman"/>
          <w:color w:val="auto"/>
          <w:sz w:val="24"/>
          <w:highlight w:val="none"/>
        </w:rPr>
        <w:t>日车流量统计结果显示，试运营期大型车数量较多，路段车流量达到设计202</w:t>
      </w:r>
      <w:r>
        <w:rPr>
          <w:rFonts w:hint="eastAsia" w:cs="Times New Roman"/>
          <w:color w:val="auto"/>
          <w:sz w:val="24"/>
          <w:highlight w:val="none"/>
          <w:lang w:val="en-US" w:eastAsia="zh-CN"/>
        </w:rPr>
        <w:t>5</w:t>
      </w:r>
      <w:r>
        <w:rPr>
          <w:rFonts w:hint="default" w:ascii="Times New Roman" w:hAnsi="Times New Roman" w:eastAsia="仿宋_GB2312" w:cs="Times New Roman"/>
          <w:color w:val="auto"/>
          <w:sz w:val="24"/>
          <w:highlight w:val="none"/>
        </w:rPr>
        <w:t>年预测车流量的</w:t>
      </w:r>
      <w:r>
        <w:rPr>
          <w:rFonts w:hint="eastAsia" w:cs="Times New Roman"/>
          <w:color w:val="auto"/>
          <w:sz w:val="24"/>
          <w:highlight w:val="none"/>
          <w:lang w:val="en-US" w:eastAsia="zh-CN"/>
        </w:rPr>
        <w:t>2</w:t>
      </w:r>
      <w:r>
        <w:rPr>
          <w:rFonts w:hint="default" w:ascii="Times New Roman" w:hAnsi="Times New Roman" w:eastAsia="仿宋_GB2312" w:cs="Times New Roman"/>
          <w:color w:val="auto"/>
          <w:sz w:val="24"/>
          <w:highlight w:val="none"/>
        </w:rPr>
        <w:t>%，达到设计203</w:t>
      </w:r>
      <w:r>
        <w:rPr>
          <w:rFonts w:hint="eastAsia" w:cs="Times New Roman"/>
          <w:color w:val="auto"/>
          <w:sz w:val="24"/>
          <w:highlight w:val="none"/>
          <w:lang w:val="en-US" w:eastAsia="zh-CN"/>
        </w:rPr>
        <w:t>3</w:t>
      </w:r>
      <w:r>
        <w:rPr>
          <w:rFonts w:hint="default" w:ascii="Times New Roman" w:hAnsi="Times New Roman" w:eastAsia="仿宋_GB2312" w:cs="Times New Roman"/>
          <w:color w:val="auto"/>
          <w:sz w:val="24"/>
          <w:highlight w:val="none"/>
        </w:rPr>
        <w:t>年预测车流量的</w:t>
      </w:r>
      <w:r>
        <w:rPr>
          <w:rFonts w:hint="eastAsia" w:cs="Times New Roman"/>
          <w:color w:val="auto"/>
          <w:sz w:val="24"/>
          <w:highlight w:val="none"/>
          <w:lang w:val="en-US" w:eastAsia="zh-CN"/>
        </w:rPr>
        <w:t>1.6</w:t>
      </w:r>
      <w:r>
        <w:rPr>
          <w:rFonts w:hint="default" w:ascii="Times New Roman" w:hAnsi="Times New Roman" w:eastAsia="仿宋_GB2312" w:cs="Times New Roman"/>
          <w:color w:val="auto"/>
          <w:sz w:val="24"/>
          <w:highlight w:val="none"/>
        </w:rPr>
        <w:t>%。</w:t>
      </w:r>
    </w:p>
    <w:p>
      <w:pPr>
        <w:pStyle w:val="3"/>
        <w:bidi w:val="0"/>
        <w:rPr>
          <w:rFonts w:hint="default" w:ascii="Times New Roman" w:hAnsi="Times New Roman" w:eastAsia="仿宋_GB2312" w:cs="Times New Roman"/>
          <w:color w:val="auto"/>
        </w:rPr>
      </w:pPr>
      <w:bookmarkStart w:id="37" w:name="bookmark17"/>
      <w:bookmarkEnd w:id="37"/>
      <w:bookmarkStart w:id="38" w:name="_Toc16428"/>
      <w:r>
        <w:rPr>
          <w:rFonts w:hint="default" w:ascii="Times New Roman" w:hAnsi="Times New Roman" w:eastAsia="仿宋_GB2312" w:cs="Times New Roman"/>
          <w:color w:val="auto"/>
        </w:rPr>
        <w:t>2.6 工程调查小结</w:t>
      </w:r>
      <w:bookmarkEnd w:id="38"/>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经核查，工程实际建设较环评无重大变动，工程各项环保前期审批手续齐全，运行稳定，具备竣工环境保护验收的条件。</w:t>
      </w:r>
    </w:p>
    <w:p>
      <w:pPr>
        <w:spacing w:line="219" w:lineRule="auto"/>
        <w:rPr>
          <w:rFonts w:hint="default" w:ascii="Times New Roman" w:hAnsi="Times New Roman" w:eastAsia="仿宋_GB2312" w:cs="Times New Roman"/>
          <w:color w:val="auto"/>
          <w:sz w:val="24"/>
          <w:szCs w:val="24"/>
        </w:rPr>
        <w:sectPr>
          <w:footerReference r:id="rId8" w:type="default"/>
          <w:pgSz w:w="11906" w:h="16839"/>
          <w:pgMar w:top="1440" w:right="1803" w:bottom="1440" w:left="1803" w:header="0" w:footer="989" w:gutter="0"/>
          <w:pgNumType w:fmt="numberInDash"/>
          <w:cols w:space="720" w:num="1"/>
        </w:sectPr>
      </w:pPr>
    </w:p>
    <w:p>
      <w:pPr>
        <w:pStyle w:val="2"/>
        <w:bidi w:val="0"/>
        <w:rPr>
          <w:rFonts w:hint="default" w:ascii="Times New Roman" w:hAnsi="Times New Roman" w:eastAsia="仿宋_GB2312" w:cs="Times New Roman"/>
          <w:color w:val="auto"/>
        </w:rPr>
      </w:pPr>
      <w:bookmarkStart w:id="39" w:name="bookmark19"/>
      <w:bookmarkEnd w:id="39"/>
      <w:bookmarkStart w:id="40" w:name="bookmark18"/>
      <w:bookmarkEnd w:id="40"/>
      <w:bookmarkStart w:id="41" w:name="_Toc5992"/>
      <w:r>
        <w:rPr>
          <w:rFonts w:hint="default" w:ascii="Times New Roman" w:hAnsi="Times New Roman" w:eastAsia="仿宋_GB2312" w:cs="Times New Roman"/>
          <w:color w:val="auto"/>
        </w:rPr>
        <w:t>3. 环境影响报告书及其批复回顾</w:t>
      </w:r>
      <w:bookmarkEnd w:id="41"/>
    </w:p>
    <w:p>
      <w:pPr>
        <w:pStyle w:val="3"/>
        <w:bidi w:val="0"/>
        <w:rPr>
          <w:rFonts w:hint="default" w:ascii="Times New Roman" w:hAnsi="Times New Roman" w:eastAsia="仿宋_GB2312" w:cs="Times New Roman"/>
          <w:color w:val="auto"/>
        </w:rPr>
      </w:pPr>
      <w:bookmarkStart w:id="42" w:name="_Toc8174"/>
      <w:r>
        <w:rPr>
          <w:rFonts w:hint="default" w:ascii="Times New Roman" w:hAnsi="Times New Roman" w:eastAsia="仿宋_GB2312" w:cs="Times New Roman"/>
          <w:color w:val="auto"/>
        </w:rPr>
        <w:t>3.1 环境影响评价工作过程回顾</w:t>
      </w:r>
      <w:bookmarkEnd w:id="42"/>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2017年</w:t>
      </w:r>
      <w:r>
        <w:rPr>
          <w:rFonts w:hint="eastAsia" w:cs="Times New Roman"/>
          <w:color w:val="auto"/>
          <w:lang w:val="en-US" w:eastAsia="zh-CN"/>
        </w:rPr>
        <w:t>7</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20</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val="en-US" w:eastAsia="zh-CN"/>
        </w:rPr>
        <w:t>取得</w:t>
      </w:r>
      <w:r>
        <w:rPr>
          <w:rFonts w:hint="default" w:ascii="Times New Roman" w:hAnsi="Times New Roman" w:eastAsia="仿宋_GB2312" w:cs="Times New Roman"/>
          <w:color w:val="auto"/>
          <w:lang w:eastAsia="zh-CN"/>
        </w:rPr>
        <w:t>哈尔滨市</w:t>
      </w:r>
      <w:r>
        <w:rPr>
          <w:rFonts w:hint="default" w:ascii="Times New Roman" w:hAnsi="Times New Roman" w:eastAsia="仿宋_GB2312" w:cs="Times New Roman"/>
          <w:color w:val="auto"/>
        </w:rPr>
        <w:t>发展和改革委员会关于</w:t>
      </w:r>
      <w:r>
        <w:rPr>
          <w:rFonts w:hint="eastAsia" w:cs="Times New Roman"/>
          <w:color w:val="auto"/>
          <w:lang w:eastAsia="zh-CN"/>
        </w:rPr>
        <w:t>同江路道路</w:t>
      </w:r>
      <w:r>
        <w:rPr>
          <w:rFonts w:hint="default" w:ascii="Times New Roman" w:hAnsi="Times New Roman" w:eastAsia="仿宋_GB2312" w:cs="Times New Roman"/>
          <w:color w:val="auto"/>
        </w:rPr>
        <w:t>工程可行性研究报告的批复》（</w:t>
      </w:r>
      <w:r>
        <w:rPr>
          <w:rFonts w:hint="default" w:ascii="Times New Roman" w:hAnsi="Times New Roman" w:eastAsia="仿宋_GB2312" w:cs="Times New Roman"/>
          <w:color w:val="auto"/>
          <w:lang w:eastAsia="zh-CN"/>
        </w:rPr>
        <w:t>哈发改审批</w:t>
      </w:r>
      <w:r>
        <w:rPr>
          <w:rFonts w:hint="default" w:ascii="Times New Roman" w:hAnsi="Times New Roman" w:eastAsia="仿宋_GB2312" w:cs="Times New Roman"/>
          <w:color w:val="auto"/>
        </w:rPr>
        <w:t>〔2017〕</w:t>
      </w:r>
      <w:r>
        <w:rPr>
          <w:rFonts w:hint="eastAsia" w:cs="Times New Roman"/>
          <w:color w:val="auto"/>
          <w:lang w:val="en-US" w:eastAsia="zh-CN"/>
        </w:rPr>
        <w:t>92</w:t>
      </w:r>
      <w:r>
        <w:rPr>
          <w:rFonts w:hint="default" w:ascii="Times New Roman" w:hAnsi="Times New Roman" w:eastAsia="仿宋_GB2312" w:cs="Times New Roman"/>
          <w:color w:val="auto"/>
        </w:rPr>
        <w:t>号），同意建设</w:t>
      </w:r>
      <w:r>
        <w:rPr>
          <w:rFonts w:hint="eastAsia" w:cs="Times New Roman"/>
          <w:color w:val="auto"/>
          <w:lang w:eastAsia="zh-CN"/>
        </w:rPr>
        <w:t>同江路道路</w:t>
      </w:r>
      <w:r>
        <w:rPr>
          <w:rFonts w:hint="default" w:ascii="Times New Roman" w:hAnsi="Times New Roman" w:eastAsia="仿宋_GB2312" w:cs="Times New Roman"/>
          <w:color w:val="auto"/>
          <w:lang w:eastAsia="zh-CN"/>
        </w:rPr>
        <w:t>工程</w:t>
      </w:r>
      <w:r>
        <w:rPr>
          <w:rFonts w:hint="default" w:ascii="Times New Roman" w:hAnsi="Times New Roman" w:eastAsia="仿宋_GB2312" w:cs="Times New Roman"/>
          <w:color w:val="auto"/>
        </w:rPr>
        <w:t>项目。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201</w:t>
      </w:r>
      <w:r>
        <w:rPr>
          <w:rFonts w:hint="eastAsia" w:cs="Times New Roman"/>
          <w:color w:val="auto"/>
          <w:lang w:val="en-US" w:eastAsia="zh-CN"/>
        </w:rPr>
        <w:t>7</w:t>
      </w:r>
      <w:r>
        <w:rPr>
          <w:rFonts w:hint="default" w:ascii="Times New Roman" w:hAnsi="Times New Roman" w:eastAsia="仿宋_GB2312" w:cs="Times New Roman"/>
          <w:color w:val="auto"/>
        </w:rPr>
        <w:t>年</w:t>
      </w:r>
      <w:r>
        <w:rPr>
          <w:rFonts w:hint="eastAsia" w:cs="Times New Roman"/>
          <w:color w:val="auto"/>
          <w:lang w:val="en-US" w:eastAsia="zh-CN"/>
        </w:rPr>
        <w:t>8</w:t>
      </w:r>
      <w:r>
        <w:rPr>
          <w:rFonts w:hint="default" w:ascii="Times New Roman" w:hAnsi="Times New Roman" w:eastAsia="仿宋_GB2312" w:cs="Times New Roman"/>
          <w:color w:val="auto"/>
        </w:rPr>
        <w:t>月</w:t>
      </w:r>
      <w:r>
        <w:rPr>
          <w:rFonts w:hint="eastAsia" w:cs="Times New Roman"/>
          <w:color w:val="auto"/>
          <w:lang w:val="en-US" w:eastAsia="zh-CN"/>
        </w:rPr>
        <w:t>19</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val="en-US" w:eastAsia="zh-CN"/>
        </w:rPr>
        <w:t>取得哈尔滨市城乡建设委员会</w:t>
      </w:r>
      <w:r>
        <w:rPr>
          <w:rFonts w:hint="default" w:ascii="Times New Roman" w:hAnsi="Times New Roman" w:eastAsia="仿宋_GB2312" w:cs="Times New Roman"/>
          <w:color w:val="auto"/>
        </w:rPr>
        <w:t>关于</w:t>
      </w:r>
      <w:r>
        <w:rPr>
          <w:rFonts w:hint="eastAsia" w:cs="Times New Roman"/>
          <w:color w:val="auto"/>
          <w:lang w:eastAsia="zh-CN"/>
        </w:rPr>
        <w:t>同江路道路</w:t>
      </w:r>
      <w:r>
        <w:rPr>
          <w:rFonts w:hint="default" w:ascii="Times New Roman" w:hAnsi="Times New Roman" w:eastAsia="仿宋_GB2312" w:cs="Times New Roman"/>
          <w:color w:val="auto"/>
          <w:lang w:eastAsia="zh-CN"/>
        </w:rPr>
        <w:t>工程</w:t>
      </w:r>
      <w:r>
        <w:rPr>
          <w:rFonts w:hint="default" w:ascii="Times New Roman" w:hAnsi="Times New Roman" w:eastAsia="仿宋_GB2312" w:cs="Times New Roman"/>
          <w:color w:val="auto"/>
        </w:rPr>
        <w:t>初步设计的批复》（</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lang w:val="en-US" w:eastAsia="zh-CN"/>
        </w:rPr>
        <w:t>建</w:t>
      </w:r>
      <w:r>
        <w:rPr>
          <w:rFonts w:hint="default" w:ascii="Times New Roman" w:hAnsi="Times New Roman" w:eastAsia="仿宋_GB2312" w:cs="Times New Roman"/>
          <w:color w:val="auto"/>
          <w:lang w:eastAsia="zh-CN"/>
        </w:rPr>
        <w:t>发</w:t>
      </w:r>
      <w:r>
        <w:rPr>
          <w:rFonts w:hint="default" w:ascii="Times New Roman" w:hAnsi="Times New Roman" w:eastAsia="仿宋_GB2312" w:cs="Times New Roman"/>
          <w:color w:val="auto"/>
        </w:rPr>
        <w:t>〔 201</w:t>
      </w:r>
      <w:r>
        <w:rPr>
          <w:rFonts w:hint="eastAsia" w:cs="Times New Roman"/>
          <w:color w:val="auto"/>
          <w:lang w:val="en-US" w:eastAsia="zh-CN"/>
        </w:rPr>
        <w:t>7</w:t>
      </w:r>
      <w:r>
        <w:rPr>
          <w:rFonts w:hint="default" w:ascii="Times New Roman" w:hAnsi="Times New Roman" w:eastAsia="仿宋_GB2312" w:cs="Times New Roman"/>
          <w:color w:val="auto"/>
        </w:rPr>
        <w:t>〕</w:t>
      </w:r>
      <w:r>
        <w:rPr>
          <w:rFonts w:hint="eastAsia" w:cs="Times New Roman"/>
          <w:color w:val="auto"/>
          <w:lang w:val="en-US" w:eastAsia="zh-CN"/>
        </w:rPr>
        <w:t>199</w:t>
      </w:r>
      <w:r>
        <w:rPr>
          <w:rFonts w:hint="default" w:ascii="Times New Roman" w:hAnsi="Times New Roman" w:eastAsia="仿宋_GB2312" w:cs="Times New Roman"/>
          <w:color w:val="auto"/>
        </w:rPr>
        <w:t>号），同意</w:t>
      </w:r>
      <w:r>
        <w:rPr>
          <w:rFonts w:hint="eastAsia" w:cs="Times New Roman"/>
          <w:color w:val="auto"/>
          <w:lang w:eastAsia="zh-CN"/>
        </w:rPr>
        <w:t>同江路道路</w:t>
      </w:r>
      <w:r>
        <w:rPr>
          <w:rFonts w:hint="default" w:ascii="Times New Roman" w:hAnsi="Times New Roman" w:eastAsia="仿宋_GB2312" w:cs="Times New Roman"/>
          <w:color w:val="auto"/>
          <w:lang w:eastAsia="zh-CN"/>
        </w:rPr>
        <w:t>工程</w:t>
      </w:r>
      <w:r>
        <w:rPr>
          <w:rFonts w:hint="default" w:ascii="Times New Roman" w:hAnsi="Times New Roman" w:eastAsia="仿宋_GB2312" w:cs="Times New Roman"/>
          <w:color w:val="auto"/>
        </w:rPr>
        <w:t>项目</w:t>
      </w:r>
      <w:r>
        <w:rPr>
          <w:rFonts w:hint="default" w:ascii="Times New Roman" w:hAnsi="Times New Roman" w:eastAsia="仿宋_GB2312" w:cs="Times New Roman"/>
          <w:color w:val="auto"/>
          <w:lang w:val="en-US" w:eastAsia="zh-CN"/>
        </w:rPr>
        <w:t>的</w:t>
      </w:r>
      <w:r>
        <w:rPr>
          <w:rFonts w:hint="default" w:ascii="Times New Roman" w:hAnsi="Times New Roman" w:eastAsia="仿宋_GB2312" w:cs="Times New Roman"/>
          <w:color w:val="auto"/>
        </w:rPr>
        <w:t>建设</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年8月</w:t>
      </w:r>
      <w:r>
        <w:rPr>
          <w:rFonts w:hint="default" w:ascii="Times New Roman" w:hAnsi="Times New Roman" w:eastAsia="仿宋_GB2312" w:cs="Times New Roman"/>
          <w:color w:val="auto"/>
          <w:lang w:eastAsia="zh-CN"/>
        </w:rPr>
        <w:t>哈尔滨市城乡建设委员会委托</w:t>
      </w:r>
      <w:r>
        <w:rPr>
          <w:rFonts w:hint="eastAsia" w:cs="Times New Roman"/>
          <w:color w:val="auto"/>
          <w:lang w:val="en-US" w:eastAsia="zh-CN"/>
        </w:rPr>
        <w:t>北京</w:t>
      </w:r>
      <w:r>
        <w:rPr>
          <w:rFonts w:hint="default" w:ascii="Times New Roman" w:hAnsi="Times New Roman" w:eastAsia="仿宋_GB2312" w:cs="Times New Roman"/>
          <w:color w:val="auto"/>
          <w:lang w:eastAsia="zh-CN"/>
        </w:rPr>
        <w:t>国环</w:t>
      </w:r>
      <w:r>
        <w:rPr>
          <w:rFonts w:hint="eastAsia" w:cs="Times New Roman"/>
          <w:color w:val="auto"/>
          <w:lang w:val="en-US" w:eastAsia="zh-CN"/>
        </w:rPr>
        <w:t>建邦环保</w:t>
      </w:r>
      <w:r>
        <w:rPr>
          <w:rFonts w:hint="default" w:ascii="Times New Roman" w:hAnsi="Times New Roman" w:eastAsia="仿宋_GB2312" w:cs="Times New Roman"/>
          <w:color w:val="auto"/>
          <w:lang w:eastAsia="zh-CN"/>
        </w:rPr>
        <w:t>科技有限公司</w:t>
      </w:r>
      <w:r>
        <w:rPr>
          <w:rFonts w:hint="default" w:ascii="Times New Roman" w:hAnsi="Times New Roman" w:eastAsia="仿宋_GB2312" w:cs="Times New Roman"/>
          <w:color w:val="auto"/>
        </w:rPr>
        <w:t>编制了《</w:t>
      </w:r>
      <w:r>
        <w:rPr>
          <w:rFonts w:hint="eastAsia" w:cs="Times New Roman"/>
          <w:color w:val="auto"/>
          <w:lang w:eastAsia="zh-CN"/>
        </w:rPr>
        <w:t>同江路道路</w:t>
      </w:r>
      <w:r>
        <w:rPr>
          <w:rFonts w:hint="default" w:ascii="Times New Roman" w:hAnsi="Times New Roman" w:eastAsia="仿宋_GB2312" w:cs="Times New Roman"/>
          <w:color w:val="auto"/>
        </w:rPr>
        <w:t>工程环境影响报告书》，于201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9</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eastAsia="zh-CN"/>
        </w:rPr>
        <w:t>取</w:t>
      </w:r>
      <w:r>
        <w:rPr>
          <w:rFonts w:hint="default" w:ascii="Times New Roman" w:hAnsi="Times New Roman" w:eastAsia="仿宋_GB2312" w:cs="Times New Roman"/>
          <w:color w:val="auto"/>
        </w:rPr>
        <w:t>得了</w:t>
      </w:r>
      <w:r>
        <w:rPr>
          <w:rFonts w:hint="default" w:ascii="Times New Roman" w:hAnsi="Times New Roman" w:eastAsia="仿宋_GB2312" w:cs="Times New Roman"/>
          <w:color w:val="auto"/>
          <w:lang w:eastAsia="zh-CN"/>
        </w:rPr>
        <w:t>哈尔滨市生态环境局（原哈尔滨市环境保护局）</w:t>
      </w:r>
      <w:r>
        <w:rPr>
          <w:rFonts w:hint="default" w:ascii="Times New Roman" w:hAnsi="Times New Roman" w:eastAsia="仿宋_GB2312" w:cs="Times New Roman"/>
          <w:color w:val="auto"/>
        </w:rPr>
        <w:t>批复</w:t>
      </w:r>
      <w:r>
        <w:rPr>
          <w:rFonts w:hint="default" w:ascii="Times New Roman" w:hAnsi="Times New Roman" w:eastAsia="仿宋_GB2312" w:cs="Times New Roman"/>
          <w:color w:val="auto"/>
          <w:lang w:eastAsia="zh-CN"/>
        </w:rPr>
        <w:t>文件</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rPr>
        <w:t>环审</w:t>
      </w:r>
      <w:r>
        <w:rPr>
          <w:rFonts w:hint="default" w:ascii="Times New Roman" w:hAnsi="Times New Roman" w:eastAsia="仿宋_GB2312" w:cs="Times New Roman"/>
          <w:color w:val="auto"/>
          <w:lang w:eastAsia="zh-CN"/>
        </w:rPr>
        <w:t>书</w:t>
      </w: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6</w:t>
      </w:r>
      <w:r>
        <w:rPr>
          <w:rFonts w:hint="eastAsia" w:cs="Times New Roman"/>
          <w:color w:val="auto"/>
          <w:lang w:val="en-US" w:eastAsia="zh-CN"/>
        </w:rPr>
        <w:t>3</w:t>
      </w:r>
      <w:r>
        <w:rPr>
          <w:rFonts w:hint="default" w:ascii="Times New Roman" w:hAnsi="Times New Roman" w:eastAsia="仿宋_GB2312" w:cs="Times New Roman"/>
          <w:color w:val="auto"/>
        </w:rPr>
        <w:t>号</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工程于20</w:t>
      </w:r>
      <w:r>
        <w:rPr>
          <w:rFonts w:hint="default" w:ascii="Times New Roman" w:hAnsi="Times New Roman" w:eastAsia="仿宋_GB2312" w:cs="Times New Roman"/>
          <w:color w:val="auto"/>
          <w:lang w:val="en-US" w:eastAsia="zh-CN"/>
        </w:rPr>
        <w:t>1</w:t>
      </w:r>
      <w:r>
        <w:rPr>
          <w:rFonts w:hint="eastAsia"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月全面开工建设，20</w:t>
      </w:r>
      <w:r>
        <w:rPr>
          <w:rFonts w:hint="eastAsia" w:cs="Times New Roman"/>
          <w:color w:val="auto"/>
          <w:lang w:val="en-US" w:eastAsia="zh-CN"/>
        </w:rPr>
        <w:t>18</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10</w:t>
      </w:r>
      <w:r>
        <w:rPr>
          <w:rFonts w:hint="default" w:ascii="Times New Roman" w:hAnsi="Times New Roman" w:eastAsia="仿宋_GB2312" w:cs="Times New Roman"/>
          <w:color w:val="auto"/>
        </w:rPr>
        <w:t>月建成</w:t>
      </w:r>
      <w:r>
        <w:rPr>
          <w:rFonts w:hint="default" w:ascii="Times New Roman" w:hAnsi="Times New Roman" w:eastAsia="仿宋_GB2312" w:cs="Times New Roman"/>
          <w:color w:val="auto"/>
          <w:lang w:eastAsia="zh-CN"/>
        </w:rPr>
        <w:t>通车</w:t>
      </w:r>
      <w:r>
        <w:rPr>
          <w:rFonts w:hint="default" w:ascii="Times New Roman" w:hAnsi="Times New Roman" w:eastAsia="仿宋_GB2312" w:cs="Times New Roman"/>
          <w:color w:val="auto"/>
        </w:rPr>
        <w:t>。工程于20</w:t>
      </w:r>
      <w:r>
        <w:rPr>
          <w:rFonts w:hint="eastAsia" w:cs="Times New Roman"/>
          <w:color w:val="auto"/>
          <w:lang w:val="en-US" w:eastAsia="zh-CN"/>
        </w:rPr>
        <w:t>19</w:t>
      </w:r>
      <w:r>
        <w:rPr>
          <w:rFonts w:hint="default" w:ascii="Times New Roman" w:hAnsi="Times New Roman" w:eastAsia="仿宋_GB2312" w:cs="Times New Roman"/>
          <w:color w:val="auto"/>
        </w:rPr>
        <w:t>年1</w:t>
      </w:r>
      <w:r>
        <w:rPr>
          <w:rFonts w:hint="eastAsia" w:cs="Times New Roman"/>
          <w:color w:val="auto"/>
          <w:lang w:val="en-US" w:eastAsia="zh-CN"/>
        </w:rPr>
        <w:t>2</w:t>
      </w:r>
      <w:r>
        <w:rPr>
          <w:rFonts w:hint="default" w:ascii="Times New Roman" w:hAnsi="Times New Roman" w:eastAsia="仿宋_GB2312" w:cs="Times New Roman"/>
          <w:color w:val="auto"/>
        </w:rPr>
        <w:t>月2</w:t>
      </w:r>
      <w:r>
        <w:rPr>
          <w:rFonts w:hint="eastAsia" w:cs="Times New Roman"/>
          <w:color w:val="auto"/>
          <w:lang w:val="en-US" w:eastAsia="zh-CN"/>
        </w:rPr>
        <w:t>5</w:t>
      </w:r>
      <w:r>
        <w:rPr>
          <w:rFonts w:hint="default" w:ascii="Times New Roman" w:hAnsi="Times New Roman" w:eastAsia="仿宋_GB2312" w:cs="Times New Roman"/>
          <w:color w:val="auto"/>
        </w:rPr>
        <w:t>日通过</w:t>
      </w:r>
      <w:r>
        <w:rPr>
          <w:rFonts w:hint="default" w:ascii="Times New Roman" w:hAnsi="Times New Roman" w:eastAsia="仿宋_GB2312" w:cs="Times New Roman"/>
          <w:color w:val="auto"/>
          <w:lang w:eastAsia="zh-CN"/>
        </w:rPr>
        <w:t>工程竣工</w:t>
      </w:r>
      <w:r>
        <w:rPr>
          <w:rFonts w:hint="default" w:ascii="Times New Roman" w:hAnsi="Times New Roman" w:eastAsia="仿宋_GB2312" w:cs="Times New Roman"/>
          <w:color w:val="auto"/>
        </w:rPr>
        <w:t>验收。</w:t>
      </w:r>
    </w:p>
    <w:p>
      <w:pPr>
        <w:pStyle w:val="3"/>
        <w:bidi w:val="0"/>
        <w:rPr>
          <w:rFonts w:hint="default" w:ascii="Times New Roman" w:hAnsi="Times New Roman" w:eastAsia="仿宋_GB2312" w:cs="Times New Roman"/>
          <w:color w:val="auto"/>
        </w:rPr>
      </w:pPr>
      <w:bookmarkStart w:id="43" w:name="bookmark20"/>
      <w:bookmarkEnd w:id="43"/>
      <w:bookmarkStart w:id="44" w:name="_Toc2648"/>
      <w:r>
        <w:rPr>
          <w:rFonts w:hint="default" w:ascii="Times New Roman" w:hAnsi="Times New Roman" w:eastAsia="仿宋_GB2312" w:cs="Times New Roman"/>
          <w:color w:val="auto"/>
        </w:rPr>
        <w:t>3.2 环境影响报告书回顾</w:t>
      </w:r>
      <w:bookmarkEnd w:id="4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3.2.1 工程概况</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bookmarkStart w:id="45" w:name="_Toc131317701"/>
      <w:bookmarkStart w:id="46" w:name="_Toc118981066"/>
      <w:r>
        <w:rPr>
          <w:rFonts w:hint="default" w:ascii="Times New Roman" w:hAnsi="Times New Roman" w:eastAsia="仿宋_GB2312" w:cs="Times New Roman"/>
          <w:color w:val="auto"/>
        </w:rPr>
        <w:t>（1）项目名称：</w:t>
      </w:r>
      <w:r>
        <w:rPr>
          <w:rFonts w:hint="eastAsia" w:cs="Times New Roman"/>
          <w:color w:val="auto"/>
          <w:lang w:eastAsia="zh-CN"/>
        </w:rPr>
        <w:t>同江路道路</w:t>
      </w:r>
      <w:r>
        <w:rPr>
          <w:rFonts w:hint="default" w:ascii="Times New Roman" w:hAnsi="Times New Roman" w:eastAsia="仿宋_GB2312" w:cs="Times New Roman"/>
          <w:color w:val="auto"/>
        </w:rPr>
        <w:t>工程</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bookmarkStart w:id="47" w:name="_Toc139700827"/>
      <w:bookmarkStart w:id="48" w:name="_Toc208218261"/>
      <w:r>
        <w:rPr>
          <w:rFonts w:hint="default" w:ascii="Times New Roman" w:hAnsi="Times New Roman" w:eastAsia="仿宋_GB2312" w:cs="Times New Roman"/>
          <w:color w:val="auto"/>
        </w:rPr>
        <w:t>（2）建设性质：新建</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（3）建设单位：哈尔滨市城乡建设委员会</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（4）总投资：本项目总投资</w:t>
      </w:r>
      <w:r>
        <w:rPr>
          <w:rFonts w:hint="eastAsia" w:cs="Times New Roman"/>
          <w:color w:val="auto"/>
          <w:lang w:eastAsia="zh-CN"/>
        </w:rPr>
        <w:t>6425.43</w:t>
      </w:r>
      <w:r>
        <w:rPr>
          <w:rFonts w:hint="default" w:ascii="Times New Roman" w:hAnsi="Times New Roman" w:eastAsia="仿宋_GB2312" w:cs="Times New Roman"/>
          <w:color w:val="auto"/>
        </w:rPr>
        <w:t>万元</w:t>
      </w:r>
      <w:bookmarkEnd w:id="45"/>
      <w:bookmarkEnd w:id="46"/>
      <w:bookmarkEnd w:id="47"/>
      <w:bookmarkEnd w:id="48"/>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项目位于哈尔滨市</w:t>
      </w:r>
      <w:r>
        <w:rPr>
          <w:rFonts w:hint="eastAsia" w:cs="Times New Roman"/>
          <w:color w:val="auto"/>
          <w:lang w:eastAsia="zh-CN"/>
        </w:rPr>
        <w:t>香坊区</w:t>
      </w:r>
      <w:r>
        <w:rPr>
          <w:rFonts w:hint="default" w:ascii="Times New Roman" w:hAnsi="Times New Roman" w:eastAsia="仿宋_GB2312" w:cs="Times New Roman"/>
          <w:color w:val="auto"/>
        </w:rPr>
        <w:t>，</w:t>
      </w:r>
      <w:r>
        <w:rPr>
          <w:rFonts w:hint="eastAsia" w:cs="Times New Roman"/>
          <w:color w:val="auto"/>
          <w:lang w:eastAsia="zh-CN"/>
        </w:rPr>
        <w:t>起点为规划长寿路，终点为征仪路</w:t>
      </w:r>
      <w:r>
        <w:rPr>
          <w:rFonts w:hint="default" w:ascii="Times New Roman" w:hAnsi="Times New Roman" w:eastAsia="仿宋_GB2312" w:cs="Times New Roman"/>
          <w:color w:val="auto"/>
        </w:rPr>
        <w:t>。工程全长</w:t>
      </w:r>
      <w:r>
        <w:rPr>
          <w:rFonts w:hint="eastAsia" w:cs="Times New Roman"/>
          <w:color w:val="auto"/>
          <w:lang w:eastAsia="zh-CN"/>
        </w:rPr>
        <w:t>639.694</w:t>
      </w:r>
      <w:r>
        <w:rPr>
          <w:rFonts w:hint="default" w:ascii="Times New Roman" w:hAnsi="Times New Roman" w:eastAsia="仿宋_GB2312" w:cs="Times New Roman"/>
          <w:color w:val="auto"/>
        </w:rPr>
        <w:t>m，道路红线宽度</w:t>
      </w:r>
      <w:r>
        <w:rPr>
          <w:rFonts w:hint="eastAsia" w:cs="Times New Roman"/>
          <w:color w:val="auto"/>
          <w:lang w:val="en-US" w:eastAsia="zh-CN"/>
        </w:rPr>
        <w:t>60</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包括行道树</w:t>
      </w:r>
      <w:r>
        <w:rPr>
          <w:rFonts w:hint="eastAsia" w:cs="Times New Roman"/>
          <w:color w:val="auto"/>
          <w:lang w:val="en-US" w:eastAsia="zh-CN"/>
        </w:rPr>
        <w:t>256</w:t>
      </w:r>
      <w:r>
        <w:rPr>
          <w:rFonts w:hint="default" w:ascii="Times New Roman" w:hAnsi="Times New Roman" w:eastAsia="仿宋_GB2312" w:cs="Times New Roman"/>
          <w:color w:val="auto"/>
        </w:rPr>
        <w:t>棵</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路灯</w:t>
      </w:r>
      <w:r>
        <w:rPr>
          <w:rFonts w:hint="eastAsia" w:cs="Times New Roman"/>
          <w:color w:val="auto"/>
          <w:lang w:val="en-US" w:eastAsia="zh-CN"/>
        </w:rPr>
        <w:t>34</w:t>
      </w:r>
      <w:r>
        <w:rPr>
          <w:rFonts w:hint="default" w:ascii="Times New Roman" w:hAnsi="Times New Roman" w:eastAsia="仿宋_GB2312" w:cs="Times New Roman"/>
          <w:color w:val="auto"/>
        </w:rPr>
        <w:t>基，</w:t>
      </w:r>
      <w:r>
        <w:rPr>
          <w:rFonts w:hint="eastAsia" w:cs="Times New Roman"/>
          <w:color w:val="auto"/>
          <w:lang w:val="en-US" w:eastAsia="zh-CN"/>
        </w:rPr>
        <w:t>污</w:t>
      </w:r>
      <w:r>
        <w:rPr>
          <w:rFonts w:hint="default" w:ascii="Times New Roman" w:hAnsi="Times New Roman" w:eastAsia="仿宋_GB2312" w:cs="Times New Roman"/>
          <w:color w:val="auto"/>
        </w:rPr>
        <w:t>水管线</w:t>
      </w:r>
      <w:r>
        <w:rPr>
          <w:rFonts w:hint="eastAsia" w:cs="Times New Roman"/>
          <w:color w:val="auto"/>
          <w:lang w:val="en-US" w:eastAsia="zh-CN"/>
        </w:rPr>
        <w:t>1388.49</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eastAsia" w:cs="Times New Roman"/>
          <w:color w:val="auto"/>
          <w:lang w:val="en-US" w:eastAsia="zh-CN"/>
        </w:rPr>
        <w:t>雨水管线1036.66m，</w:t>
      </w:r>
      <w:r>
        <w:rPr>
          <w:rFonts w:hint="default" w:ascii="Times New Roman" w:hAnsi="Times New Roman" w:eastAsia="仿宋_GB2312" w:cs="Times New Roman"/>
          <w:color w:val="auto"/>
        </w:rPr>
        <w:t>以及交通工程。</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3.2.2 环境质量现状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"3.2.2.1"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3.2.2.1</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地表水环境现状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根据《2016年哈尔滨市环境质量概要》，2016年</w:t>
      </w:r>
      <w:r>
        <w:rPr>
          <w:rFonts w:hint="eastAsia" w:cs="Times New Roman"/>
          <w:color w:val="auto"/>
          <w:lang w:val="en-US" w:eastAsia="zh-CN"/>
        </w:rPr>
        <w:t>松花江哈尔滨江段水质总体状况为优，阿什河口下、大顶子山2个断面的水质年均监测指标均达到III类标准要求，阿什河口下、大顶子山断面现状水质均优于IV类水体功能区划目标。</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"3.2.2.2"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3.2.2.2</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声环境现状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环评阶段对</w:t>
      </w:r>
      <w:r>
        <w:rPr>
          <w:rFonts w:hint="eastAsia" w:cs="Times New Roman"/>
          <w:color w:val="auto"/>
          <w:lang w:val="en-US" w:eastAsia="zh-CN"/>
        </w:rPr>
        <w:t>2</w:t>
      </w:r>
      <w:r>
        <w:rPr>
          <w:rFonts w:hint="default" w:ascii="Times New Roman" w:hAnsi="Times New Roman" w:eastAsia="仿宋_GB2312" w:cs="Times New Roman"/>
          <w:color w:val="auto"/>
        </w:rPr>
        <w:t>个敏感点进行了监测，根据监测结果，项目所在区域声环境现状满足《声环境质量标准》（GB3096-2008）</w:t>
      </w:r>
      <w:r>
        <w:rPr>
          <w:rFonts w:hint="eastAsia" w:cs="Times New Roman"/>
          <w:color w:val="auto"/>
          <w:lang w:val="en-US" w:eastAsia="zh-CN"/>
        </w:rPr>
        <w:t>2</w:t>
      </w:r>
      <w:r>
        <w:rPr>
          <w:rFonts w:hint="default" w:ascii="Times New Roman" w:hAnsi="Times New Roman" w:eastAsia="仿宋_GB2312" w:cs="Times New Roman"/>
          <w:color w:val="auto"/>
        </w:rPr>
        <w:t>类标准</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昼间</w:t>
      </w:r>
      <w:r>
        <w:rPr>
          <w:rFonts w:hint="eastAsia" w:cs="Times New Roman"/>
          <w:color w:val="auto"/>
          <w:lang w:val="en-US" w:eastAsia="zh-CN"/>
        </w:rPr>
        <w:t>60</w:t>
      </w:r>
      <w:r>
        <w:rPr>
          <w:rFonts w:hint="default" w:ascii="Times New Roman" w:hAnsi="Times New Roman" w:eastAsia="仿宋_GB2312" w:cs="Times New Roman"/>
          <w:color w:val="auto"/>
        </w:rPr>
        <w:t>dB、夜间</w:t>
      </w:r>
      <w:r>
        <w:rPr>
          <w:rFonts w:hint="eastAsia" w:cs="Times New Roman"/>
          <w:color w:val="auto"/>
          <w:lang w:val="en-US" w:eastAsia="zh-CN"/>
        </w:rPr>
        <w:t>50</w:t>
      </w:r>
      <w:r>
        <w:rPr>
          <w:rFonts w:hint="default" w:ascii="Times New Roman" w:hAnsi="Times New Roman" w:eastAsia="仿宋_GB2312" w:cs="Times New Roman"/>
          <w:color w:val="auto"/>
        </w:rPr>
        <w:t>dB</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要求，声环境质量良好。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"3.2.2.3"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3.2.2.3</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大气环境现状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环评阶段在沿线的</w:t>
      </w:r>
      <w:r>
        <w:rPr>
          <w:rFonts w:hint="eastAsia" w:cs="Times New Roman"/>
          <w:color w:val="auto"/>
          <w:lang w:val="en-US" w:eastAsia="zh-CN"/>
        </w:rPr>
        <w:t>棚户住宅区</w:t>
      </w:r>
      <w:r>
        <w:rPr>
          <w:rFonts w:hint="default" w:ascii="Times New Roman" w:hAnsi="Times New Roman" w:eastAsia="仿宋_GB2312" w:cs="Times New Roman"/>
          <w:color w:val="auto"/>
        </w:rPr>
        <w:t>设置环境空气监测点，根据监测结果显示，项目评价区NO</w:t>
      </w:r>
      <w:r>
        <w:rPr>
          <w:rFonts w:hint="default" w:ascii="Times New Roman" w:hAnsi="Times New Roman" w:eastAsia="仿宋_GB2312" w:cs="Times New Roman"/>
          <w:color w:val="auto"/>
          <w:vertAlign w:val="subscript"/>
        </w:rPr>
        <w:t>2</w:t>
      </w:r>
      <w:r>
        <w:rPr>
          <w:rFonts w:hint="default" w:ascii="Times New Roman" w:hAnsi="Times New Roman" w:eastAsia="仿宋_GB2312" w:cs="Times New Roman"/>
          <w:color w:val="auto"/>
        </w:rPr>
        <w:t>、CO小时平均值和NO</w:t>
      </w:r>
      <w:r>
        <w:rPr>
          <w:rFonts w:hint="default" w:ascii="Times New Roman" w:hAnsi="Times New Roman" w:eastAsia="仿宋_GB2312" w:cs="Times New Roman"/>
          <w:color w:val="auto"/>
          <w:vertAlign w:val="subscript"/>
        </w:rPr>
        <w:t>2</w:t>
      </w:r>
      <w:r>
        <w:rPr>
          <w:rFonts w:hint="default" w:ascii="Times New Roman" w:hAnsi="Times New Roman" w:eastAsia="仿宋_GB2312" w:cs="Times New Roman"/>
          <w:color w:val="auto"/>
        </w:rPr>
        <w:t>、CO、TSP24小时平均值浓度均符合《环境空气质量标准》（GB3095-2012）中的二级标准的要求，说明区域环境空气质量现状较好。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"3.2.2.4"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3.2.2.4</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生态环境现状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所在区域为城市生态系统。项目区域无野生动物活动和栖息，无野生植被分布。经调查该地区没有野生动物保护品种，也未发现濒危、珍惜动物栖息场所。区域内无国家、省、市级自然保护区、风景名胜区等保护目标。</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rPr>
        <w:t>项目永久占地规划性质为城市道用地，经调查，项目所在区域动物主要为鼠类、蚂蚁类、昆虫类。项目区域生物量较小，整个区域范围内，无大型兽类等野生动植物，生态多样性单一。</w:t>
      </w:r>
      <w:bookmarkStart w:id="49" w:name="_Toc211410072"/>
      <w:bookmarkStart w:id="50" w:name="_Toc214178475"/>
      <w:r>
        <w:rPr>
          <w:rFonts w:hint="default" w:ascii="Times New Roman" w:hAnsi="Times New Roman" w:eastAsia="仿宋_GB2312" w:cs="Times New Roman"/>
          <w:color w:val="auto"/>
          <w:lang w:val="en-US" w:eastAsia="zh-CN"/>
        </w:rPr>
        <w:t>区域</w:t>
      </w:r>
      <w:r>
        <w:rPr>
          <w:rFonts w:hint="default" w:ascii="Times New Roman" w:hAnsi="Times New Roman" w:eastAsia="仿宋_GB2312" w:cs="Times New Roman"/>
          <w:color w:val="auto"/>
        </w:rPr>
        <w:t>水土流失以轻度水力侵蚀为主</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位于东北黑土区，容许土壤流失值为200t/ km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rPr>
        <w:t>·a。根据《黑龙江省人民政府关于公布水土流失重点防治区的通知》将项目所在地划为重点治理区，拟建项目所在区域由于为平原地带，水土流失轻微。</w:t>
      </w:r>
      <w:bookmarkEnd w:id="49"/>
      <w:bookmarkEnd w:id="5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3.2.3 环境影响预测结论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"3.2.3.1"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3.2.3.1</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地表水环境影响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1</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施工场地设置临时防渗沉淀池，施工废水经沉淀池处理后用于场地降尘，不外排，对地表水基本无影响；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rPr>
        <w:t>）运营期路面径流对地表水的影响只是在降雨时段发生，由工程分析可知，降雨初期到形成路面径流的30min内，雨水中的悬浮物和油类物质的浓度比较高，30min后其浓度随降雨历时的延长下降较快，降雨历时40min后路面基本被冲洗干净。本项目道路径流污染物通过雨水管网汇入阿什河后，最终汇入松花江，经过稀释、自净作用，对阿什河及松花江水质产生的影响非常轻微</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3.2.3.3</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声环境影响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工程施工期间，各种施工机械产生的噪声对沿线敏感点和施工人员均产生影响， 须采取相应的保护措施。在采取施工围挡和禁止夜间施工措施的情况下，施工噪声的 环境影响是可以接受的。施工是暂时的，随着施工的结束，施工噪声的影响也随之结束。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"3.2.3.4"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3.2.3.4</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大气环境影响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1、施工期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（1）底基层施工产生的扬尘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本项目底基层采摊铺机施工，根据有关测试成果，在其下风向50m处大气中TSP浓度约2mg/m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，100m处约0.5mg/m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，在100m处基本上能达到国家环境空气质量二级标准的要求。本项目施工路段设置隔尘挡板，并严禁在档墙外堆放施工材料、建筑垃圾和渣土。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（2）散体材料储料场扬尘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砂土等散体材料储料场在风力作用下产生的扬尘对人体和植物的有害作用，本评价要求施工单位对其存放应做好防护工作，通过洒水、蓬布遮挡等措施，可有效地防止扬尘的产生，降低对周围环境空气的影响。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（3）散体材料运输</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砂土等散体物质运输引起粉尘污染，对环境影响较严重，影响范围较大。本评价要求，砂土等散体物质运输车辆必须严加管理，采取用篷布盖严或加水防护措施，在采取上述措施后，对环境的影响可降至最低，施工结束后，上述影响将随之消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在采取上述措施，施工厂界粉尘扬尘浓度贡献值均低于《大气污染物综合排放标准》（GB16297-1996）规定的颗粒物无组织排放监控浓度限值0.1mg/m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，可被周围环境所接受。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（4）沥青烟气</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沥青混凝土路面摊铺过程中，高温沥青散发含有THC、TSP和BaP的烟尘，本评价以下防治措施：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①要求对沥青摊铺的操作人员进行卫生防护，为其配备口罩、风镜等，加强劳动保护，使其身体伤害减至最低程度。</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②要求沥青摊铺作业机械有良好的密闭性和除尘装置，排放应达到《大气污染物综合排放标准》（GB16297-1996）中的排放浓度限值要求（沥青烟不大于150mg/m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本项目为城市道路网，周围环境有利于沥青烟气的扩散，随着摊铺后冷却，烟气散发量逐渐减少，而且施工是暂时的；随着施工结束，污染也将随之结束。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（5）施工机械与运输车辆尾气</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本工程规模比较小，施工机械与运输车辆数量不多，因此施工机械与运输车辆产生的尾气对环境空气质量影响不大。</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本项目施工期时间相对较短，其产生的影响是临时性的，但是如不加强管理也会造成污染事故。因此应切实实施防治措施，强调文明施工，加强环保管理要求，制订工作责任制，并服从环保部门的监督管理。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2、运营期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本项目营运后对环境空气的污染主要是汽车尾气污染，根据</w:t>
      </w:r>
      <w:r>
        <w:rPr>
          <w:rFonts w:hint="default" w:ascii="Times New Roman" w:hAnsi="Times New Roman" w:eastAsia="仿宋_GB2312" w:cs="Times New Roman"/>
          <w:color w:val="auto"/>
          <w:lang w:val="en-US" w:eastAsia="zh-CN"/>
        </w:rPr>
        <w:t>预测</w:t>
      </w:r>
      <w:r>
        <w:rPr>
          <w:rFonts w:hint="default" w:ascii="Times New Roman" w:hAnsi="Times New Roman" w:eastAsia="仿宋_GB2312" w:cs="Times New Roman"/>
          <w:color w:val="auto"/>
          <w:lang w:eastAsia="zh-CN"/>
        </w:rPr>
        <w:t>结果，运营期间各运行时段各运行时段敏感点处及污染物最大落地浓度处的NO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、CO的24小时平均浓度、小时浓度均满足《环境空气质量标准》（GB3095-2012）中二级标准，即NO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24小时平均0.08mg/m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小时平均0.20mg/m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、CO24小时平均4 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、CO小时平均10mg/m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，拟建道路对环境空气影响不显著。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"3.2.3.5"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3.2.3.5</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生态环境影响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（1）施工期景观环境影响分析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本工程施工期对景观环境的主要影响是修筑道路路基时地表裸露视觉反差，临时工程与施工现场等与周围景观不协调，但影响较为短暂，施工期结束后，临时占地进行植被恢复和复垦，产生的影响如下：</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①施工过程中挤出开挖、土石方、建筑材料的堆放，尤其是施工弃土、施工垃圾的临时堆放等，将会影响周围卫生环境和景观。</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②施工过程中一些建筑物或机械设备的摆放，护栏、围布等隔离措施的设置也会给周围景观带来不协调的因素。</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③施工机械和施工人员所产生的噪声、扬尘、废气、废弃物以及施工废水等都会对周围环境造成污染，同时对周围的景观带来一定的破坏。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施工结束后，通过生态恢复等措施，其景观面貌可以基本恢复或改善，对景观环境影响较小。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 xml:space="preserve"> 施工结束后形成的城市道路景观与所处区域其它建设工程共同构成城市景观，因此本项目施工期对区域内景观环境影响较小。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（2）运营期景观环境影响分析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城市道路以线为特征把不同的景观连接成连续的景观序列，城市通过道路网络不仅形成了连续动态的空间，同事也会使城市获得新的生命力。因此，本项目建成后构成的城市道路景观是城市景观环境的重要组成部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lang w:eastAsia="zh-CN"/>
        </w:rPr>
        <w:t>）水土流失环境影响分析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通过对本工程施工期水土流失的预测结果可以看出，由于施工期在一定程度上破坏了施工区原有地貌、地表植被，使表层松散，抗水力侵蚀能力减弱，使土壤失去了原有的固土防风能力，从而增加了一定量的水土流失，在不采取任何防治措施的情况下，施工期水土流失量38.70t。本工程由于有开挖和填方，地面恢复需要一定的时间，所采取的水土保持绿化设施将在大约一年左右时间逐渐发挥作用，同时因工程结束，工程区永久占地被固化，绿化区种植植被、一些水土保持设施也相继建成，因此，将会使道路因施工期引起的水土流失现状有所改善，所以营运期的水土侵蚀模数和水土流失量也将大大减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"3.2.3.6"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3.2.3.6</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固体废物</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1</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土石方</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工程弃方25394m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（全部为特殊路基处理换挖方），弃方全部为不良地质换挖的杂土和腐殖土，用于城市绿化。挖方在工程用地范围内临时堆存。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）施工人员生活垃圾</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施工人员生活垃圾产生总量约为144t。施工人员生活垃圾应定点堆放，定期由环卫部门定期清运至城市生活垃圾处理场，严禁乱丢乱弃，对环境影响较小。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施工期固体废物在采取措施后，全部得到处理，处理率100%，不会对环境产生不利影响。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"3.2.3.7"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3.2.3.7</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环境风险</w:t>
      </w:r>
    </w:p>
    <w:p>
      <w:pPr>
        <w:keepNext w:val="0"/>
        <w:keepLines w:val="0"/>
        <w:pageBreakBefore w:val="0"/>
        <w:widowControl/>
        <w:kinsoku/>
        <w:wordWrap/>
        <w:overflowPunct/>
        <w:topLinePunct w:val="0"/>
        <w:autoSpaceDE w:val="0"/>
        <w:autoSpaceDN w:val="0"/>
        <w:bidi w:val="0"/>
        <w:adjustRightInd/>
        <w:snapToGrid/>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公路投入运营后，道路管理部门要严格落实环境风险防范措施与突发环境事件应急预案，加强管理和巡查力度，将事故消灭在萌芽中，减少危险品运输对环境影响风险。</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3.2.4 环保对策措施与建议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"3.2.4.1"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3.2.4.1</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设计阶段对环保的考虑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优化线路走向、合理布置施工场地，避让人口集聚区、减少噪声和空气污染，避让耕地、减少耕地资源的占用。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"3.2.4.2"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3.2.4.2</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施工期环保措施和建议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一、社会环境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（1）建设单位必须按照有关规定，对被征地和被拆迁村民进行一定的经济补偿。</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（2）在施工期，应加强交通管理和组织，设置必要的警告、安全措施，减少交通堵塞和交通安全事故的发生。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（3）施工期应尽量不破坏现有的排、灌渠道，路线布设方案以及设置的构造物应满足水利设施泄洪需求，同时，与沿线有关部门密切配合，做好水系和路网的重新规划和调整。</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二、地表水环境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（1）建筑材料堆放场地时应加盖蓬布，防止雨水冲刷对地表水影响轻微。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（2）施工废水设置防渗沉淀池集中处理后回用，不外排，对地表水环境影响较小。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（3）项目周期较短，不设施工营地，所以不考虑施工人员生活污水对环境的影响。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三、大气环境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（1）本项目施工路段设置隔尘挡板，并严禁在档墙外堆放施工材料、建筑垃圾和渣土。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（2）砂土等散体物质运输车辆必须严加管理，采取用篷布盖严或加水防护措施，施工结束后，上述影响将随之消失。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 xml:space="preserve">（3）堆料场和临时堆土场应采取防风防雨措施，防止尘土飞扬，遇恶劣天气加盖毡布。 </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（4）对施工场地、运输道路采取洒水等方法处理，干旱大风天气应加强洒水，适当增加洒水次数。</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采取上述措施，施工厂界粉尘扬尘浓度贡献值均低于《大气污染物综合排放标准》（GB16297-1996）规定颗粒物无组织排放监控浓度限值0.1mg/m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，可被周围环境所接受。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四、声环境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施工期的噪声控制可从声源、传播途径、接收者防护、以及控制施工时间等方面来考虑。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（1）合理布局，制定施工计划时，应尽可能避免大量噪声设备同时使用。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（2）采用低噪声设备代替高噪声设备，如采用低噪声施工机械、车辆等。</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（3）禁止夜间（22：00-6：00）施工作业。</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（4）途经敏感点路段施工时，安装隔声屏障，建议高度2.5m。</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（5）物料运输途径居民区等敏感点时减速慢行、禁止鸣笛及夜间禁止运输，采取上述措施后，本项目物料运输对沿线环境敏感点影响较小。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采取上述措施，施工厂界噪声排放满足《建筑施工场界环境噪声排放标准》（GB12523-2011），即昼间70dB(A)、夜间55dB(A)，对声环境影响较小。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五、生态环境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（1）临时建筑采用成品或简易拼装方式，尽量减轻对土壤结构的破坏。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（2）保持施工场地的干净、整洁，合理安排各种不同工序布局，保持场地内井然有序。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（3）路基施工或临时用地施工前，应将表土熟土层（约20cm厚，即土壤耕作层）剥离，暂存于设置的临时堆土场，并采取临时拦挡和覆盖措施。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（4）物料及其它固体废物应集中存放，并采取临时拦挡和覆盖措施，防止水土流失。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（5）水土流失防治措施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单位应高度重视水土保持工作，加强施工期间的临时防护措施，在主体工程施工中，应进一步优化施工组织设计，合理安排施工工期，尽量避免在暴雨时段施工，路基开挖填筑应和边坡防护紧密结合，尽可能减少水土流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水土流失防治重点区域为主体工程区、临时堆土场、施工场地等，根据工程布局、施工时序、产生水土流失特点等，采取工程、植物和临时相结合防护措施。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 1 \* GB3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①</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路基工程区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主体工程设计表土剥离及回覆、彩条布苫盖等措施。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 2 \* GB3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②</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临时堆土场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临时堆土场在工程永久占地范围内，因此本工程完工后，临时堆土场即变为城市道路，不需恢复。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六、固体废物</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施工期固体废物主要为工程弃土。本项目工程弃土用于城市绿化，施工期固体废物对环境影响较小。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3.2.4.3</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营运期环保措施和建议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一、运营期水环境保护措施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（1）道路全线设置完善的排水系统，通过雨水口、雨水管、排水渠收集道路用地范围内的雨水径流，避免径流漫流对沿线植被造成冲刷或引起沿线区域的内涝。</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（2）加强道路排水系统的日常维护工作，定期疏通清淤，确保排水畅通。</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二、运营期大气环境保护措施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（1）加强道路管理及路面养护，保持道路良好的运营状态，减少车辆尾气的排放。</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（2）对于装有易产生扬尘的运输车辆要求罩盖篷布，防止运输中飞扬洒落。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三、运营期生态环境保护措施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（1）道路管理部门必须强化沿线的绿化苗木管理和养护，确保道路绿化长效发挥固土护坡、减少水土流失、净化空气、隔声降噪、美化景观等环保功能。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（2）配备专业人员定期对绿化苗木进行浇水、施肥、松土、修剪、病虫害防治，检查苗木生长状况，对枯死苗木、草皮进行更换补种。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四、风险管理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（1）加强对从事危险货物运输业主、驾驶员及押运员的安全教育和运输车辆的安全检查，使从业人员具有高度责任感，使车辆处于完好的技术状态。</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（2）运输危险品的车辆严禁在本项目路段进行停靠或维修。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（3）暴雨、冰冻等恶劣天气条件禁止运输危险品的车辆在本项目道路行驶。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（4）运输危险品车辆实行申报管理制度。对运载危险品的车辆严格进行检查，严格监督，防止事故发生。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（5）一般安排危险品运输车辆在交通量较少时段（如12:00</w:t>
      </w:r>
      <w:r>
        <w:rPr>
          <w:rFonts w:hint="default" w:ascii="Times New Roman" w:hAnsi="Times New Roman" w:eastAsia="仿宋_GB2312" w:cs="Times New Roman"/>
          <w:color w:val="auto"/>
          <w:lang w:val="en-US" w:eastAsia="zh-CN"/>
        </w:rPr>
        <w:t>-</w:t>
      </w:r>
      <w:r>
        <w:rPr>
          <w:rFonts w:hint="default" w:ascii="Times New Roman" w:hAnsi="Times New Roman" w:eastAsia="仿宋_GB2312" w:cs="Times New Roman"/>
          <w:color w:val="auto"/>
          <w:lang w:eastAsia="zh-CN"/>
        </w:rPr>
        <w:t>15:00）通行。在气候不好的条件下，禁止其上路。</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（6）如果一旦事故发生，任何发现人员应及时通过紧急电话或其他通讯方式报告公路管理单位及相关部门。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（7）建设单位及管理单位应及时采取有效的处理措施，防止污染范围扩大。对沿线处于污染范围内的人员进行疏离，避免发生人员中毒伤亡。</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3.2.5 环境影响报告书结论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en-US"/>
        </w:rPr>
      </w:pPr>
      <w:r>
        <w:rPr>
          <w:rFonts w:hint="eastAsia" w:cs="Times New Roman"/>
          <w:color w:val="auto"/>
          <w:lang w:eastAsia="zh-CN"/>
        </w:rPr>
        <w:t>同江路道路</w:t>
      </w:r>
      <w:r>
        <w:rPr>
          <w:rFonts w:hint="default" w:ascii="Times New Roman" w:hAnsi="Times New Roman" w:eastAsia="仿宋_GB2312" w:cs="Times New Roman"/>
          <w:color w:val="auto"/>
          <w:lang w:eastAsia="zh-CN"/>
        </w:rPr>
        <w:t>工程为城市次干路，</w:t>
      </w:r>
      <w:r>
        <w:rPr>
          <w:rFonts w:hint="default" w:ascii="Times New Roman" w:hAnsi="Times New Roman" w:eastAsia="仿宋_GB2312" w:cs="Times New Roman"/>
          <w:color w:val="auto"/>
          <w:lang w:val="en-US" w:eastAsia="zh-CN"/>
        </w:rPr>
        <w:t>属于</w:t>
      </w:r>
      <w:r>
        <w:rPr>
          <w:rFonts w:hint="default" w:ascii="Times New Roman" w:hAnsi="Times New Roman" w:eastAsia="仿宋_GB2312" w:cs="Times New Roman"/>
          <w:color w:val="auto"/>
          <w:lang w:eastAsia="zh-CN"/>
        </w:rPr>
        <w:t>《产业结构调整指导目录（2011年本）（修正）》（2016年3月25日修订）中鼓励类，</w:t>
      </w:r>
      <w:r>
        <w:rPr>
          <w:rFonts w:hint="default" w:ascii="Times New Roman" w:hAnsi="Times New Roman" w:eastAsia="仿宋_GB2312" w:cs="Times New Roman"/>
          <w:color w:val="auto"/>
          <w:lang w:val="en-US" w:eastAsia="zh-CN"/>
        </w:rPr>
        <w:t>项目</w:t>
      </w:r>
      <w:r>
        <w:rPr>
          <w:rFonts w:hint="default" w:ascii="Times New Roman" w:hAnsi="Times New Roman" w:eastAsia="仿宋_GB2312" w:cs="Times New Roman"/>
          <w:color w:val="auto"/>
          <w:lang w:eastAsia="zh-CN"/>
        </w:rPr>
        <w:t>建设符合国家的产业政策。工程建设的运行将完善城市交通路网，改善区域交通环境，促进地方经济和社会发展。项目的实施对周边水、气、声、生态环境有一定的影响，但工程对环境的不利影响可通过采取相应的环保对策措施予以减免，同时要求施工过程中合理布设施工场地及施工营地，采取相应环保措施降低对环境及敏感点的影响。该项目的正面效应大于负面效应。因此，从环境保护角度分析，在严格实施环保对策措施的条件下，本项目的建设是可行的。</w:t>
      </w:r>
    </w:p>
    <w:p>
      <w:pPr>
        <w:pStyle w:val="3"/>
        <w:bidi w:val="0"/>
        <w:rPr>
          <w:rFonts w:hint="default" w:ascii="Times New Roman" w:hAnsi="Times New Roman" w:eastAsia="仿宋_GB2312" w:cs="Times New Roman"/>
          <w:color w:val="auto"/>
        </w:rPr>
      </w:pPr>
      <w:bookmarkStart w:id="51" w:name="bookmark21"/>
      <w:bookmarkEnd w:id="51"/>
      <w:bookmarkStart w:id="52" w:name="_Toc29461"/>
      <w:r>
        <w:rPr>
          <w:rFonts w:hint="default" w:ascii="Times New Roman" w:hAnsi="Times New Roman" w:eastAsia="仿宋_GB2312" w:cs="Times New Roman"/>
          <w:color w:val="auto"/>
        </w:rPr>
        <w:t>3.3 环境影响报告书批复回顾</w:t>
      </w:r>
      <w:bookmarkEnd w:id="52"/>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201</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9</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w:t>
      </w:r>
      <w:r>
        <w:rPr>
          <w:rFonts w:hint="default" w:ascii="Times New Roman" w:hAnsi="Times New Roman" w:eastAsia="仿宋_GB2312" w:cs="Times New Roman"/>
          <w:color w:val="auto"/>
          <w:sz w:val="24"/>
          <w:lang w:val="en-US" w:eastAsia="zh-CN"/>
        </w:rPr>
        <w:t>取得哈尔滨市生态环境局（原</w:t>
      </w:r>
      <w:r>
        <w:rPr>
          <w:rFonts w:hint="default" w:ascii="Times New Roman" w:hAnsi="Times New Roman" w:eastAsia="仿宋_GB2312" w:cs="Times New Roman"/>
          <w:color w:val="auto"/>
          <w:sz w:val="24"/>
          <w:lang w:eastAsia="zh-CN"/>
        </w:rPr>
        <w:t>哈尔滨市</w:t>
      </w:r>
      <w:r>
        <w:rPr>
          <w:rFonts w:hint="default" w:ascii="Times New Roman" w:hAnsi="Times New Roman" w:eastAsia="仿宋_GB2312" w:cs="Times New Roman"/>
          <w:color w:val="auto"/>
          <w:sz w:val="24"/>
        </w:rPr>
        <w:t>环境保护</w:t>
      </w:r>
      <w:r>
        <w:rPr>
          <w:rFonts w:hint="default" w:ascii="Times New Roman" w:hAnsi="Times New Roman" w:eastAsia="仿宋_GB2312" w:cs="Times New Roman"/>
          <w:color w:val="auto"/>
          <w:sz w:val="24"/>
          <w:lang w:val="en-US" w:eastAsia="zh-CN"/>
        </w:rPr>
        <w:t>局）《关于</w:t>
      </w:r>
      <w:r>
        <w:rPr>
          <w:rFonts w:hint="eastAsia" w:cs="Times New Roman"/>
          <w:color w:val="auto"/>
          <w:sz w:val="24"/>
          <w:lang w:eastAsia="zh-CN"/>
        </w:rPr>
        <w:t>同江路道路</w:t>
      </w:r>
      <w:r>
        <w:rPr>
          <w:rFonts w:hint="default" w:ascii="Times New Roman" w:hAnsi="Times New Roman" w:eastAsia="仿宋_GB2312" w:cs="Times New Roman"/>
          <w:color w:val="auto"/>
          <w:sz w:val="24"/>
          <w:lang w:eastAsia="zh-CN"/>
        </w:rPr>
        <w:t>工程</w:t>
      </w:r>
      <w:r>
        <w:rPr>
          <w:rFonts w:hint="default" w:ascii="Times New Roman" w:hAnsi="Times New Roman" w:eastAsia="仿宋_GB2312" w:cs="Times New Roman"/>
          <w:color w:val="auto"/>
          <w:sz w:val="24"/>
        </w:rPr>
        <w:t>环境影响报告书</w:t>
      </w:r>
      <w:r>
        <w:rPr>
          <w:rFonts w:hint="default" w:ascii="Times New Roman" w:hAnsi="Times New Roman" w:eastAsia="仿宋_GB2312" w:cs="Times New Roman"/>
          <w:color w:val="auto"/>
          <w:sz w:val="24"/>
          <w:lang w:val="en-US" w:eastAsia="zh-CN"/>
        </w:rPr>
        <w:t>的批复》文件（哈环审书〔2017〕6</w:t>
      </w:r>
      <w:r>
        <w:rPr>
          <w:rFonts w:hint="eastAsia" w:cs="Times New Roman"/>
          <w:color w:val="auto"/>
          <w:sz w:val="24"/>
          <w:lang w:val="en-US" w:eastAsia="zh-CN"/>
        </w:rPr>
        <w:t>3</w:t>
      </w:r>
      <w:r>
        <w:rPr>
          <w:rFonts w:hint="default" w:ascii="Times New Roman" w:hAnsi="Times New Roman" w:eastAsia="仿宋_GB2312" w:cs="Times New Roman"/>
          <w:color w:val="auto"/>
          <w:sz w:val="24"/>
          <w:lang w:val="en-US" w:eastAsia="zh-CN"/>
        </w:rPr>
        <w:t>号）</w:t>
      </w:r>
      <w:r>
        <w:rPr>
          <w:rFonts w:hint="default" w:ascii="Times New Roman" w:hAnsi="Times New Roman" w:eastAsia="仿宋_GB2312" w:cs="Times New Roman"/>
          <w:color w:val="auto"/>
          <w:sz w:val="24"/>
        </w:rPr>
        <w:t>，批复如下：</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bookmarkStart w:id="53" w:name="bookmark1"/>
      <w:bookmarkEnd w:id="53"/>
      <w:r>
        <w:rPr>
          <w:rFonts w:hint="default" w:ascii="Times New Roman" w:hAnsi="Times New Roman" w:eastAsia="仿宋_GB2312" w:cs="Times New Roman"/>
          <w:color w:val="auto"/>
          <w:sz w:val="24"/>
        </w:rPr>
        <w:t>一、该项目位于哈尔滨市香坊区，道路为东西走向，起点为长寿路、终点为征仪路，道路全长639.694米(K0+30.801~K0+670.495)，道路为沥青混凝土路面，道路设计等级为城市次干路，设计车速50公里/小时，规划红线宽度60米，双向六车道。配套建设照明、绿化、排水及交通设施等附属工程等，主要工程内容见报告书。项目总投资6425.43万元，其中环保投资100万元，环保投资占总投资比例的1.56%。工程预计于2018年7月竣工。在全面落实报告书提出的各项环境保护及环境风险对策措施和我局审批文件要求的前提下，从环保角度分析</w:t>
      </w:r>
      <w:r>
        <w:rPr>
          <w:rFonts w:hint="eastAsia" w:cs="Times New Roman"/>
          <w:color w:val="auto"/>
          <w:sz w:val="24"/>
          <w:lang w:eastAsia="zh-CN"/>
        </w:rPr>
        <w:t>，</w:t>
      </w:r>
      <w:r>
        <w:rPr>
          <w:rFonts w:hint="default" w:ascii="Times New Roman" w:hAnsi="Times New Roman" w:eastAsia="仿宋_GB2312" w:cs="Times New Roman"/>
          <w:color w:val="auto"/>
          <w:sz w:val="24"/>
        </w:rPr>
        <w:t>同意该项目建设。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val="en-US" w:eastAsia="zh-CN"/>
        </w:rPr>
        <w:t>二、</w:t>
      </w:r>
      <w:r>
        <w:rPr>
          <w:rFonts w:hint="default" w:ascii="Times New Roman" w:hAnsi="Times New Roman" w:eastAsia="仿宋_GB2312" w:cs="Times New Roman"/>
          <w:color w:val="auto"/>
          <w:sz w:val="24"/>
          <w:lang w:eastAsia="zh-CN"/>
        </w:rPr>
        <w:t>项目建设和运行管理中应重点做好以下工作：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一</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做好生态保护工作。严格控制施工作业范围，施工场地尽量布设在永久占地范围内，施工道路选线尽量利用现有道路，减少植被破坏和水土流失。严格按照报告书提出的生态环境保护和防治水土流失方式措施。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二</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加强水环境保护。工程不设置施工营地。生产废水要设置沉淀池，沉淀后循环利用。物料堆场、拌和场等的选址应远离具有饮用水源地。</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三</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做好大气污染防治。本项目须配备足够的洒水车、档风板、蓬布等防尘设备，落实报告书中提出的施工期废气污染防治措施，同时按《哈尔滨市防治城市扬尘污染暂行办法》的有关规定有效控制物料运输、装卸、拌和等施工过程中的扬尘污染。灰土及沥青混凝土须采用场拌，减少扬尘对项目周围环境的污染。施工场界颗粒物无组织排放浓度限值应符合《大气污染物综合排放标准》</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GB16297-1996</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四）落实噪声污染防治措施。施工期通过采用低噪声机械设备、施工现场设置临时隔声围挡，合理安排施工时间和场所，严禁夜间（22点至次日6点）施工，因特殊需要必须连续作业的，需经当地人民政府或有关主管部门同意，并公告附近居民。合理布置运输车辆行驶路线等措施，降低施工噪声对周围敏感点的影响。施工场界噪声应符合《建筑施工场界环境噪声排放标准》（GB12523-2011）要求。工程须落实报告书中提出减噪路面、禁鸣等噪声污染防治措施，确保沿线噪声敏感建筑物、敏感目标满足《声环境质量标准》（GB3096-2008）相应标准要求。加强运营期敏感点噪声跟踪监测，根据监测结果及时增补、完善降噪措施，避免噪声扰民，同时须符合《地面交通噪声污染防治技术政策》（环发〔2010〕7号）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（五）落实报告书中固体废物处理处置措施。建筑垃圾及生活垃圾集中收集后运至指定地点处置。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六）在工程施工和运营过程中，应建立畅通公众参与平台，及时解决公众提出的合理环境诉求，按照环保部《建设项目环境影响评价信息公开机制方案》的有关要求，公开项目建设前、施工过程中和建成后等环评信息，主动接受社会监督。</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三、项目建设要严格执行环境保护设施与主体工程同时设计、同时施工、同时投产使用的环境保护“三同时”制度。项目建成后，应按规定程序申请竣工环境保护验收。验收合格后，方可投入使用。</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四、环境影响报告书经批准后，项目的性质、规模、地点或者防治污染的措施发生重大变动的，应当重新报批该项目的环境影响报告书。自环境影响报告书批复文件批准之日起，如超过5年方决定开工建设的，环境影响报告书应当重新审核。</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五、哈尔滨市环境保护局监察支队组织开展该建设项目环境保护事中事后监管工作，并按规定接受各级环境保护主管部门的监督检查。</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sectPr>
          <w:footerReference r:id="rId9" w:type="default"/>
          <w:pgSz w:w="11906" w:h="16839"/>
          <w:pgMar w:top="1440" w:right="1803" w:bottom="1440" w:left="1803" w:header="0" w:footer="1008" w:gutter="0"/>
          <w:pgNumType w:fmt="numberInDash"/>
          <w:cols w:space="720" w:num="1"/>
        </w:sectPr>
      </w:pPr>
    </w:p>
    <w:p>
      <w:pPr>
        <w:pStyle w:val="2"/>
        <w:bidi w:val="0"/>
        <w:rPr>
          <w:rFonts w:hint="default" w:ascii="Times New Roman" w:hAnsi="Times New Roman" w:eastAsia="仿宋_GB2312" w:cs="Times New Roman"/>
          <w:color w:val="auto"/>
        </w:rPr>
      </w:pPr>
      <w:bookmarkStart w:id="54" w:name="_Toc25886"/>
      <w:r>
        <w:rPr>
          <w:rFonts w:hint="default" w:ascii="Times New Roman" w:hAnsi="Times New Roman" w:eastAsia="仿宋_GB2312" w:cs="Times New Roman"/>
          <w:color w:val="auto"/>
        </w:rPr>
        <w:t>4. 环境保护措施落实情况调查</w:t>
      </w:r>
      <w:bookmarkEnd w:id="54"/>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本工程环境影响报告书及其批复针对生态影响、污染影响均提出了具体的保护措施。经调查，环评及其批复提出的各项措施基本予以了落实。</w:t>
      </w:r>
    </w:p>
    <w:p>
      <w:pPr>
        <w:pStyle w:val="3"/>
        <w:bidi w:val="0"/>
        <w:rPr>
          <w:rFonts w:hint="default" w:ascii="Times New Roman" w:hAnsi="Times New Roman" w:eastAsia="仿宋_GB2312" w:cs="Times New Roman"/>
          <w:color w:val="auto"/>
        </w:rPr>
      </w:pPr>
      <w:bookmarkStart w:id="55" w:name="bookmark22"/>
      <w:bookmarkEnd w:id="55"/>
      <w:bookmarkStart w:id="56" w:name="_Toc23993"/>
      <w:r>
        <w:rPr>
          <w:rFonts w:hint="default" w:ascii="Times New Roman" w:hAnsi="Times New Roman" w:eastAsia="仿宋_GB2312" w:cs="Times New Roman"/>
          <w:color w:val="auto"/>
        </w:rPr>
        <w:t>4.1 环境影响报告书环保措施落实情况</w:t>
      </w:r>
      <w:bookmarkEnd w:id="56"/>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4.1.1 设计期环保措施落实情况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工程设计单位要遵循“预防为主、防治结合 ”的原则优化施工图设计，尽量使工程建设对沿线自然环境和社会环境造成的不利影响减缓至最低限度。</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①合理布置施工营地、施工场地和施工便道，避免增加临时用地。工场地应进行防风、防渗、排水设计，减少施工作业的污染物排放。施工便道应利用现有公路及公路永久用地范围内区域。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②交通标志设置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在公路经过居民集中区路段设置禁鸣和限速标志，减少交通事故的发生以及减轻交通噪声的影响。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④根据道路沿线城镇规划情况，同步实施道路沿线的给排水管道的设计和施工，避免道路建成后重新布设管线所造成的路面反复开挖及其带来的环境污染与社会影响。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4.1.2 施工期环保措施落实情况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工程施工阶段，对地表水环境、声环境、大气环境、生态环境、固体废物产生的不利影响，环评中均提出了相应的环保措施，详见表4.1-1。</w:t>
      </w:r>
    </w:p>
    <w:p>
      <w:pPr>
        <w:pStyle w:val="5"/>
        <w:spacing w:line="246" w:lineRule="auto"/>
        <w:rPr>
          <w:rFonts w:hint="default" w:ascii="Times New Roman" w:hAnsi="Times New Roman" w:eastAsia="仿宋_GB2312" w:cs="Times New Roman"/>
          <w:color w:val="auto"/>
        </w:rPr>
      </w:pP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4.1.3 运营期环保措施落实情况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工程试运营阶段，对地表水环境、大气环境、声环境、生态环境、固体废物产生的不利影响，环评中均提出了相应的环保措施，详见表4.1-1。</w:t>
      </w:r>
    </w:p>
    <w:p>
      <w:pPr>
        <w:pStyle w:val="3"/>
        <w:bidi w:val="0"/>
        <w:rPr>
          <w:rFonts w:hint="default" w:ascii="Times New Roman" w:hAnsi="Times New Roman" w:eastAsia="仿宋_GB2312" w:cs="Times New Roman"/>
          <w:color w:val="auto"/>
        </w:rPr>
      </w:pPr>
      <w:bookmarkStart w:id="57" w:name="bookmark23"/>
      <w:bookmarkEnd w:id="57"/>
      <w:bookmarkStart w:id="58" w:name="_Toc19831"/>
      <w:r>
        <w:rPr>
          <w:rFonts w:hint="default" w:ascii="Times New Roman" w:hAnsi="Times New Roman" w:eastAsia="仿宋_GB2312" w:cs="Times New Roman"/>
          <w:color w:val="auto"/>
        </w:rPr>
        <w:t>4.2 环境影响报告书审批意见落实情况</w:t>
      </w:r>
      <w:bookmarkEnd w:id="5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环评报告书审批意见落实情况见表4.1-2。</w:t>
      </w:r>
    </w:p>
    <w:p>
      <w:pPr>
        <w:pStyle w:val="3"/>
        <w:bidi w:val="0"/>
        <w:rPr>
          <w:rFonts w:hint="default" w:ascii="Times New Roman" w:hAnsi="Times New Roman" w:eastAsia="仿宋_GB2312" w:cs="Times New Roman"/>
          <w:color w:val="auto"/>
        </w:rPr>
      </w:pPr>
      <w:bookmarkStart w:id="59" w:name="bookmark24"/>
      <w:bookmarkEnd w:id="59"/>
      <w:bookmarkStart w:id="60" w:name="_Toc24702"/>
      <w:r>
        <w:rPr>
          <w:rFonts w:hint="default" w:ascii="Times New Roman" w:hAnsi="Times New Roman" w:eastAsia="仿宋_GB2312" w:cs="Times New Roman"/>
          <w:color w:val="auto"/>
        </w:rPr>
        <w:t>4.3 环境保护措施落实情况小结</w:t>
      </w:r>
      <w:bookmarkEnd w:id="6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本项目施工阶段按照环评批复要求落实了施工期环境保护措施，将工程措施、植 物措施和临时措施有机结合，及时恢复因工程造成的植被破坏，防止水土流失。运营 期通过全线铺设低噪声路面、边坡及两侧绿化防护等措施降低噪声污染。运营单位按要求设置了环境风险事故防范设施，制定了危化品运输风险事故应急预案。</w:t>
      </w:r>
    </w:p>
    <w:p>
      <w:pPr>
        <w:spacing w:line="221" w:lineRule="auto"/>
        <w:rPr>
          <w:rFonts w:hint="default" w:ascii="Times New Roman" w:hAnsi="Times New Roman" w:eastAsia="仿宋_GB2312" w:cs="Times New Roman"/>
          <w:color w:val="auto"/>
          <w:sz w:val="24"/>
          <w:szCs w:val="24"/>
        </w:rPr>
        <w:sectPr>
          <w:pgSz w:w="11906" w:h="16839"/>
          <w:pgMar w:top="1440" w:right="1803" w:bottom="1440" w:left="1803" w:header="0" w:footer="1008" w:gutter="0"/>
          <w:pgNumType w:fmt="numberInDash"/>
          <w:cols w:space="720" w:num="1"/>
        </w:sectPr>
      </w:pPr>
    </w:p>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表</w:t>
      </w:r>
      <w:r>
        <w:rPr>
          <w:rFonts w:hint="default" w:ascii="Times New Roman" w:hAnsi="Times New Roman" w:eastAsia="仿宋_GB2312" w:cs="Times New Roman"/>
          <w:color w:val="auto"/>
          <w:spacing w:val="-49"/>
          <w:sz w:val="24"/>
          <w:szCs w:val="24"/>
        </w:rPr>
        <w:t xml:space="preserve"> </w:t>
      </w: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4.1-1</w:t>
      </w:r>
      <w:r>
        <w:rPr>
          <w:rFonts w:hint="eastAsia" w:cs="Times New Roman"/>
          <w:color w:val="auto"/>
          <w:spacing w:val="-2"/>
          <w:sz w:val="24"/>
          <w:szCs w:val="24"/>
          <w:lang w:val="en-US" w:eastAsia="zh-CN"/>
          <w14:textOutline w14:w="4358" w14:cap="sq" w14:cmpd="sng">
            <w14:solidFill>
              <w14:srgbClr w14:val="000000"/>
            </w14:solidFill>
            <w14:prstDash w14:val="solid"/>
            <w14:bevel/>
          </w14:textOutline>
        </w:rPr>
        <w:t xml:space="preserve"> </w:t>
      </w:r>
      <w:r>
        <w:rPr>
          <w:rFonts w:hint="default" w:ascii="Times New Roman" w:hAnsi="Times New Roman" w:eastAsia="仿宋_GB2312" w:cs="Times New Roman"/>
          <w:color w:val="auto"/>
          <w:spacing w:val="-47"/>
          <w:sz w:val="24"/>
          <w:szCs w:val="24"/>
        </w:rPr>
        <w:t xml:space="preserve"> </w:t>
      </w: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环评报告书中环保措施落实情况一览表</w:t>
      </w:r>
    </w:p>
    <w:tbl>
      <w:tblPr>
        <w:tblStyle w:val="13"/>
        <w:tblW w:w="50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1106"/>
        <w:gridCol w:w="6184"/>
        <w:gridCol w:w="6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环境问题</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环评中提出的措施</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（1）合理布局，制定施工计划时，应尽可能避免大量噪声设备同时使用。</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（2）采用低噪声设备代替高噪声设备，如采用低噪声施工机械、车辆等。</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（3）禁止夜间（22：00-6：00）施工作业。</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（4）途经敏感点路段施工时，安装隔声屏障，建议高度2.5m。</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（5）物料运输途径居民区等敏感点时减速慢行、禁止鸣笛及夜间禁止运输。</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（1）制定施工计划</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施工采用</w:t>
            </w:r>
            <w:r>
              <w:rPr>
                <w:rFonts w:hint="default" w:ascii="Times New Roman" w:hAnsi="Times New Roman" w:eastAsia="仿宋_GB2312" w:cs="Times New Roman"/>
                <w:color w:val="auto"/>
                <w:sz w:val="21"/>
                <w:szCs w:val="21"/>
              </w:rPr>
              <w:t>合理布局，避免大量噪声设备同时使用。</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r>
              <w:rPr>
                <w:rFonts w:hint="default" w:ascii="Times New Roman" w:hAnsi="Times New Roman" w:eastAsia="仿宋_GB2312" w:cs="Times New Roman"/>
                <w:color w:val="auto"/>
                <w:sz w:val="21"/>
                <w:szCs w:val="21"/>
                <w:lang w:val="en-US" w:eastAsia="zh-CN"/>
              </w:rPr>
              <w:t>已</w:t>
            </w:r>
            <w:r>
              <w:rPr>
                <w:rFonts w:hint="default" w:ascii="Times New Roman" w:hAnsi="Times New Roman" w:eastAsia="仿宋_GB2312" w:cs="Times New Roman"/>
                <w:color w:val="auto"/>
                <w:sz w:val="21"/>
                <w:szCs w:val="21"/>
              </w:rPr>
              <w:t>采用低噪声设备代替高噪声设备，低噪声施工机械、车辆等。</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r>
              <w:rPr>
                <w:rFonts w:hint="default" w:ascii="Times New Roman" w:hAnsi="Times New Roman" w:eastAsia="仿宋_GB2312" w:cs="Times New Roman"/>
                <w:color w:val="auto"/>
                <w:sz w:val="21"/>
                <w:szCs w:val="21"/>
                <w:lang w:val="en-US" w:eastAsia="zh-CN"/>
              </w:rPr>
              <w:t>夜间</w:t>
            </w:r>
            <w:r>
              <w:rPr>
                <w:rFonts w:hint="default" w:ascii="Times New Roman" w:hAnsi="Times New Roman" w:eastAsia="仿宋_GB2312" w:cs="Times New Roman"/>
                <w:color w:val="auto"/>
                <w:sz w:val="21"/>
                <w:szCs w:val="21"/>
              </w:rPr>
              <w:t>（22：00-6：00）</w:t>
            </w:r>
            <w:r>
              <w:rPr>
                <w:rFonts w:hint="default" w:ascii="Times New Roman" w:hAnsi="Times New Roman" w:eastAsia="仿宋_GB2312" w:cs="Times New Roman"/>
                <w:color w:val="auto"/>
                <w:sz w:val="21"/>
                <w:szCs w:val="21"/>
                <w:lang w:val="en-US" w:eastAsia="zh-CN"/>
              </w:rPr>
              <w:t>未</w:t>
            </w:r>
            <w:r>
              <w:rPr>
                <w:rFonts w:hint="default" w:ascii="Times New Roman" w:hAnsi="Times New Roman" w:eastAsia="仿宋_GB2312" w:cs="Times New Roman"/>
                <w:color w:val="auto"/>
                <w:sz w:val="21"/>
                <w:szCs w:val="21"/>
              </w:rPr>
              <w:t>施工作业。</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（4）途经敏感点路段施工时，安装隔声屏障，高度2.5m。</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（5）物料运输途径居民区等敏感点时减速慢行、禁止鸣笛及夜间禁止运输。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运营期</w:t>
            </w:r>
            <w:r>
              <w:rPr>
                <w:rFonts w:hint="default" w:ascii="Times New Roman" w:hAnsi="Times New Roman" w:eastAsia="仿宋_GB2312" w:cs="Times New Roman"/>
                <w:color w:val="auto"/>
                <w:sz w:val="21"/>
                <w:szCs w:val="21"/>
                <w:lang w:eastAsia="zh-CN"/>
              </w:rPr>
              <w:t>：</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由于本项目距环境敏感点距离较远，根据噪声预测结果可知敏感点近、中期均</w:t>
            </w:r>
            <w:r>
              <w:rPr>
                <w:rFonts w:hint="eastAsia" w:cs="Times New Roman"/>
                <w:color w:val="auto"/>
                <w:sz w:val="21"/>
                <w:szCs w:val="21"/>
                <w:lang w:val="en-US" w:eastAsia="zh-CN"/>
              </w:rPr>
              <w:t>未</w:t>
            </w:r>
            <w:r>
              <w:rPr>
                <w:rFonts w:hint="default" w:ascii="Times New Roman" w:hAnsi="Times New Roman" w:eastAsia="仿宋_GB2312" w:cs="Times New Roman"/>
                <w:color w:val="auto"/>
                <w:sz w:val="21"/>
                <w:szCs w:val="21"/>
              </w:rPr>
              <w:t>出现超标现象，声环境敏感点均能满足《声环境质量标准》2类区标准要求。本项目营运期间不会对敏感点造成严重影响，因此在营运期间无需采取环保措施。由于噪声预测结果显示远期夜间可能会出现超标现象，建设单位需在运营远期进行噪声监测，如果产生超标现象需要在道路临近棚户区一侧设置禁止鸣笛警示牌。</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依据验收调查期间，噪声监测结果，均能达到</w:t>
            </w:r>
            <w:r>
              <w:rPr>
                <w:rFonts w:hint="default" w:ascii="Times New Roman" w:hAnsi="Times New Roman" w:eastAsia="仿宋_GB2312" w:cs="Times New Roman"/>
                <w:color w:val="auto"/>
                <w:lang w:eastAsia="zh-CN"/>
              </w:rPr>
              <w:t>《声环境质量标准》（GB3096-2008）中</w:t>
            </w:r>
            <w:r>
              <w:rPr>
                <w:rFonts w:hint="eastAsia" w:cs="Times New Roman"/>
                <w:color w:val="auto"/>
                <w:lang w:val="en-US" w:eastAsia="zh-CN"/>
              </w:rPr>
              <w:t>4a、</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地表水</w:t>
            </w: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（1）建筑材料堆放场地时应加盖蓬布，防止雨水冲刷对地表水影响轻微。</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（2）施工废水设置防渗沉淀池集中处理后回用，不外排，对地表水环境影响较小。</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（3）项目周期较短，不设施工营地，所以不考虑施工人员生活污水对环境的影响。</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（1）建筑材料堆放场地时</w:t>
            </w:r>
            <w:r>
              <w:rPr>
                <w:rFonts w:hint="default" w:ascii="Times New Roman" w:hAnsi="Times New Roman" w:eastAsia="仿宋_GB2312" w:cs="Times New Roman"/>
                <w:b w:val="0"/>
                <w:snapToGrid w:val="0"/>
                <w:color w:val="auto"/>
                <w:kern w:val="0"/>
                <w:sz w:val="21"/>
                <w:szCs w:val="21"/>
                <w:lang w:val="en-US" w:eastAsia="zh-CN" w:bidi="ar-SA"/>
              </w:rPr>
              <w:t>已</w:t>
            </w:r>
            <w:r>
              <w:rPr>
                <w:rFonts w:hint="default" w:ascii="Times New Roman" w:hAnsi="Times New Roman" w:eastAsia="仿宋_GB2312" w:cs="Times New Roman"/>
                <w:b w:val="0"/>
                <w:snapToGrid w:val="0"/>
                <w:color w:val="auto"/>
                <w:kern w:val="0"/>
                <w:sz w:val="21"/>
                <w:szCs w:val="21"/>
                <w:lang w:val="en-US" w:eastAsia="en-US" w:bidi="ar-SA"/>
              </w:rPr>
              <w:t>加盖蓬布，防止雨水冲刷对地表水影响轻微。</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（2）施工废水设置防渗沉淀池集中处理后回用，不外排。</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（3）</w:t>
            </w:r>
            <w:r>
              <w:rPr>
                <w:rFonts w:hint="default" w:ascii="Times New Roman" w:hAnsi="Times New Roman" w:eastAsia="仿宋_GB2312" w:cs="Times New Roman"/>
                <w:b w:val="0"/>
                <w:snapToGrid w:val="0"/>
                <w:color w:val="auto"/>
                <w:kern w:val="0"/>
                <w:sz w:val="21"/>
                <w:szCs w:val="21"/>
                <w:lang w:val="en-US" w:eastAsia="zh-CN" w:bidi="ar-SA"/>
              </w:rPr>
              <w:t>未</w:t>
            </w:r>
            <w:r>
              <w:rPr>
                <w:rFonts w:hint="default" w:ascii="Times New Roman" w:hAnsi="Times New Roman" w:eastAsia="仿宋_GB2312" w:cs="Times New Roman"/>
                <w:b w:val="0"/>
                <w:snapToGrid w:val="0"/>
                <w:color w:val="auto"/>
                <w:kern w:val="0"/>
                <w:sz w:val="21"/>
                <w:szCs w:val="21"/>
                <w:lang w:val="en-US" w:eastAsia="en-US" w:bidi="ar-SA"/>
              </w:rPr>
              <w:t>设施工营地。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环境空气</w:t>
            </w:r>
          </w:p>
        </w:tc>
        <w:tc>
          <w:tcPr>
            <w:tcW w:w="2303" w:type="pct"/>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en-US" w:bidi="ar-SA"/>
              </w:rPr>
              <w:t>施工期</w:t>
            </w:r>
            <w:r>
              <w:rPr>
                <w:rFonts w:hint="default" w:ascii="Times New Roman" w:hAnsi="Times New Roman" w:eastAsia="仿宋_GB2312" w:cs="Times New Roman"/>
                <w:b w:val="0"/>
                <w:snapToGrid w:val="0"/>
                <w:color w:val="auto"/>
                <w:kern w:val="0"/>
                <w:sz w:val="21"/>
                <w:szCs w:val="21"/>
                <w:lang w:val="en-US" w:eastAsia="zh-CN" w:bidi="ar-SA"/>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（1）本项目施工路段设置隔尘挡板，并严禁在档墙外堆放施工材料、建筑垃圾和渣土。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（2）砂土等散体物质运输车辆必须严加管理，采取用篷布盖严或加水防护措施，施工结束后，上述影响将随之消失。</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 xml:space="preserve">（3）堆料场和临时堆土场应采取防风防雨措施，防止尘土飞扬，遇恶劣天气加盖毡布。 </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（4）对施工场地、运输道路采取洒水等方法处理，干旱大风天气应加强洒水，适当增加洒水次数。</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（2）砂土等散体物质运输车辆严加管理，采取用篷布盖严或加水防护措施。</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 xml:space="preserve">（3）堆料场和临时堆土场应采取防风防雨措施，防止尘土飞扬，遇恶劣天气加盖毡布。 </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en-US" w:bidi="ar-SA"/>
              </w:rPr>
              <w:t>（4）对施工场地、运输道路采取洒水等方法处理，干旱大风天气加强洒水，</w:t>
            </w:r>
            <w:r>
              <w:rPr>
                <w:rFonts w:hint="default" w:ascii="Times New Roman" w:hAnsi="Times New Roman" w:eastAsia="仿宋_GB2312" w:cs="Times New Roman"/>
                <w:b w:val="0"/>
                <w:snapToGrid w:val="0"/>
                <w:color w:val="auto"/>
                <w:kern w:val="0"/>
                <w:sz w:val="21"/>
                <w:szCs w:val="21"/>
                <w:lang w:val="en-US" w:eastAsia="zh-CN" w:bidi="ar-SA"/>
              </w:rPr>
              <w:t>并</w:t>
            </w:r>
            <w:r>
              <w:rPr>
                <w:rFonts w:hint="default" w:ascii="Times New Roman" w:hAnsi="Times New Roman" w:eastAsia="仿宋_GB2312" w:cs="Times New Roman"/>
                <w:b w:val="0"/>
                <w:snapToGrid w:val="0"/>
                <w:color w:val="auto"/>
                <w:kern w:val="0"/>
                <w:sz w:val="21"/>
                <w:szCs w:val="21"/>
                <w:lang w:val="en-US" w:eastAsia="en-US" w:bidi="ar-SA"/>
              </w:rPr>
              <w:t>增加洒水次数。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运营期：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（1）加强道路管理及路面养护，保持道路良好的运营状态，减少车辆尾气的排放。</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en-US" w:bidi="ar-SA"/>
              </w:rPr>
              <w:t>（2）对于装有易产生扬尘的运输车辆要求罩盖篷布，防止运输中飞扬洒落。</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（1）加强道路管理及路面养护，保持道路良好的运营状态，减少车辆尾气的排放。</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（2）对于装有易产生扬尘的运输车辆要求罩盖篷布，防止运输中飞扬洒落。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固体废物</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施工期：</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（1）土石方</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工程弃方全部为不良地质换挖的杂土和腐殖土，用于城市绿化。挖方在工程用地范围内临时堆存。</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（2）施工人员生活垃圾</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施工人员生活垃圾应定点堆放，定期由环卫部门定期清运至城市生活垃圾处理场，严禁乱丢乱弃，对环境影响较小。</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（1）土石方</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工程弃方全部为不良地质换挖的杂土和腐殖土，用于城市绿化。挖方在工程用地范围内临时堆存。</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（2）施工人员生活垃圾</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zh-CN" w:bidi="ar-SA"/>
              </w:rPr>
              <w:t>施工人员生活垃圾定期由环卫部门定期清运至城市生活垃圾处理场，严禁乱丢乱弃。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生态环境</w:t>
            </w: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施工期：</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（1）临时建筑采用成品或简易拼装方式，尽量减轻对土壤结构的破坏。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（2）保持施工场地的干净、整洁，合理安排各种不同工序布局，保持场地内井然有序。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（3）路基施工或临时用地施工前，应将表土熟土层（约20cm厚，即土壤耕作层）剥离，暂存于设置的临时堆土场，并采取临时拦挡和覆盖措施。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（4）物料及其它固体废物应集中存放，并采取临时拦挡和覆盖措施，防止水土流失。</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（5）水土流失防治措施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主体工程设计表土剥离及回覆、彩条布苫盖等措施。临时堆土场在工程永久占地范围内。</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（1）临时建筑采用成品方式，减轻对土壤结构的破坏。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（2）保持施工场地的干净、整洁，合理安排各种不同工序布局，保持场地内井然有序。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（3）路基施工、临时用地施工前，将表土熟土层（20cm厚）剥离，暂存于设置的临时堆土场，并采取临时拦挡和覆盖措施。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（4）物料及其它固体废物集中存放，并采取临时拦挡和覆盖措施，防止水土流失。</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（5）水土流失防治措施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zh-CN" w:bidi="ar-SA"/>
              </w:rPr>
              <w:t>主体工程设计表土剥离及回覆、彩条布苫盖等措施。临时堆土场在工程永久占地范围内。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运营期：</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及时实施道路的绿化工程，并加强对绿化植物的管理与养护。</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对道路两侧种植绿化。</w:t>
            </w:r>
          </w:p>
        </w:tc>
      </w:tr>
    </w:tbl>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p>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p>
    <w:p>
      <w:pPr>
        <w:pStyle w:val="5"/>
        <w:rPr>
          <w:rFonts w:hint="default" w:ascii="Times New Roman" w:hAnsi="Times New Roman" w:eastAsia="仿宋_GB2312" w:cs="Times New Roman"/>
          <w:color w:val="auto"/>
        </w:rPr>
      </w:pPr>
    </w:p>
    <w:p>
      <w:pPr>
        <w:rPr>
          <w:rFonts w:hint="default" w:ascii="Times New Roman" w:hAnsi="Times New Roman" w:eastAsia="仿宋_GB2312" w:cs="Times New Roman"/>
          <w:color w:val="auto"/>
        </w:rPr>
        <w:sectPr>
          <w:footerReference r:id="rId10" w:type="default"/>
          <w:pgSz w:w="16839" w:h="11906"/>
          <w:pgMar w:top="1440" w:right="1803" w:bottom="1440" w:left="1803" w:header="0" w:footer="1008" w:gutter="0"/>
          <w:pgNumType w:fmt="numberInDash"/>
          <w:cols w:space="720" w:num="1"/>
        </w:sectPr>
      </w:pPr>
    </w:p>
    <w:p>
      <w:pPr>
        <w:spacing w:before="38" w:line="212" w:lineRule="auto"/>
        <w:ind w:left="4836"/>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表</w:t>
      </w:r>
      <w:r>
        <w:rPr>
          <w:rFonts w:hint="default" w:ascii="Times New Roman" w:hAnsi="Times New Roman" w:eastAsia="仿宋_GB2312" w:cs="Times New Roman"/>
          <w:color w:val="auto"/>
          <w:spacing w:val="-35"/>
          <w:sz w:val="24"/>
          <w:szCs w:val="24"/>
        </w:rPr>
        <w:t xml:space="preserve"> </w:t>
      </w: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4.1-2</w:t>
      </w:r>
      <w:r>
        <w:rPr>
          <w:rFonts w:hint="eastAsia" w:cs="Times New Roman"/>
          <w:color w:val="auto"/>
          <w:spacing w:val="-3"/>
          <w:sz w:val="24"/>
          <w:szCs w:val="24"/>
          <w:lang w:val="en-US" w:eastAsia="zh-CN"/>
          <w14:textOutline w14:w="4358" w14:cap="sq" w14:cmpd="sng">
            <w14:solidFill>
              <w14:srgbClr w14:val="000000"/>
            </w14:solidFill>
            <w14:prstDash w14:val="solid"/>
            <w14:bevel/>
          </w14:textOutline>
        </w:rPr>
        <w:t xml:space="preserve"> </w:t>
      </w:r>
      <w:r>
        <w:rPr>
          <w:rFonts w:hint="default" w:ascii="Times New Roman" w:hAnsi="Times New Roman" w:eastAsia="仿宋_GB2312" w:cs="Times New Roman"/>
          <w:color w:val="auto"/>
          <w:spacing w:val="-47"/>
          <w:sz w:val="24"/>
          <w:szCs w:val="24"/>
          <w:lang w:val="en-US" w:eastAsia="zh-CN"/>
        </w:rPr>
        <w:t xml:space="preserve">  </w:t>
      </w: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环评报告书批复落实情况一览表</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1040"/>
        <w:gridCol w:w="5651"/>
        <w:gridCol w:w="5200"/>
        <w:gridCol w:w="1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环评批复意见</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实际落实情况</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调查结论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做好生态保护工作。严格控制施工作业范围，施工场地尽量布设在永久占地范围内，施工道路选线尽量利用现有道路，减少植被破坏和水土流失。严格按照报告书提出的生态环境保护和防治水土流失方式措施。</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制定了施工期环境保护手册，</w:t>
            </w:r>
            <w:r>
              <w:rPr>
                <w:rFonts w:hint="default" w:ascii="Times New Roman" w:hAnsi="Times New Roman" w:eastAsia="仿宋_GB2312" w:cs="Times New Roman"/>
                <w:color w:val="auto"/>
                <w:sz w:val="21"/>
                <w:szCs w:val="21"/>
                <w:lang w:val="en-US" w:eastAsia="zh-CN"/>
              </w:rPr>
              <w:t>严格控制施工作业范围，施工场地布设在永久占地范围内，施工道路选线尽量利用现有道路，减少植被破坏和水土流失。严格按照报告书提出的生态环境保护和防治水土流失方式措施。</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加强水环境保护。工程不设置施工营地。生产废水要设置沉淀池，沉淀后循环利用。物料堆场、拌和场等的选址应远离具有饮用水源地。</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未设置施工营地。生产废水要设置沉淀池，沉淀后循环利用。物料堆场、拌和场等的选址应远离具有饮用水源地。</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做好大气污染防治。本项目须配备足够的洒水车、档风板、蓬布等防尘设备，落实报告书中提出的施工期废气污染防治措施，同时按《哈尔滨市防治城市扬尘污染暂行办法》的有关规定有效控制物料运输、装卸、拌和等施工过程中的扬尘污染。灰土及沥青混凝土须采用场拌，减少扬尘对项目周围环境的污染。施工场界颗粒物无组织排放浓度限值应符合《大气污染物综合排放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GB16297-1996</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要求。</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本项目须配备足够的洒水车、档风板、蓬布等防尘设备，落实报告书中提出的施工期废气污染防治措施。施工阶段按照要求做了防尘措施，施工渣土运输满足覆 盖、选择居民较少的运输路线和定期清洗。</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落实噪声污染防治措施。施工期通过采用低噪声机械设备、施工现场设置临时隔声围挡，合理安排施工时间和场所，严禁夜间（22点至次日6点）施工，因特殊需要必须连续作业的，需经当地人民政府或有关主管部门同意，并公告附近居民。合理布置运输车辆行驶路线等措施，降低施工噪声对周围敏感点的影响。施工场界噪声应符合《建筑施工场界环境噪声排放标准》（GB12523-2011）要求。工程须落实报告书中提出减噪路面、禁鸣等噪声污染防治措施，确保沿线噪声敏感建筑物、敏感目标满足《声环境质量标准》（GB3096-2008）相应标准要求。加强运营期敏感点噪声跟踪监测，根据监测结果及时增补、完善降噪措施，避免噪声扰民，同时须符合《地面交通噪声污染防治技术政策》（环发〔2010〕7号）要求。</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eastAsia="zh-CN"/>
              </w:rPr>
              <w:t>施工期采用低噪声机械设备、施工现场设置临时隔声围挡，夜间（22点至次日6点）</w:t>
            </w:r>
            <w:r>
              <w:rPr>
                <w:rFonts w:hint="default" w:ascii="Times New Roman" w:hAnsi="Times New Roman" w:eastAsia="仿宋_GB2312" w:cs="Times New Roman"/>
                <w:color w:val="auto"/>
                <w:sz w:val="21"/>
                <w:szCs w:val="21"/>
                <w:lang w:val="en-US" w:eastAsia="zh-CN"/>
              </w:rPr>
              <w:t>未进行</w:t>
            </w:r>
            <w:r>
              <w:rPr>
                <w:rFonts w:hint="default" w:ascii="Times New Roman" w:hAnsi="Times New Roman" w:eastAsia="仿宋_GB2312" w:cs="Times New Roman"/>
                <w:color w:val="auto"/>
                <w:sz w:val="21"/>
                <w:szCs w:val="21"/>
                <w:lang w:eastAsia="zh-CN"/>
              </w:rPr>
              <w:t>施工</w:t>
            </w:r>
            <w:r>
              <w:rPr>
                <w:rFonts w:hint="default" w:ascii="Times New Roman" w:hAnsi="Times New Roman" w:eastAsia="仿宋_GB2312" w:cs="Times New Roman"/>
                <w:color w:val="auto"/>
                <w:sz w:val="21"/>
                <w:szCs w:val="21"/>
                <w:lang w:val="en-US" w:eastAsia="zh-CN"/>
              </w:rPr>
              <w:t>作业。</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落实报告书中固体废物处理处置措施。建筑垃圾及生活垃圾集中收集后运至指定地点处置。</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建筑垃圾及生活垃圾集中收集后运至指定地点处置。</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6</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在工程施工和运营过程中，应建立畅通公众参与平台，及时解决公众提出的合理环境诉求，按照环保部《建设项目环境影响评价信息公开机制方案》的有关要求，公开项目建设前、施工过程中和建成后等环评信息，主动接受社会监督。</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按照环保部《建设项目环境影响评价信息公开机制方案》的有关要求，公开项目建设前、施工过程中和建成后等环评信息，接受社会监督。</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bl>
    <w:p>
      <w:pPr>
        <w:ind w:left="0" w:leftChars="0" w:firstLine="0" w:firstLineChars="0"/>
        <w:rPr>
          <w:rFonts w:hint="default" w:ascii="Times New Roman" w:hAnsi="Times New Roman" w:eastAsia="仿宋_GB2312" w:cs="Times New Roman"/>
          <w:color w:val="auto"/>
        </w:rPr>
        <w:sectPr>
          <w:footerReference r:id="rId11" w:type="default"/>
          <w:pgSz w:w="16839" w:h="11906"/>
          <w:pgMar w:top="1440" w:right="1803" w:bottom="1440" w:left="1803" w:header="0" w:footer="1008" w:gutter="0"/>
          <w:pgNumType w:fmt="numberInDash"/>
          <w:cols w:space="720" w:num="1"/>
        </w:sectPr>
      </w:pPr>
    </w:p>
    <w:p>
      <w:pPr>
        <w:pStyle w:val="2"/>
        <w:bidi w:val="0"/>
        <w:rPr>
          <w:rFonts w:hint="default" w:ascii="Times New Roman" w:hAnsi="Times New Roman" w:eastAsia="仿宋_GB2312" w:cs="Times New Roman"/>
          <w:color w:val="auto"/>
        </w:rPr>
      </w:pPr>
      <w:bookmarkStart w:id="61" w:name="bookmark2"/>
      <w:bookmarkEnd w:id="61"/>
      <w:bookmarkStart w:id="62" w:name="bookmark31"/>
      <w:bookmarkEnd w:id="62"/>
      <w:bookmarkStart w:id="63" w:name="bookmark28"/>
      <w:bookmarkEnd w:id="63"/>
      <w:bookmarkStart w:id="64" w:name="bookmark25"/>
      <w:bookmarkEnd w:id="64"/>
      <w:bookmarkStart w:id="65" w:name="_Toc29649"/>
      <w:r>
        <w:rPr>
          <w:rFonts w:hint="default" w:ascii="Times New Roman" w:hAnsi="Times New Roman" w:eastAsia="仿宋_GB2312" w:cs="Times New Roman"/>
          <w:color w:val="auto"/>
        </w:rPr>
        <w:t>5. 生态环境影响调查</w:t>
      </w:r>
      <w:bookmarkEnd w:id="65"/>
    </w:p>
    <w:p>
      <w:pPr>
        <w:pStyle w:val="3"/>
        <w:bidi w:val="0"/>
        <w:rPr>
          <w:rFonts w:hint="default" w:ascii="Times New Roman" w:hAnsi="Times New Roman" w:eastAsia="仿宋_GB2312" w:cs="Times New Roman"/>
          <w:color w:val="auto"/>
        </w:rPr>
      </w:pPr>
      <w:bookmarkStart w:id="66" w:name="_Toc15125"/>
      <w:r>
        <w:rPr>
          <w:rFonts w:hint="default" w:ascii="Times New Roman" w:hAnsi="Times New Roman" w:eastAsia="仿宋_GB2312" w:cs="Times New Roman"/>
          <w:color w:val="auto"/>
        </w:rPr>
        <w:t>5.1 调查重点</w:t>
      </w:r>
      <w:bookmarkEnd w:id="6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（1）工程占地情况。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（2）工程扰动土地（主要指工程临时占地、施工道路等）的生态或功能恢复情况。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（3）工程对所涉及的自然保护区等生态敏感目标的影响，采取的保护措施和保护效果。</w:t>
      </w:r>
    </w:p>
    <w:p>
      <w:pPr>
        <w:pStyle w:val="3"/>
        <w:bidi w:val="0"/>
        <w:rPr>
          <w:rFonts w:hint="default" w:ascii="Times New Roman" w:hAnsi="Times New Roman" w:eastAsia="仿宋_GB2312" w:cs="Times New Roman"/>
          <w:color w:val="auto"/>
        </w:rPr>
      </w:pPr>
      <w:bookmarkStart w:id="67" w:name="bookmark29"/>
      <w:bookmarkEnd w:id="67"/>
      <w:bookmarkStart w:id="68" w:name="bookmark26"/>
      <w:bookmarkEnd w:id="68"/>
      <w:bookmarkStart w:id="69" w:name="bookmark30"/>
      <w:bookmarkEnd w:id="69"/>
      <w:bookmarkStart w:id="70" w:name="bookmark27"/>
      <w:bookmarkEnd w:id="70"/>
      <w:bookmarkStart w:id="71" w:name="_Toc28230"/>
      <w:r>
        <w:rPr>
          <w:rFonts w:hint="default" w:ascii="Times New Roman" w:hAnsi="Times New Roman" w:eastAsia="仿宋_GB2312" w:cs="Times New Roman"/>
          <w:color w:val="auto"/>
        </w:rPr>
        <w:t>5.2 主要生态环境调查指标</w:t>
      </w:r>
      <w:bookmarkEnd w:id="7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（1）永久占地：包括占地类型、 占地面积，重点是占用耕地、林地和草地的数量等。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（2）临时占地：包括便道、施工营地等的数量，恢复措施和恢复效果等。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（3）取、弃土（渣）场：包括取、弃土（渣）场的位置， 占地面积， 占地类型， 土石方数量，与公路的距离，采取的恢复措施及恢复效果；说明实际设置的取、弃土（渣）场与环境影响评价文件中确定的取、弃土（渣）场的变化情况及合理性。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（4）绿化工程：包括绿化方案，绿化面积，绿化投资，绿化植物的种类、数量， 重点区域（包括取、弃土（渣）场、管理处等）景观绿化，公路用地范围内的绿化率等。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（5）河流水系、水利设施：公路用地范围内扰动的河流水系、水利设施分布状况及相应的防护措施等。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（6）调查公路建设过程中产生的固体废弃物类型、数量、去向以及处置方式。</w:t>
      </w:r>
    </w:p>
    <w:p>
      <w:pPr>
        <w:pStyle w:val="3"/>
        <w:bidi w:val="0"/>
        <w:rPr>
          <w:rFonts w:hint="default" w:ascii="Times New Roman" w:hAnsi="Times New Roman" w:eastAsia="仿宋_GB2312" w:cs="Times New Roman"/>
          <w:color w:val="auto"/>
        </w:rPr>
      </w:pPr>
      <w:bookmarkStart w:id="72" w:name="_Toc21418"/>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 xml:space="preserve">3 </w:t>
      </w:r>
      <w:r>
        <w:rPr>
          <w:rFonts w:hint="default" w:ascii="Times New Roman" w:hAnsi="Times New Roman" w:eastAsia="仿宋_GB2312" w:cs="Times New Roman"/>
          <w:color w:val="auto"/>
        </w:rPr>
        <w:t>生态影响调查与分析</w:t>
      </w:r>
      <w:bookmarkEnd w:id="72"/>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.1</w:t>
      </w:r>
      <w:r>
        <w:rPr>
          <w:rFonts w:hint="default" w:ascii="Times New Roman" w:hAnsi="Times New Roman" w:eastAsia="仿宋_GB2312" w:cs="Times New Roman"/>
          <w:color w:val="auto"/>
          <w:lang w:val="en-US" w:eastAsia="zh-CN"/>
        </w:rPr>
        <w:t xml:space="preserve"> 生态环境现状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本工程位于哈尔滨市城区，工程范围为城市生态系统。</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.2</w:t>
      </w:r>
      <w:r>
        <w:rPr>
          <w:rFonts w:hint="default" w:ascii="Times New Roman" w:hAnsi="Times New Roman" w:eastAsia="仿宋_GB2312" w:cs="Times New Roman"/>
          <w:color w:val="auto"/>
          <w:lang w:val="en-US" w:eastAsia="zh-CN"/>
        </w:rPr>
        <w:t xml:space="preserve"> 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（1）施工期生态环境保护目标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施工场地、施工单位驻地及施工设施会占用土地、破坏地表植被、影响城市生态及城市景观，施工产生的振动、噪声影响工程沿线各敏感点；施工期保护目标为城市绿地等。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（2）运营期生态环境保护目标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工程投入运营后，主要保护目标为城市景观及人群健康，要保证工程新建的人工建筑与周围城市的自然景观和人工景观 和谐统一，树立以人为本的服务观念，有利于城市生态系统良性循环，为创建“生 态城市”做出贡献，保证城市的可持续发展。</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5.3.3</w:t>
      </w:r>
      <w:r>
        <w:rPr>
          <w:rFonts w:hint="default" w:ascii="Times New Roman" w:hAnsi="Times New Roman" w:eastAsia="仿宋_GB2312" w:cs="Times New Roman"/>
          <w:color w:val="auto"/>
        </w:rPr>
        <w:t xml:space="preserve"> 工程占地情况调查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环评阶段本工程占用土地</w:t>
      </w:r>
      <w:r>
        <w:rPr>
          <w:rFonts w:hint="eastAsia" w:cs="Times New Roman"/>
          <w:color w:val="auto"/>
          <w:sz w:val="24"/>
          <w:lang w:eastAsia="zh-CN"/>
        </w:rPr>
        <w:t>21835.92</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en-US" w:eastAsia="zh-CN"/>
        </w:rPr>
        <w:t>全部为</w:t>
      </w:r>
      <w:r>
        <w:rPr>
          <w:rFonts w:hint="default" w:ascii="Times New Roman" w:hAnsi="Times New Roman" w:eastAsia="仿宋_GB2312" w:cs="Times New Roman"/>
          <w:color w:val="auto"/>
          <w:sz w:val="24"/>
        </w:rPr>
        <w:t>永久占地 。</w:t>
      </w:r>
      <w:r>
        <w:rPr>
          <w:rFonts w:hint="default" w:ascii="Times New Roman" w:hAnsi="Times New Roman" w:eastAsia="仿宋_GB2312" w:cs="Times New Roman"/>
          <w:color w:val="auto"/>
          <w:sz w:val="24"/>
          <w:lang w:val="en-US" w:eastAsia="zh-CN"/>
        </w:rPr>
        <w:t>无临时占地</w:t>
      </w:r>
      <w:r>
        <w:rPr>
          <w:rFonts w:hint="default" w:ascii="Times New Roman" w:hAnsi="Times New Roman" w:eastAsia="仿宋_GB2312" w:cs="Times New Roman"/>
          <w:color w:val="auto"/>
          <w:sz w:val="24"/>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验收阶段工程实际占地：工程永久占地</w:t>
      </w:r>
      <w:r>
        <w:rPr>
          <w:rFonts w:hint="eastAsia" w:cs="Times New Roman"/>
          <w:color w:val="auto"/>
          <w:sz w:val="24"/>
          <w:lang w:eastAsia="zh-CN"/>
        </w:rPr>
        <w:t>21835.92</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en-US" w:eastAsia="zh-CN"/>
        </w:rPr>
        <w:t>无临时占地</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5.3.4 </w:t>
      </w:r>
      <w:r>
        <w:rPr>
          <w:rFonts w:hint="default" w:ascii="Times New Roman" w:hAnsi="Times New Roman" w:eastAsia="仿宋_GB2312" w:cs="Times New Roman"/>
          <w:color w:val="auto"/>
        </w:rPr>
        <w:t>工程土石方调查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环评阶段：工程挖方25200m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（全部为特殊路基处理挖方），填方38057m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，利用方0m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，借方38057m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，弃方25200m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（全部为特殊路基处理换挖方）。工程借方量较小，全部外购，不设取土场；工程弃方全部为不良地质换挖的杂土和腐殖土，用于城市绿化。</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经调查，工程施工期</w:t>
      </w:r>
      <w:r>
        <w:rPr>
          <w:rFonts w:hint="default" w:ascii="Times New Roman" w:hAnsi="Times New Roman" w:eastAsia="仿宋_GB2312" w:cs="Times New Roman"/>
          <w:color w:val="auto"/>
          <w:sz w:val="24"/>
          <w:lang w:val="en-US" w:eastAsia="zh-CN"/>
        </w:rPr>
        <w:t>为设置取土场，弃方运至市政指定弃渣场，用于城市绿化。</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5.3.5 </w:t>
      </w:r>
      <w:r>
        <w:rPr>
          <w:rFonts w:hint="default" w:ascii="Times New Roman" w:hAnsi="Times New Roman" w:eastAsia="仿宋_GB2312" w:cs="Times New Roman"/>
          <w:color w:val="auto"/>
        </w:rPr>
        <w:t>工程弃渣影响调查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施工单位在施工过程中对施工场地的运输车辆进了管理，工程弃渣委托第三方处理，运输车辆按照规定线路和时间行驶运至指定地点。</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5.3.6 </w:t>
      </w:r>
      <w:r>
        <w:rPr>
          <w:rFonts w:hint="default" w:ascii="Times New Roman" w:hAnsi="Times New Roman" w:eastAsia="仿宋_GB2312" w:cs="Times New Roman"/>
          <w:color w:val="auto"/>
        </w:rPr>
        <w:t>环评要求生态保护措施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（1）临时建筑采用成品或简易拼装方式，尽量减轻对土壤结构的破坏。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（2）保持施工场地的干净、整洁，合理安排各种不同工序布局，保持场地内井然有序。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（3）路基施工或临时用地施工前，应将表土熟土层（约20cm厚，即土壤耕作层）剥离，暂存于设置的临时堆土场，并采取临时拦挡和覆盖措施。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（4）物料及其它固体废物应集中存放，并采取临时拦挡和覆盖措施，防止水土流失。</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（5）水土流失防治措施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主体工程设计表土剥离及回覆、彩条布苫盖等措施。临时堆土场在工程永久占地范围内</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5.3.7</w:t>
      </w:r>
      <w:r>
        <w:rPr>
          <w:rFonts w:hint="default" w:ascii="Times New Roman" w:hAnsi="Times New Roman" w:eastAsia="仿宋_GB2312" w:cs="Times New Roman"/>
          <w:color w:val="auto"/>
        </w:rPr>
        <w:t xml:space="preserve"> 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（1）在工程设计阶段已作好对永久占地和临时占地的合理规划，对工程占用的绿地，建设单位在认真履行各项报批手续的基础上，严格按批准的用地范围进行施工组织，施工结束后对占用的绿地进行恢复补偿。</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（2）工程在建设过程中加强绿化和生态建设，注重对沿线生态环境的保护。 工程施工期间应保护征地及沿线范围内的植被，减少对临时用地、作业区周围的林木、草地、灌丛等植被的损坏；运营期车辆段等场地全面实行绿化，绿化树种满足与周边景观相协调、改善生态平衡、美化、优化沿线环境的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（3）已优化施工工艺和施工组织设计、严格控制施工场界及加强施工监理， 工程建设对周边的影响较小；车站施工期污水排入市政管网，弃渣收集后运至指定地点处理，不存在乱排乱弃。</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（4）施工单位结合哈尔滨市气候特征，根据区内降雨、降雪特点，制订土 石方工程施工组织计划，避开雨季进行大规模土石方工程施工；进行土石方工程施工时，采取了必要的水土保持措施，同步进行路面的排水工程。施工弃渣及时清运，填筑的路基面及时压实，并做好防护措施；雨季施工做好施工场地的排水。</w:t>
      </w:r>
    </w:p>
    <w:p>
      <w:pPr>
        <w:pStyle w:val="3"/>
        <w:bidi w:val="0"/>
        <w:rPr>
          <w:rFonts w:hint="default" w:ascii="Times New Roman" w:hAnsi="Times New Roman" w:eastAsia="仿宋_GB2312" w:cs="Times New Roman"/>
          <w:color w:val="auto"/>
        </w:rPr>
      </w:pPr>
      <w:bookmarkStart w:id="73" w:name="_Toc6345"/>
      <w:r>
        <w:rPr>
          <w:rFonts w:hint="default" w:ascii="Times New Roman" w:hAnsi="Times New Roman" w:eastAsia="仿宋_GB2312" w:cs="Times New Roman"/>
          <w:color w:val="auto"/>
          <w:lang w:val="en-US" w:eastAsia="zh-CN"/>
        </w:rPr>
        <w:t>5.4 生态环境调查</w:t>
      </w:r>
      <w:r>
        <w:rPr>
          <w:rFonts w:hint="default" w:ascii="Times New Roman" w:hAnsi="Times New Roman" w:eastAsia="仿宋_GB2312" w:cs="Times New Roman"/>
          <w:color w:val="auto"/>
        </w:rPr>
        <w:t>小结</w:t>
      </w:r>
      <w:bookmarkEnd w:id="7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 xml:space="preserve">工程施工期、运营期落实了环评及批复中提出的各项环境保护措施，验收阶段工程实际占地面积 </w:t>
      </w:r>
      <w:r>
        <w:rPr>
          <w:rFonts w:hint="eastAsia" w:cs="Times New Roman"/>
          <w:color w:val="auto"/>
          <w:sz w:val="24"/>
          <w:lang w:eastAsia="zh-CN"/>
        </w:rPr>
        <w:t>21835.92</w:t>
      </w:r>
      <w:r>
        <w:rPr>
          <w:rFonts w:hint="default" w:ascii="Times New Roman" w:hAnsi="Times New Roman" w:eastAsia="仿宋_GB2312" w:cs="Times New Roman"/>
          <w:color w:val="auto"/>
          <w:sz w:val="24"/>
          <w:lang w:val="en-US" w:eastAsia="zh-CN"/>
        </w:rPr>
        <w:t>m</w:t>
      </w:r>
      <w:r>
        <w:rPr>
          <w:rFonts w:hint="default" w:ascii="Times New Roman" w:hAnsi="Times New Roman" w:eastAsia="仿宋_GB2312" w:cs="Times New Roman"/>
          <w:color w:val="auto"/>
          <w:sz w:val="24"/>
          <w:vertAlign w:val="superscript"/>
          <w:lang w:val="en-US" w:eastAsia="zh-CN"/>
        </w:rPr>
        <w:t>2</w:t>
      </w:r>
      <w:r>
        <w:rPr>
          <w:rFonts w:hint="default" w:ascii="Times New Roman" w:hAnsi="Times New Roman" w:eastAsia="仿宋_GB2312" w:cs="Times New Roman"/>
          <w:color w:val="auto"/>
          <w:sz w:val="24"/>
          <w:lang w:val="en-US" w:eastAsia="zh-CN"/>
        </w:rPr>
        <w:t>。施工期临时占地已恢复，工程弃渣委托第三方处理，运输车辆按照规定线路和时间行驶运至指定地点。生态环境影响可接受。</w:t>
      </w:r>
    </w:p>
    <w:p>
      <w:pPr>
        <w:pStyle w:val="2"/>
        <w:bidi w:val="0"/>
        <w:rPr>
          <w:rFonts w:hint="default" w:ascii="Times New Roman" w:hAnsi="Times New Roman" w:eastAsia="仿宋_GB2312" w:cs="Times New Roman"/>
          <w:color w:val="auto"/>
        </w:rPr>
        <w:sectPr>
          <w:footerReference r:id="rId12" w:type="default"/>
          <w:pgSz w:w="11906" w:h="16839"/>
          <w:pgMar w:top="1440" w:right="1803" w:bottom="1440" w:left="1803" w:header="0" w:footer="984" w:gutter="0"/>
          <w:pgNumType w:fmt="numberInDash"/>
          <w:cols w:space="720" w:num="1"/>
        </w:sectPr>
      </w:pPr>
      <w:bookmarkStart w:id="74" w:name="bookmark32"/>
      <w:bookmarkEnd w:id="74"/>
    </w:p>
    <w:p>
      <w:pPr>
        <w:pStyle w:val="2"/>
        <w:bidi w:val="0"/>
        <w:rPr>
          <w:rFonts w:hint="default" w:ascii="Times New Roman" w:hAnsi="Times New Roman" w:eastAsia="仿宋_GB2312" w:cs="Times New Roman"/>
          <w:color w:val="auto"/>
        </w:rPr>
      </w:pPr>
      <w:bookmarkStart w:id="75" w:name="_Toc21242"/>
      <w:r>
        <w:rPr>
          <w:rFonts w:hint="default" w:ascii="Times New Roman" w:hAnsi="Times New Roman" w:eastAsia="仿宋_GB2312" w:cs="Times New Roman"/>
          <w:color w:val="auto"/>
        </w:rPr>
        <w:t>6. 声环境影响调查</w:t>
      </w:r>
      <w:bookmarkEnd w:id="75"/>
    </w:p>
    <w:p>
      <w:pPr>
        <w:pStyle w:val="3"/>
        <w:bidi w:val="0"/>
        <w:rPr>
          <w:rFonts w:hint="default" w:ascii="Times New Roman" w:hAnsi="Times New Roman" w:eastAsia="仿宋_GB2312" w:cs="Times New Roman"/>
          <w:color w:val="auto"/>
        </w:rPr>
      </w:pPr>
      <w:bookmarkStart w:id="76" w:name="_Toc2928"/>
      <w:r>
        <w:rPr>
          <w:rFonts w:hint="default" w:ascii="Times New Roman" w:hAnsi="Times New Roman" w:eastAsia="仿宋_GB2312" w:cs="Times New Roman"/>
          <w:color w:val="auto"/>
        </w:rPr>
        <w:t>6.1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声环境调查对象及内容</w:t>
      </w:r>
      <w:bookmarkEnd w:id="76"/>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6.1.1 调查范围</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与评价范围保持一致。</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6.1.2 调查对象</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道</w:t>
      </w:r>
      <w:r>
        <w:rPr>
          <w:rFonts w:hint="default" w:ascii="Times New Roman" w:hAnsi="Times New Roman" w:eastAsia="仿宋_GB2312" w:cs="Times New Roman"/>
          <w:color w:val="auto"/>
          <w:sz w:val="24"/>
        </w:rPr>
        <w:t>路边界线两侧各200m范围内的声环境敏感点。</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6.1.3 调查内容</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实际建设中，根据《建设项目竣工环境保护验收技术规范公路》（HJ552-2010）和环评文件，对公路边界线各200m范围内的声环境敏感点进行了调查，情况如下：</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本次评价范围，环评阶段噪声敏感点共</w:t>
      </w:r>
      <w:r>
        <w:rPr>
          <w:rFonts w:hint="eastAsia" w:cs="Times New Roman"/>
          <w:color w:val="auto"/>
          <w:sz w:val="24"/>
          <w:lang w:val="en-US" w:eastAsia="zh-CN"/>
        </w:rPr>
        <w:t>1</w:t>
      </w:r>
      <w:r>
        <w:rPr>
          <w:rFonts w:hint="default" w:ascii="Times New Roman" w:hAnsi="Times New Roman" w:eastAsia="仿宋_GB2312" w:cs="Times New Roman"/>
          <w:color w:val="auto"/>
          <w:sz w:val="24"/>
          <w:lang w:val="en-US" w:eastAsia="zh-CN"/>
        </w:rPr>
        <w:t>处（为居民点），实际噪声敏感点共</w:t>
      </w:r>
      <w:r>
        <w:rPr>
          <w:rFonts w:hint="eastAsia" w:cs="Times New Roman"/>
          <w:color w:val="auto"/>
          <w:sz w:val="24"/>
          <w:lang w:val="en-US" w:eastAsia="zh-CN"/>
        </w:rPr>
        <w:t>1</w:t>
      </w:r>
      <w:r>
        <w:rPr>
          <w:rFonts w:hint="default" w:ascii="Times New Roman" w:hAnsi="Times New Roman" w:eastAsia="仿宋_GB2312" w:cs="Times New Roman"/>
          <w:color w:val="auto"/>
          <w:sz w:val="24"/>
          <w:lang w:val="en-US" w:eastAsia="zh-CN"/>
        </w:rPr>
        <w:t>处（全部为居民点）。敏感点变化情况详见表1.7-1。</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通过核实环评阶段路线走向，结合现场踏勘，验收调查期间</w:t>
      </w:r>
      <w:r>
        <w:rPr>
          <w:rFonts w:hint="eastAsia" w:cs="Times New Roman"/>
          <w:color w:val="auto"/>
          <w:sz w:val="24"/>
          <w:lang w:val="en-US" w:eastAsia="zh-CN"/>
        </w:rPr>
        <w:t>无新增敏感点</w:t>
      </w:r>
      <w:r>
        <w:rPr>
          <w:rFonts w:hint="default" w:ascii="Times New Roman" w:hAnsi="Times New Roman" w:eastAsia="仿宋_GB2312" w:cs="Times New Roman"/>
          <w:color w:val="auto"/>
          <w:sz w:val="24"/>
          <w:lang w:val="en-US" w:eastAsia="zh-CN"/>
        </w:rPr>
        <w:t>。</w:t>
      </w:r>
    </w:p>
    <w:p>
      <w:pPr>
        <w:pStyle w:val="3"/>
        <w:bidi w:val="0"/>
        <w:rPr>
          <w:rFonts w:hint="default" w:ascii="Times New Roman" w:hAnsi="Times New Roman" w:eastAsia="仿宋_GB2312" w:cs="Times New Roman"/>
          <w:color w:val="auto"/>
        </w:rPr>
      </w:pPr>
      <w:bookmarkStart w:id="77" w:name="_Toc25060"/>
      <w:r>
        <w:rPr>
          <w:rFonts w:hint="default" w:ascii="Times New Roman" w:hAnsi="Times New Roman" w:eastAsia="仿宋_GB2312" w:cs="Times New Roman"/>
          <w:color w:val="auto"/>
        </w:rPr>
        <w:t>6.2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施工期声环境保护措施调查</w:t>
      </w:r>
      <w:bookmarkEnd w:id="7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本工程在施工过程中严格按照以下措施实施：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1、采用低噪声机械设备，施工过程中还对设备进行维修保养，避免由于设备性能差而导致噪声增强现象的发生。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2、具有高噪声特点的施工机械集中施工，充分做好准备工作，作到快速施工；集 中施工场的位置妥善选取，紧靠大型施工场地，缩短运输路线；根据《建筑施工场界噪声限值》确定合理的工程施工场界，同时考虑施工时间的合理安排。</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3、施工噪声影响属于短期影响，施工机械禁止夜间（22：00-6：00）作业，夜间作业依法办理了相关手续。施工期很好降低了施工噪声对沿线的声环境影响。</w:t>
      </w:r>
    </w:p>
    <w:p>
      <w:pPr>
        <w:pStyle w:val="3"/>
        <w:bidi w:val="0"/>
        <w:rPr>
          <w:rFonts w:hint="default" w:ascii="Times New Roman" w:hAnsi="Times New Roman" w:eastAsia="仿宋_GB2312" w:cs="Times New Roman"/>
          <w:color w:val="auto"/>
        </w:rPr>
      </w:pPr>
      <w:bookmarkStart w:id="78" w:name="_Toc51"/>
      <w:r>
        <w:rPr>
          <w:rFonts w:hint="default" w:ascii="Times New Roman" w:hAnsi="Times New Roman" w:eastAsia="仿宋_GB2312" w:cs="Times New Roman"/>
          <w:color w:val="auto"/>
        </w:rPr>
        <w:t>6.3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运营期声环境影响调查与监测</w:t>
      </w:r>
      <w:bookmarkEnd w:id="7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声环境影响调查</w:t>
      </w:r>
    </w:p>
    <w:p>
      <w:pPr>
        <w:pStyle w:val="5"/>
        <w:spacing w:line="247" w:lineRule="auto"/>
        <w:rPr>
          <w:rFonts w:hint="default" w:ascii="Times New Roman" w:hAnsi="Times New Roman" w:eastAsia="仿宋_GB2312" w:cs="Times New Roman"/>
          <w:color w:val="auto"/>
        </w:rPr>
      </w:pP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项目噪声敏感点数量多、分布广，依据公路声环境保护措施设施经验，全线采用低噪声路面，对路线较近的敏感点起到了一定的降噪作用。</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声环境现状监测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本次调查委托</w:t>
      </w:r>
      <w:r>
        <w:rPr>
          <w:rFonts w:hint="default" w:ascii="Times New Roman" w:hAnsi="Times New Roman" w:eastAsia="仿宋_GB2312" w:cs="Times New Roman"/>
          <w:color w:val="auto"/>
          <w:sz w:val="24"/>
          <w:lang w:eastAsia="zh-CN"/>
        </w:rPr>
        <w:t>哈尔滨捷通环境监测有限责任公司</w:t>
      </w:r>
      <w:r>
        <w:rPr>
          <w:rFonts w:hint="default" w:ascii="Times New Roman" w:hAnsi="Times New Roman" w:eastAsia="仿宋_GB2312" w:cs="Times New Roman"/>
          <w:color w:val="auto"/>
          <w:sz w:val="24"/>
        </w:rPr>
        <w:t>于202</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月2</w:t>
      </w:r>
      <w:r>
        <w:rPr>
          <w:rFonts w:hint="eastAsia" w:cs="Times New Roman"/>
          <w:color w:val="auto"/>
          <w:sz w:val="24"/>
          <w:lang w:val="en-US" w:eastAsia="zh-CN"/>
        </w:rPr>
        <w:t>0</w:t>
      </w:r>
      <w:r>
        <w:rPr>
          <w:rFonts w:hint="default" w:ascii="Times New Roman" w:hAnsi="Times New Roman" w:eastAsia="仿宋_GB2312" w:cs="Times New Roman"/>
          <w:color w:val="auto"/>
          <w:sz w:val="24"/>
        </w:rPr>
        <w:t>日-2</w:t>
      </w:r>
      <w:r>
        <w:rPr>
          <w:rFonts w:hint="eastAsia" w:cs="Times New Roman"/>
          <w:color w:val="auto"/>
          <w:sz w:val="24"/>
          <w:lang w:val="en-US" w:eastAsia="zh-CN"/>
        </w:rPr>
        <w:t>1</w:t>
      </w:r>
      <w:r>
        <w:rPr>
          <w:rFonts w:hint="default" w:ascii="Times New Roman" w:hAnsi="Times New Roman" w:eastAsia="仿宋_GB2312" w:cs="Times New Roman"/>
          <w:color w:val="auto"/>
          <w:sz w:val="24"/>
        </w:rPr>
        <w:t>日进行了声环境现状监测。具体监测内容如下：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（1）声环境敏感点监测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sz w:val="24"/>
        </w:rPr>
        <w:t>进行监测。监测2 天，分别进行昼</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lang w:val="en-US" w:eastAsia="zh-CN"/>
        </w:rPr>
        <w:t>夜各1</w:t>
      </w:r>
      <w:r>
        <w:rPr>
          <w:rFonts w:hint="default" w:ascii="Times New Roman" w:hAnsi="Times New Roman" w:eastAsia="仿宋_GB2312" w:cs="Times New Roman"/>
          <w:color w:val="auto"/>
          <w:sz w:val="24"/>
        </w:rPr>
        <w:t>次。监测时尽量避开社会噪声等其他非本公路交通噪声的影响。具体点位信息及监测点位分布见表6.3-1。</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表6.3-1声环境敏感点现状监测布置一览表</w:t>
      </w:r>
    </w:p>
    <w:tbl>
      <w:tblPr>
        <w:tblStyle w:val="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411"/>
        <w:gridCol w:w="2511"/>
        <w:gridCol w:w="2239"/>
        <w:gridCol w:w="867"/>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序号</w:t>
            </w:r>
          </w:p>
        </w:tc>
        <w:tc>
          <w:tcPr>
            <w:tcW w:w="82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监测点名</w:t>
            </w: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监测位置</w:t>
            </w:r>
          </w:p>
        </w:tc>
        <w:tc>
          <w:tcPr>
            <w:tcW w:w="131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执行标准</w:t>
            </w:r>
          </w:p>
        </w:tc>
        <w:tc>
          <w:tcPr>
            <w:tcW w:w="509"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监测因子</w:t>
            </w:r>
          </w:p>
        </w:tc>
        <w:tc>
          <w:tcPr>
            <w:tcW w:w="487"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采样频次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lang w:val="en-US" w:eastAsia="zh-CN"/>
              </w:rPr>
              <w:t>N</w:t>
            </w:r>
            <w:r>
              <w:rPr>
                <w:rFonts w:hint="default" w:ascii="Times New Roman" w:hAnsi="Times New Roman" w:cs="Times New Roman"/>
                <w:sz w:val="21"/>
                <w:szCs w:val="21"/>
              </w:rPr>
              <w:t>1</w:t>
            </w:r>
          </w:p>
        </w:tc>
        <w:tc>
          <w:tcPr>
            <w:tcW w:w="82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道路起点</w:t>
            </w: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lang w:val="en-US" w:eastAsia="zh-CN"/>
              </w:rPr>
              <w:t>/</w:t>
            </w:r>
          </w:p>
        </w:tc>
        <w:tc>
          <w:tcPr>
            <w:tcW w:w="131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声环境质量标准</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GB3096-2008</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中4a类标准</w:t>
            </w:r>
          </w:p>
        </w:tc>
        <w:tc>
          <w:tcPr>
            <w:tcW w:w="509"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等效连续A声级</w:t>
            </w:r>
          </w:p>
        </w:tc>
        <w:tc>
          <w:tcPr>
            <w:tcW w:w="487"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rPr>
              <w:t>2</w:t>
            </w:r>
            <w:r>
              <w:rPr>
                <w:rFonts w:hint="default" w:ascii="Times New Roman" w:hAnsi="Times New Roman" w:cs="Times New Roman"/>
                <w:sz w:val="21"/>
                <w:szCs w:val="21"/>
                <w:lang w:val="en-US" w:eastAsia="zh-CN"/>
              </w:rPr>
              <w:t>天</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rPr>
              <w:t>每天昼、夜间各1次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lang w:val="en-US" w:eastAsia="zh-CN"/>
              </w:rPr>
              <w:t>N</w:t>
            </w:r>
            <w:r>
              <w:rPr>
                <w:rFonts w:hint="default" w:ascii="Times New Roman" w:hAnsi="Times New Roman" w:cs="Times New Roman"/>
                <w:sz w:val="21"/>
                <w:szCs w:val="21"/>
              </w:rPr>
              <w:t>2</w:t>
            </w:r>
          </w:p>
        </w:tc>
        <w:tc>
          <w:tcPr>
            <w:tcW w:w="82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前进村</w:t>
            </w: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第一排建筑物1层窗外1m</w:t>
            </w:r>
          </w:p>
        </w:tc>
        <w:tc>
          <w:tcPr>
            <w:tcW w:w="1314"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声环境质量标准</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GB3096-2008</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中2类标准</w:t>
            </w: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82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第二排建筑物前1m</w:t>
            </w:r>
          </w:p>
        </w:tc>
        <w:tc>
          <w:tcPr>
            <w:tcW w:w="131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N3</w:t>
            </w:r>
          </w:p>
        </w:tc>
        <w:tc>
          <w:tcPr>
            <w:tcW w:w="82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道路终点</w:t>
            </w: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c>
          <w:tcPr>
            <w:tcW w:w="1314"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声环境质量标准</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GB3096-2008</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中4a类标准</w:t>
            </w: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N4</w:t>
            </w:r>
          </w:p>
        </w:tc>
        <w:tc>
          <w:tcPr>
            <w:tcW w:w="82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距道路边界线外</w:t>
            </w: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20m</w:t>
            </w:r>
          </w:p>
        </w:tc>
        <w:tc>
          <w:tcPr>
            <w:tcW w:w="131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eastAsia="zh-CN"/>
              </w:rPr>
            </w:pP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N5</w:t>
            </w:r>
          </w:p>
        </w:tc>
        <w:tc>
          <w:tcPr>
            <w:tcW w:w="82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40m</w:t>
            </w:r>
          </w:p>
        </w:tc>
        <w:tc>
          <w:tcPr>
            <w:tcW w:w="131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eastAsia="zh-CN"/>
              </w:rPr>
            </w:pP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N6</w:t>
            </w:r>
          </w:p>
        </w:tc>
        <w:tc>
          <w:tcPr>
            <w:tcW w:w="82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60m</w:t>
            </w:r>
          </w:p>
        </w:tc>
        <w:tc>
          <w:tcPr>
            <w:tcW w:w="1314"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声环境质量标准</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GB3096-2008</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中3类标准</w:t>
            </w: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N7</w:t>
            </w:r>
          </w:p>
        </w:tc>
        <w:tc>
          <w:tcPr>
            <w:tcW w:w="82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100m</w:t>
            </w:r>
          </w:p>
        </w:tc>
        <w:tc>
          <w:tcPr>
            <w:tcW w:w="131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eastAsia="zh-CN"/>
              </w:rPr>
            </w:pP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8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N8</w:t>
            </w:r>
          </w:p>
        </w:tc>
        <w:tc>
          <w:tcPr>
            <w:tcW w:w="82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p>
        </w:tc>
        <w:tc>
          <w:tcPr>
            <w:tcW w:w="1474"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200m</w:t>
            </w:r>
          </w:p>
        </w:tc>
        <w:tc>
          <w:tcPr>
            <w:tcW w:w="1314"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lang w:eastAsia="zh-CN"/>
              </w:rPr>
            </w:pPr>
          </w:p>
        </w:tc>
        <w:tc>
          <w:tcPr>
            <w:tcW w:w="509"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c>
          <w:tcPr>
            <w:tcW w:w="487"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cs="Times New Roman"/>
                <w:sz w:val="21"/>
                <w:szCs w:val="21"/>
              </w:rPr>
            </w:pPr>
          </w:p>
        </w:tc>
      </w:tr>
    </w:tbl>
    <w:p>
      <w:pPr>
        <w:spacing w:line="145" w:lineRule="exact"/>
        <w:rPr>
          <w:rFonts w:hint="default" w:ascii="Times New Roman" w:hAnsi="Times New Roman" w:eastAsia="仿宋_GB2312" w:cs="Times New Roman"/>
          <w:color w:val="auto"/>
        </w:rPr>
      </w:pP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声环境现状监测结果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运营期声环境现状监测分析，结果表明：</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（1）昼间：执行《声环境质量标准》（GB3096-2008）4a类标准（70dB(A)）的监测点监测值全部达标；执行《声环境质量标准》（GB3096-2008）2类标准（60dB(A)）的监测点监测值全部达标。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（2）夜间：执行《声环境质量标准》（GB3096-2008）4a类标准（55dB(A)）的监 测点监测值全部达标；执行《声环境质量标准》（GB3096-2008）2类标准（50dB(A)）的监测点监测值全部达标。</w:t>
      </w:r>
    </w:p>
    <w:p>
      <w:pPr>
        <w:pStyle w:val="2"/>
        <w:rPr>
          <w:rFonts w:hint="default" w:ascii="Times New Roman" w:hAnsi="Times New Roman" w:eastAsia="仿宋_GB2312" w:cs="Times New Roman"/>
          <w:color w:val="auto"/>
        </w:rPr>
        <w:sectPr>
          <w:footerReference r:id="rId13" w:type="default"/>
          <w:pgSz w:w="11906" w:h="16839"/>
          <w:pgMar w:top="1440" w:right="1803" w:bottom="1440" w:left="1803" w:header="0" w:footer="984" w:gutter="0"/>
          <w:pgNumType w:fmt="numberInDash"/>
          <w:cols w:space="720" w:num="1"/>
        </w:sect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highlight w:val="none"/>
          <w:lang w:val="en-US" w:eastAsia="zh-CN"/>
        </w:rPr>
      </w:pPr>
      <w:r>
        <w:rPr>
          <w:rFonts w:hint="default" w:ascii="Times New Roman" w:hAnsi="Times New Roman" w:eastAsia="仿宋_GB2312" w:cs="Times New Roman"/>
          <w:b/>
          <w:bCs/>
          <w:color w:val="auto"/>
          <w:highlight w:val="none"/>
        </w:rPr>
        <w:t>表6.3-3</w:t>
      </w:r>
      <w:r>
        <w:rPr>
          <w:rFonts w:hint="default" w:ascii="Times New Roman" w:hAnsi="Times New Roman" w:eastAsia="仿宋_GB2312" w:cs="Times New Roman"/>
          <w:b/>
          <w:bCs/>
          <w:color w:val="auto"/>
          <w:highlight w:val="none"/>
          <w:lang w:val="en-US" w:eastAsia="zh-CN"/>
        </w:rPr>
        <w:t xml:space="preserve">  </w:t>
      </w:r>
      <w:r>
        <w:rPr>
          <w:rFonts w:hint="default" w:ascii="Times New Roman" w:hAnsi="Times New Roman" w:eastAsia="仿宋_GB2312" w:cs="Times New Roman"/>
          <w:b/>
          <w:bCs/>
          <w:color w:val="auto"/>
          <w:highlight w:val="none"/>
        </w:rPr>
        <w:t>敏感点声环境现状监测结果</w:t>
      </w:r>
      <w:r>
        <w:rPr>
          <w:rFonts w:hint="eastAsia" w:cs="Times New Roman"/>
          <w:b/>
          <w:bCs/>
          <w:color w:val="auto"/>
          <w:highlight w:val="none"/>
          <w:lang w:val="en-US" w:eastAsia="zh-CN"/>
        </w:rPr>
        <w:t xml:space="preserve">    单位：dB（A）</w:t>
      </w:r>
    </w:p>
    <w:tbl>
      <w:tblPr>
        <w:tblStyle w:val="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39"/>
        <w:gridCol w:w="2696"/>
        <w:gridCol w:w="1477"/>
        <w:gridCol w:w="2302"/>
        <w:gridCol w:w="1412"/>
        <w:gridCol w:w="1463"/>
        <w:gridCol w:w="1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blHeader/>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sz w:val="21"/>
                <w:szCs w:val="21"/>
              </w:rPr>
            </w:pPr>
            <w:r>
              <w:rPr>
                <w:rFonts w:hint="eastAsia"/>
                <w:sz w:val="21"/>
                <w:szCs w:val="21"/>
              </w:rPr>
              <w:t>检测地点</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sz w:val="21"/>
                <w:szCs w:val="21"/>
              </w:rPr>
            </w:pPr>
            <w:r>
              <w:rPr>
                <w:rFonts w:hint="eastAsia"/>
                <w:sz w:val="21"/>
                <w:szCs w:val="21"/>
              </w:rPr>
              <w:t>检测时间</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sz w:val="21"/>
                <w:szCs w:val="21"/>
              </w:rPr>
            </w:pPr>
            <w:r>
              <w:rPr>
                <w:rFonts w:hint="eastAsia"/>
                <w:sz w:val="21"/>
                <w:szCs w:val="21"/>
              </w:rPr>
              <w:t>昼Leq</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1"/>
                <w:szCs w:val="21"/>
                <w:lang w:val="en-US" w:eastAsia="zh-CN"/>
              </w:rPr>
            </w:pPr>
            <w:r>
              <w:rPr>
                <w:rFonts w:hint="eastAsia"/>
                <w:sz w:val="21"/>
                <w:szCs w:val="21"/>
              </w:rPr>
              <w:t>检测时间</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1"/>
                <w:szCs w:val="21"/>
                <w:lang w:val="en-US" w:eastAsia="zh-CN"/>
              </w:rPr>
            </w:pPr>
            <w:r>
              <w:rPr>
                <w:rFonts w:hint="eastAsia"/>
                <w:sz w:val="21"/>
                <w:szCs w:val="21"/>
              </w:rPr>
              <w:t>夜Leq</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标准值</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lang w:val="en-US" w:eastAsia="zh-CN"/>
              </w:rPr>
              <w:t>N1-道路起点</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14</w:t>
            </w:r>
            <w:r>
              <w:rPr>
                <w:rFonts w:hint="default"/>
                <w:sz w:val="21"/>
                <w:szCs w:val="21"/>
              </w:rPr>
              <w:t>:</w:t>
            </w:r>
            <w:r>
              <w:rPr>
                <w:rFonts w:hint="eastAsia"/>
                <w:sz w:val="21"/>
                <w:szCs w:val="21"/>
                <w:lang w:val="en-US" w:eastAsia="zh-CN"/>
              </w:rPr>
              <w:t>05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63.7</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03</w:t>
            </w:r>
            <w:r>
              <w:rPr>
                <w:rFonts w:hint="default"/>
                <w:sz w:val="21"/>
                <w:szCs w:val="21"/>
              </w:rPr>
              <w:t>:</w:t>
            </w:r>
            <w:r>
              <w:rPr>
                <w:rFonts w:hint="eastAsia"/>
                <w:sz w:val="21"/>
                <w:szCs w:val="21"/>
                <w:lang w:val="en-US" w:eastAsia="zh-CN"/>
              </w:rPr>
              <w:t>50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48.8</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rPr>
            </w:pPr>
            <w:r>
              <w:rPr>
                <w:rFonts w:hint="default"/>
                <w:sz w:val="21"/>
                <w:szCs w:val="21"/>
                <w:lang w:val="en-US" w:eastAsia="zh-CN"/>
              </w:rPr>
              <w:t>N2-</w:t>
            </w:r>
            <w:r>
              <w:rPr>
                <w:rFonts w:hint="eastAsia"/>
                <w:sz w:val="21"/>
                <w:szCs w:val="21"/>
                <w:lang w:val="en-US" w:eastAsia="zh-CN"/>
              </w:rPr>
              <w:t>前进村</w:t>
            </w:r>
            <w:r>
              <w:rPr>
                <w:rFonts w:hint="default"/>
                <w:sz w:val="21"/>
                <w:szCs w:val="21"/>
                <w:lang w:val="en-US" w:eastAsia="zh-CN"/>
              </w:rPr>
              <w:t>-第一排建筑物1层窗外1m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14</w:t>
            </w:r>
            <w:r>
              <w:rPr>
                <w:rFonts w:hint="default"/>
                <w:sz w:val="21"/>
                <w:szCs w:val="21"/>
              </w:rPr>
              <w:t>:</w:t>
            </w:r>
            <w:r>
              <w:rPr>
                <w:rFonts w:hint="eastAsia"/>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54.8</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04</w:t>
            </w:r>
            <w:r>
              <w:rPr>
                <w:rFonts w:hint="default"/>
                <w:sz w:val="21"/>
                <w:szCs w:val="21"/>
              </w:rPr>
              <w:t>:</w:t>
            </w:r>
            <w:r>
              <w:rPr>
                <w:rFonts w:hint="eastAsia"/>
                <w:sz w:val="21"/>
                <w:szCs w:val="21"/>
                <w:lang w:val="en-US" w:eastAsia="zh-CN"/>
              </w:rPr>
              <w:t>15</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43.5</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N2-</w:t>
            </w:r>
            <w:r>
              <w:rPr>
                <w:rFonts w:hint="eastAsia"/>
                <w:sz w:val="21"/>
                <w:szCs w:val="21"/>
                <w:lang w:val="en-US" w:eastAsia="zh-CN"/>
              </w:rPr>
              <w:t>前进村</w:t>
            </w:r>
            <w:r>
              <w:rPr>
                <w:rFonts w:hint="default"/>
                <w:sz w:val="21"/>
                <w:szCs w:val="21"/>
                <w:lang w:val="en-US" w:eastAsia="zh-CN"/>
              </w:rPr>
              <w:t>-第</w:t>
            </w:r>
            <w:r>
              <w:rPr>
                <w:rFonts w:hint="eastAsia"/>
                <w:sz w:val="21"/>
                <w:szCs w:val="21"/>
                <w:lang w:val="en-US" w:eastAsia="zh-CN"/>
              </w:rPr>
              <w:t>二</w:t>
            </w:r>
            <w:r>
              <w:rPr>
                <w:rFonts w:hint="default"/>
                <w:sz w:val="21"/>
                <w:szCs w:val="21"/>
                <w:lang w:val="en-US" w:eastAsia="zh-CN"/>
              </w:rPr>
              <w:t>排建筑物</w:t>
            </w:r>
            <w:r>
              <w:rPr>
                <w:rFonts w:hint="eastAsia"/>
                <w:sz w:val="21"/>
                <w:szCs w:val="21"/>
                <w:lang w:val="en-US" w:eastAsia="zh-CN"/>
              </w:rPr>
              <w:t>前</w:t>
            </w:r>
            <w:r>
              <w:rPr>
                <w:rFonts w:hint="default"/>
                <w:sz w:val="21"/>
                <w:szCs w:val="21"/>
                <w:lang w:val="en-US" w:eastAsia="zh-CN"/>
              </w:rPr>
              <w:t>1m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15</w:t>
            </w:r>
            <w:r>
              <w:rPr>
                <w:rFonts w:hint="default"/>
                <w:sz w:val="21"/>
                <w:szCs w:val="21"/>
              </w:rPr>
              <w:t>:</w:t>
            </w:r>
            <w:r>
              <w:rPr>
                <w:rFonts w:hint="eastAsia"/>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54.5</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04</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43.1</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3-道路终点</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15</w:t>
            </w:r>
            <w:r>
              <w:rPr>
                <w:rFonts w:hint="default"/>
                <w:sz w:val="21"/>
                <w:szCs w:val="21"/>
              </w:rPr>
              <w:t>:</w:t>
            </w:r>
            <w:r>
              <w:rPr>
                <w:rFonts w:hint="eastAsia"/>
                <w:sz w:val="21"/>
                <w:szCs w:val="21"/>
                <w:lang w:val="en-US" w:eastAsia="zh-CN"/>
              </w:rPr>
              <w:t>42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64.5</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05</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48.9</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4-距道路边界线外20m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16</w:t>
            </w:r>
            <w:r>
              <w:rPr>
                <w:rFonts w:hint="default"/>
                <w:sz w:val="21"/>
                <w:szCs w:val="21"/>
              </w:rPr>
              <w:t>:</w:t>
            </w:r>
            <w:r>
              <w:rPr>
                <w:rFonts w:hint="eastAsia"/>
                <w:sz w:val="21"/>
                <w:szCs w:val="21"/>
                <w:lang w:val="en-US" w:eastAsia="zh-CN"/>
              </w:rPr>
              <w:t>20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64.8</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48.6</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5-距道路边界线外40m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16</w:t>
            </w:r>
            <w:r>
              <w:rPr>
                <w:rFonts w:hint="default"/>
                <w:sz w:val="21"/>
                <w:szCs w:val="21"/>
              </w:rPr>
              <w:t>:</w:t>
            </w:r>
            <w:r>
              <w:rPr>
                <w:rFonts w:hint="eastAsia"/>
                <w:sz w:val="21"/>
                <w:szCs w:val="21"/>
                <w:lang w:val="en-US" w:eastAsia="zh-CN"/>
              </w:rPr>
              <w:t>20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63.4</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48.3</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6-距道路边界线外60m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16</w:t>
            </w:r>
            <w:r>
              <w:rPr>
                <w:rFonts w:hint="default"/>
                <w:sz w:val="21"/>
                <w:szCs w:val="21"/>
              </w:rPr>
              <w:t>:</w:t>
            </w:r>
            <w:r>
              <w:rPr>
                <w:rFonts w:hint="eastAsia"/>
                <w:sz w:val="21"/>
                <w:szCs w:val="21"/>
                <w:lang w:val="en-US" w:eastAsia="zh-CN"/>
              </w:rPr>
              <w:t>20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61.0</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48.0</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rPr>
            </w:pPr>
            <w:r>
              <w:rPr>
                <w:rFonts w:hint="default"/>
                <w:sz w:val="21"/>
                <w:szCs w:val="21"/>
                <w:lang w:val="en-US" w:eastAsia="zh-CN"/>
              </w:rPr>
              <w:t>N</w:t>
            </w:r>
            <w:r>
              <w:rPr>
                <w:rFonts w:hint="eastAsia"/>
                <w:sz w:val="21"/>
                <w:szCs w:val="21"/>
                <w:lang w:val="en-US" w:eastAsia="zh-CN"/>
              </w:rPr>
              <w:t>7-距道路边界线外100m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16</w:t>
            </w:r>
            <w:r>
              <w:rPr>
                <w:rFonts w:hint="default"/>
                <w:sz w:val="21"/>
                <w:szCs w:val="21"/>
              </w:rPr>
              <w:t>:</w:t>
            </w:r>
            <w:r>
              <w:rPr>
                <w:rFonts w:hint="eastAsia"/>
                <w:sz w:val="21"/>
                <w:szCs w:val="21"/>
                <w:lang w:val="en-US" w:eastAsia="zh-CN"/>
              </w:rPr>
              <w:t>20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60.7</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47.8</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8-距道路边界线外200m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 xml:space="preserve">03.20 </w:t>
            </w:r>
            <w:r>
              <w:rPr>
                <w:rFonts w:hint="eastAsia"/>
                <w:sz w:val="21"/>
                <w:szCs w:val="21"/>
                <w:lang w:val="en-US" w:eastAsia="zh-CN"/>
              </w:rPr>
              <w:t>16</w:t>
            </w:r>
            <w:r>
              <w:rPr>
                <w:rFonts w:hint="default"/>
                <w:sz w:val="21"/>
                <w:szCs w:val="21"/>
              </w:rPr>
              <w:t>:</w:t>
            </w:r>
            <w:r>
              <w:rPr>
                <w:rFonts w:hint="eastAsia"/>
                <w:sz w:val="21"/>
                <w:szCs w:val="21"/>
                <w:lang w:val="en-US" w:eastAsia="zh-CN"/>
              </w:rPr>
              <w:t>20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60.4</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47.5</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N1-道路起点</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14</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63.0</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04</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48.2</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N2-</w:t>
            </w:r>
            <w:r>
              <w:rPr>
                <w:rFonts w:hint="eastAsia"/>
                <w:sz w:val="21"/>
                <w:szCs w:val="21"/>
                <w:lang w:val="en-US" w:eastAsia="zh-CN"/>
              </w:rPr>
              <w:t>前进村</w:t>
            </w:r>
            <w:r>
              <w:rPr>
                <w:rFonts w:hint="default"/>
                <w:sz w:val="21"/>
                <w:szCs w:val="21"/>
                <w:lang w:val="en-US" w:eastAsia="zh-CN"/>
              </w:rPr>
              <w:t>-第一排建筑物1层窗外1m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15</w:t>
            </w:r>
            <w:r>
              <w:rPr>
                <w:rFonts w:hint="default"/>
                <w:sz w:val="21"/>
                <w:szCs w:val="21"/>
              </w:rPr>
              <w:t>:</w:t>
            </w:r>
            <w:r>
              <w:rPr>
                <w:rFonts w:hint="eastAsia"/>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54.1</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04</w:t>
            </w:r>
            <w:r>
              <w:rPr>
                <w:rFonts w:hint="default"/>
                <w:sz w:val="21"/>
                <w:szCs w:val="21"/>
              </w:rPr>
              <w:t>:</w:t>
            </w:r>
            <w:r>
              <w:rPr>
                <w:rFonts w:hint="eastAsia"/>
                <w:sz w:val="21"/>
                <w:szCs w:val="21"/>
                <w:lang w:val="en-US" w:eastAsia="zh-CN"/>
              </w:rPr>
              <w:t>30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43.7</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N2-</w:t>
            </w:r>
            <w:r>
              <w:rPr>
                <w:rFonts w:hint="eastAsia"/>
                <w:sz w:val="21"/>
                <w:szCs w:val="21"/>
                <w:lang w:val="en-US" w:eastAsia="zh-CN"/>
              </w:rPr>
              <w:t>前进村</w:t>
            </w:r>
            <w:r>
              <w:rPr>
                <w:rFonts w:hint="default"/>
                <w:sz w:val="21"/>
                <w:szCs w:val="21"/>
                <w:lang w:val="en-US" w:eastAsia="zh-CN"/>
              </w:rPr>
              <w:t>-第</w:t>
            </w:r>
            <w:r>
              <w:rPr>
                <w:rFonts w:hint="eastAsia"/>
                <w:sz w:val="21"/>
                <w:szCs w:val="21"/>
                <w:lang w:val="en-US" w:eastAsia="zh-CN"/>
              </w:rPr>
              <w:t>二</w:t>
            </w:r>
            <w:r>
              <w:rPr>
                <w:rFonts w:hint="default"/>
                <w:sz w:val="21"/>
                <w:szCs w:val="21"/>
                <w:lang w:val="en-US" w:eastAsia="zh-CN"/>
              </w:rPr>
              <w:t>排建筑物</w:t>
            </w:r>
            <w:r>
              <w:rPr>
                <w:rFonts w:hint="eastAsia"/>
                <w:sz w:val="21"/>
                <w:szCs w:val="21"/>
                <w:lang w:val="en-US" w:eastAsia="zh-CN"/>
              </w:rPr>
              <w:t>前</w:t>
            </w:r>
            <w:r>
              <w:rPr>
                <w:rFonts w:hint="default"/>
                <w:sz w:val="21"/>
                <w:szCs w:val="21"/>
                <w:lang w:val="en-US" w:eastAsia="zh-CN"/>
              </w:rPr>
              <w:t>1m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15</w:t>
            </w:r>
            <w:r>
              <w:rPr>
                <w:rFonts w:hint="default"/>
                <w:sz w:val="21"/>
                <w:szCs w:val="21"/>
              </w:rPr>
              <w:t>:</w:t>
            </w:r>
            <w:r>
              <w:rPr>
                <w:rFonts w:hint="eastAsia"/>
                <w:sz w:val="21"/>
                <w:szCs w:val="21"/>
                <w:lang w:val="en-US" w:eastAsia="zh-CN"/>
              </w:rPr>
              <w:t>28</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54.1</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04</w:t>
            </w:r>
            <w:r>
              <w:rPr>
                <w:rFonts w:hint="default"/>
                <w:sz w:val="21"/>
                <w:szCs w:val="21"/>
              </w:rPr>
              <w:t>:</w:t>
            </w:r>
            <w:r>
              <w:rPr>
                <w:rFonts w:hint="eastAsia"/>
                <w:sz w:val="21"/>
                <w:szCs w:val="21"/>
                <w:lang w:val="en-US" w:eastAsia="zh-CN"/>
              </w:rPr>
              <w:t>53</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43.3</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rPr>
            </w:pPr>
            <w:r>
              <w:rPr>
                <w:rFonts w:hint="default"/>
                <w:sz w:val="21"/>
                <w:szCs w:val="21"/>
                <w:lang w:val="en-US" w:eastAsia="zh-CN"/>
              </w:rPr>
              <w:t>N</w:t>
            </w:r>
            <w:r>
              <w:rPr>
                <w:rFonts w:hint="eastAsia"/>
                <w:sz w:val="21"/>
                <w:szCs w:val="21"/>
                <w:lang w:val="en-US" w:eastAsia="zh-CN"/>
              </w:rPr>
              <w:t>3-道路终点</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15</w:t>
            </w:r>
            <w:r>
              <w:rPr>
                <w:rFonts w:hint="default"/>
                <w:sz w:val="21"/>
                <w:szCs w:val="21"/>
              </w:rPr>
              <w:t>:</w:t>
            </w:r>
            <w:r>
              <w:rPr>
                <w:rFonts w:hint="eastAsia"/>
                <w:sz w:val="21"/>
                <w:szCs w:val="21"/>
                <w:lang w:val="en-US" w:eastAsia="zh-CN"/>
              </w:rPr>
              <w:t>57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64.0</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15</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48.5</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4-距道路边界线外20m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16</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64.3</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48.0</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5-距道路边界线外40m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16</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63.7</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47.8</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6-距道路边界线外60m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16</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61.4</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47.4</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7-距道路边界线外100m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16</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60.8</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47.0</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N</w:t>
            </w:r>
            <w:r>
              <w:rPr>
                <w:rFonts w:hint="eastAsia"/>
                <w:sz w:val="21"/>
                <w:szCs w:val="21"/>
                <w:lang w:val="en-US" w:eastAsia="zh-CN"/>
              </w:rPr>
              <w:t>8-距道路边界线外200m</w:t>
            </w:r>
          </w:p>
        </w:tc>
        <w:tc>
          <w:tcPr>
            <w:tcW w:w="95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w:t>
            </w:r>
            <w:r>
              <w:rPr>
                <w:rFonts w:hint="eastAsia"/>
                <w:sz w:val="21"/>
                <w:szCs w:val="21"/>
                <w:lang w:val="en-US" w:eastAsia="zh-CN"/>
              </w:rPr>
              <w:t>1</w:t>
            </w:r>
            <w:r>
              <w:rPr>
                <w:rFonts w:hint="default"/>
                <w:sz w:val="21"/>
                <w:szCs w:val="21"/>
                <w:lang w:val="en-US" w:eastAsia="zh-CN"/>
              </w:rPr>
              <w:t xml:space="preserve"> </w:t>
            </w:r>
            <w:r>
              <w:rPr>
                <w:rFonts w:hint="eastAsia"/>
                <w:sz w:val="21"/>
                <w:szCs w:val="21"/>
                <w:lang w:val="en-US" w:eastAsia="zh-CN"/>
              </w:rPr>
              <w:t>16</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60.5</w:t>
            </w:r>
          </w:p>
        </w:tc>
        <w:tc>
          <w:tcPr>
            <w:tcW w:w="8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rPr>
            </w:pPr>
            <w:r>
              <w:rPr>
                <w:rFonts w:hint="default"/>
                <w:sz w:val="21"/>
                <w:szCs w:val="21"/>
              </w:rPr>
              <w:t>202</w:t>
            </w:r>
            <w:r>
              <w:rPr>
                <w:rFonts w:hint="default"/>
                <w:sz w:val="21"/>
                <w:szCs w:val="21"/>
                <w:lang w:val="en-US" w:eastAsia="zh-CN"/>
              </w:rPr>
              <w:t>4.03.2</w:t>
            </w:r>
            <w:r>
              <w:rPr>
                <w:rFonts w:hint="eastAsia"/>
                <w:sz w:val="21"/>
                <w:szCs w:val="21"/>
                <w:lang w:val="en-US" w:eastAsia="zh-CN"/>
              </w:rPr>
              <w:t>2</w:t>
            </w:r>
            <w:r>
              <w:rPr>
                <w:rFonts w:hint="default"/>
                <w:sz w:val="21"/>
                <w:szCs w:val="21"/>
                <w:lang w:val="en-US" w:eastAsia="zh-CN"/>
              </w:rPr>
              <w:t xml:space="preserve"> </w:t>
            </w:r>
            <w:r>
              <w:rPr>
                <w:rFonts w:hint="eastAsia"/>
                <w:sz w:val="21"/>
                <w:szCs w:val="21"/>
                <w:lang w:val="en-US" w:eastAsia="zh-CN"/>
              </w:rPr>
              <w:t>05</w:t>
            </w:r>
            <w:r>
              <w:rPr>
                <w:rFonts w:hint="default"/>
                <w:sz w:val="21"/>
                <w:szCs w:val="21"/>
              </w:rPr>
              <w:t>:</w:t>
            </w:r>
            <w:r>
              <w:rPr>
                <w:rFonts w:hint="eastAsia"/>
                <w:sz w:val="21"/>
                <w:szCs w:val="21"/>
                <w:lang w:val="en-US" w:eastAsia="zh-CN"/>
              </w:rPr>
              <w:t>40</w:t>
            </w:r>
            <w:r>
              <w:rPr>
                <w:rFonts w:hint="default"/>
                <w:sz w:val="21"/>
                <w:szCs w:val="21"/>
                <w:lang w:eastAsia="zh-CN"/>
              </w:rPr>
              <w:t xml:space="preserve"> </w:t>
            </w:r>
            <w:r>
              <w:rPr>
                <w:rFonts w:hint="default"/>
                <w:sz w:val="21"/>
                <w:szCs w:val="21"/>
              </w:rPr>
              <w:t>20min</w:t>
            </w:r>
          </w:p>
        </w:tc>
        <w:tc>
          <w:tcPr>
            <w:tcW w:w="49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46.8</w:t>
            </w:r>
          </w:p>
        </w:tc>
        <w:tc>
          <w:tcPr>
            <w:tcW w:w="51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sz w:val="21"/>
                <w:szCs w:val="21"/>
                <w:lang w:val="en-US" w:eastAsia="zh-CN"/>
              </w:rPr>
            </w:pPr>
            <w:r>
              <w:rPr>
                <w:rFonts w:hint="eastAsia"/>
                <w:sz w:val="21"/>
                <w:szCs w:val="21"/>
                <w:lang w:val="en-US" w:eastAsia="zh-CN"/>
              </w:rPr>
              <w:t>昼65、夜55</w:t>
            </w:r>
          </w:p>
        </w:tc>
        <w:tc>
          <w:tcPr>
            <w:tcW w:w="4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1"/>
                <w:szCs w:val="21"/>
                <w:lang w:val="en-US" w:eastAsia="zh-CN"/>
              </w:rPr>
            </w:pPr>
            <w:r>
              <w:rPr>
                <w:rFonts w:hint="eastAsia"/>
                <w:sz w:val="21"/>
                <w:szCs w:val="21"/>
                <w:lang w:val="en-US" w:eastAsia="zh-CN"/>
              </w:rPr>
              <w:t>达标</w:t>
            </w:r>
          </w:p>
        </w:tc>
      </w:tr>
    </w:tbl>
    <w:p>
      <w:pPr>
        <w:spacing w:line="143" w:lineRule="exact"/>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rPr>
          <w:rFonts w:hint="default" w:ascii="Times New Roman" w:hAnsi="Times New Roman" w:eastAsia="仿宋_GB2312" w:cs="Times New Roman"/>
          <w:color w:val="auto"/>
        </w:rPr>
        <w:sectPr>
          <w:pgSz w:w="16839" w:h="11906" w:orient="landscape"/>
          <w:pgMar w:top="1803" w:right="1440" w:bottom="1803" w:left="1440" w:header="0" w:footer="984" w:gutter="0"/>
          <w:pgNumType w:fmt="numberInDash"/>
          <w:cols w:space="720" w:num="1"/>
        </w:sectPr>
      </w:pPr>
    </w:p>
    <w:p>
      <w:pPr>
        <w:pStyle w:val="5"/>
        <w:spacing w:line="281" w:lineRule="auto"/>
        <w:rPr>
          <w:rFonts w:hint="default" w:ascii="Times New Roman" w:hAnsi="Times New Roman" w:eastAsia="仿宋_GB2312" w:cs="Times New Roman"/>
          <w:color w:val="auto"/>
        </w:rPr>
      </w:pPr>
    </w:p>
    <w:p>
      <w:pPr>
        <w:pStyle w:val="3"/>
        <w:bidi w:val="0"/>
        <w:rPr>
          <w:rFonts w:hint="default" w:ascii="Times New Roman" w:hAnsi="Times New Roman" w:eastAsia="仿宋_GB2312" w:cs="Times New Roman"/>
          <w:color w:val="auto"/>
        </w:rPr>
      </w:pPr>
      <w:bookmarkStart w:id="79" w:name="_Toc7345"/>
      <w:r>
        <w:rPr>
          <w:rFonts w:hint="default" w:ascii="Times New Roman" w:hAnsi="Times New Roman" w:eastAsia="仿宋_GB2312" w:cs="Times New Roman"/>
          <w:color w:val="auto"/>
        </w:rPr>
        <w:t>6.4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声环境影响调查结论</w:t>
      </w:r>
      <w:bookmarkEnd w:id="7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验收调查范围内共有噪声敏感点 </w:t>
      </w:r>
      <w:r>
        <w:rPr>
          <w:rFonts w:hint="eastAsia" w:cs="Times New Roman"/>
          <w:color w:val="auto"/>
          <w:lang w:val="en-US" w:eastAsia="zh-CN"/>
        </w:rPr>
        <w:t>1</w:t>
      </w:r>
      <w:r>
        <w:rPr>
          <w:rFonts w:hint="default" w:ascii="Times New Roman" w:hAnsi="Times New Roman" w:eastAsia="仿宋_GB2312" w:cs="Times New Roman"/>
          <w:color w:val="auto"/>
        </w:rPr>
        <w:t xml:space="preserve"> 处，其监测结果满足《声环境质量标准》（GB3096-2008）2 类标准。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项目试运营以来未收到交通噪声投诉。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综上，根据工程实际，通车后沿线声环境符合验收要求。</w:t>
      </w:r>
    </w:p>
    <w:p>
      <w:pPr>
        <w:spacing w:line="219" w:lineRule="auto"/>
        <w:rPr>
          <w:rFonts w:hint="default" w:ascii="Times New Roman" w:hAnsi="Times New Roman" w:eastAsia="仿宋_GB2312" w:cs="Times New Roman"/>
          <w:color w:val="auto"/>
          <w:sz w:val="24"/>
          <w:szCs w:val="24"/>
        </w:rPr>
        <w:sectPr>
          <w:footerReference r:id="rId14" w:type="default"/>
          <w:pgSz w:w="11906" w:h="16839"/>
          <w:pgMar w:top="1440" w:right="1803" w:bottom="1440" w:left="1803" w:header="0" w:footer="984" w:gutter="0"/>
          <w:pgNumType w:fmt="numberInDash"/>
          <w:cols w:space="720" w:num="1"/>
        </w:sectPr>
      </w:pPr>
    </w:p>
    <w:p>
      <w:pPr>
        <w:pStyle w:val="2"/>
        <w:bidi w:val="0"/>
        <w:rPr>
          <w:rFonts w:hint="default" w:ascii="Times New Roman" w:hAnsi="Times New Roman" w:eastAsia="仿宋_GB2312" w:cs="Times New Roman"/>
          <w:color w:val="auto"/>
        </w:rPr>
      </w:pPr>
      <w:bookmarkStart w:id="80" w:name="bookmark37"/>
      <w:bookmarkEnd w:id="80"/>
      <w:bookmarkStart w:id="81" w:name="bookmark38"/>
      <w:bookmarkEnd w:id="81"/>
      <w:bookmarkStart w:id="82" w:name="bookmark33"/>
      <w:bookmarkEnd w:id="82"/>
      <w:bookmarkStart w:id="83" w:name="_Toc2983"/>
      <w:r>
        <w:rPr>
          <w:rFonts w:hint="default" w:ascii="Times New Roman" w:hAnsi="Times New Roman" w:eastAsia="仿宋_GB2312" w:cs="Times New Roman"/>
          <w:color w:val="auto"/>
        </w:rPr>
        <w:t>7. 环境空气影响调查</w:t>
      </w:r>
      <w:bookmarkEnd w:id="83"/>
    </w:p>
    <w:p>
      <w:pPr>
        <w:pStyle w:val="3"/>
        <w:bidi w:val="0"/>
        <w:rPr>
          <w:rFonts w:hint="default" w:ascii="Times New Roman" w:hAnsi="Times New Roman" w:eastAsia="仿宋_GB2312" w:cs="Times New Roman"/>
          <w:color w:val="auto"/>
        </w:rPr>
      </w:pPr>
      <w:bookmarkStart w:id="84" w:name="_Toc12645"/>
      <w:r>
        <w:rPr>
          <w:rFonts w:hint="default" w:ascii="Times New Roman" w:hAnsi="Times New Roman" w:eastAsia="仿宋_GB2312" w:cs="Times New Roman"/>
          <w:color w:val="auto"/>
        </w:rPr>
        <w:t>7.1 沿线环境空气现状调查</w:t>
      </w:r>
      <w:bookmarkEnd w:id="8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调查范围</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公路边界线两侧各200m范围内。</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调查对象</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本项目的环境空气敏感目标共</w:t>
      </w:r>
      <w:r>
        <w:rPr>
          <w:rFonts w:hint="eastAsia" w:cs="Times New Roman"/>
          <w:color w:val="auto"/>
          <w:sz w:val="24"/>
          <w:lang w:val="en-US" w:eastAsia="zh-CN"/>
        </w:rPr>
        <w:t>1</w:t>
      </w:r>
      <w:r>
        <w:rPr>
          <w:rFonts w:hint="default" w:ascii="Times New Roman" w:hAnsi="Times New Roman" w:eastAsia="仿宋_GB2312" w:cs="Times New Roman"/>
          <w:color w:val="auto"/>
          <w:sz w:val="24"/>
        </w:rPr>
        <w:t>处，详见表1.7-1。</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调查内容</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（1）环境空气敏感目标的分布情况；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（2）施工过程中采取的减少粉尘污染的措施；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（3）施工过程中采取的减少沥青烟气等有害气体污染的措施及效果；</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（4）试运营期环境空气质量现状。</w:t>
      </w:r>
    </w:p>
    <w:p>
      <w:pPr>
        <w:pStyle w:val="3"/>
        <w:bidi w:val="0"/>
        <w:rPr>
          <w:rFonts w:hint="default" w:ascii="Times New Roman" w:hAnsi="Times New Roman" w:eastAsia="仿宋_GB2312" w:cs="Times New Roman"/>
          <w:color w:val="auto"/>
        </w:rPr>
      </w:pPr>
      <w:bookmarkStart w:id="85" w:name="bookmark34"/>
      <w:bookmarkEnd w:id="85"/>
      <w:bookmarkStart w:id="86" w:name="bookmark39"/>
      <w:bookmarkEnd w:id="86"/>
      <w:bookmarkStart w:id="87" w:name="_Toc26741"/>
      <w:r>
        <w:rPr>
          <w:rFonts w:hint="default" w:ascii="Times New Roman" w:hAnsi="Times New Roman" w:eastAsia="仿宋_GB2312" w:cs="Times New Roman"/>
          <w:color w:val="auto"/>
        </w:rPr>
        <w:t>7.2 施工期环境空气</w:t>
      </w:r>
      <w:r>
        <w:rPr>
          <w:rFonts w:hint="eastAsia" w:eastAsia="仿宋_GB2312" w:cs="Times New Roman"/>
          <w:color w:val="auto"/>
          <w:lang w:val="en-US" w:eastAsia="zh-CN"/>
        </w:rPr>
        <w:t>保护措施</w:t>
      </w:r>
      <w:r>
        <w:rPr>
          <w:rFonts w:hint="default" w:ascii="Times New Roman" w:hAnsi="Times New Roman" w:eastAsia="仿宋_GB2312" w:cs="Times New Roman"/>
          <w:color w:val="auto"/>
        </w:rPr>
        <w:t>调查</w:t>
      </w:r>
      <w:bookmarkEnd w:id="8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工程施工中的平整土地、材料运输、装卸等环节均产生不同程度的扬尘污染。建设单位在施工过程中采取了施工路段洒水等多项废气治理措施。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（1）施工扬尘污染防治措施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①道路运输防尘：施工便道的路基夯实，配备了洒水车给路面定期洒水，保证道路表面密实、湿润，防止因土质松散、干燥而产生扬尘；经过敏感点附近的施工便道 表面使用了草垫铺盖以减少起尘量；土方和散货物料的运输采用密闭方式，运输车辆的车厢配备了顶棚或遮盖物，运输路线做到了尽量避开集中居住区。</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②土方及路基路面施工防尘：土方堆场四周及路基路面施工路段两侧设置围挡；根据路基填筑进度安排运土计划，施工做到了运土、填筑过程顺畅衔接，减少了土方的临时堆存时间；路基路面填筑时，及时压实了路面，未完工路面及时洒水，避免了在大风天气进行施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（2）沥青烟气污染防治措施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①沥青混合料采取外购方式，施工现场不设置集中沥青拌合站。</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②沥青摊铺时选择大气扩散条件好的时段，减轻了摊铺时烟气对敏感点的影响。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工程施工期没有扬尘污染问题的投诉，环境空气影响得到了有效的控制。</w:t>
      </w:r>
    </w:p>
    <w:p>
      <w:pPr>
        <w:pStyle w:val="3"/>
        <w:bidi w:val="0"/>
        <w:rPr>
          <w:rFonts w:hint="default" w:ascii="Times New Roman" w:hAnsi="Times New Roman" w:eastAsia="仿宋_GB2312" w:cs="Times New Roman"/>
          <w:color w:val="auto"/>
          <w:lang w:val="en-US" w:eastAsia="zh-CN"/>
        </w:rPr>
      </w:pPr>
      <w:bookmarkStart w:id="88" w:name="bookmark40"/>
      <w:bookmarkEnd w:id="88"/>
      <w:bookmarkStart w:id="89" w:name="bookmark35"/>
      <w:bookmarkEnd w:id="89"/>
      <w:bookmarkStart w:id="90" w:name="bookmark36"/>
      <w:bookmarkEnd w:id="90"/>
      <w:bookmarkStart w:id="91" w:name="_Toc2523"/>
      <w:r>
        <w:rPr>
          <w:rFonts w:hint="default" w:ascii="Times New Roman" w:hAnsi="Times New Roman" w:eastAsia="仿宋_GB2312" w:cs="Times New Roman"/>
          <w:color w:val="auto"/>
        </w:rPr>
        <w:t>7.3 运营期环境空气影响调查</w:t>
      </w:r>
      <w:r>
        <w:rPr>
          <w:rFonts w:hint="eastAsia" w:eastAsia="仿宋_GB2312" w:cs="Times New Roman"/>
          <w:color w:val="auto"/>
          <w:lang w:val="en-US" w:eastAsia="zh-CN"/>
        </w:rPr>
        <w:t>与监测</w:t>
      </w:r>
      <w:bookmarkEnd w:id="9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本次调查委托</w:t>
      </w:r>
      <w:r>
        <w:rPr>
          <w:rFonts w:hint="default" w:ascii="Times New Roman" w:hAnsi="Times New Roman" w:eastAsia="仿宋_GB2312" w:cs="Times New Roman"/>
          <w:color w:val="auto"/>
          <w:sz w:val="24"/>
          <w:lang w:eastAsia="zh-CN"/>
        </w:rPr>
        <w:t>哈尔滨捷通环境监测有限责任公司</w:t>
      </w:r>
      <w:r>
        <w:rPr>
          <w:rFonts w:hint="default" w:ascii="Times New Roman" w:hAnsi="Times New Roman" w:eastAsia="仿宋_GB2312" w:cs="Times New Roman"/>
          <w:color w:val="auto"/>
          <w:sz w:val="24"/>
        </w:rPr>
        <w:t>于202</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月2</w:t>
      </w:r>
      <w:r>
        <w:rPr>
          <w:rFonts w:hint="eastAsia" w:cs="Times New Roman"/>
          <w:color w:val="auto"/>
          <w:sz w:val="24"/>
          <w:lang w:val="en-US" w:eastAsia="zh-CN"/>
        </w:rPr>
        <w:t>0</w:t>
      </w:r>
      <w:r>
        <w:rPr>
          <w:rFonts w:hint="default" w:ascii="Times New Roman" w:hAnsi="Times New Roman" w:eastAsia="仿宋_GB2312" w:cs="Times New Roman"/>
          <w:color w:val="auto"/>
          <w:sz w:val="24"/>
        </w:rPr>
        <w:t>日-2</w:t>
      </w:r>
      <w:r>
        <w:rPr>
          <w:rFonts w:hint="eastAsia" w:cs="Times New Roman"/>
          <w:color w:val="auto"/>
          <w:sz w:val="24"/>
          <w:lang w:val="en-US" w:eastAsia="zh-CN"/>
        </w:rPr>
        <w:t>6</w:t>
      </w:r>
      <w:r>
        <w:rPr>
          <w:rFonts w:hint="default" w:ascii="Times New Roman" w:hAnsi="Times New Roman" w:eastAsia="仿宋_GB2312" w:cs="Times New Roman"/>
          <w:color w:val="auto"/>
          <w:sz w:val="24"/>
        </w:rPr>
        <w:t>日进行了</w:t>
      </w:r>
      <w:r>
        <w:rPr>
          <w:rFonts w:hint="eastAsia" w:cs="Times New Roman"/>
          <w:color w:val="auto"/>
          <w:sz w:val="24"/>
          <w:lang w:val="en-US" w:eastAsia="zh-CN"/>
        </w:rPr>
        <w:t>环境空气质量</w:t>
      </w:r>
      <w:r>
        <w:rPr>
          <w:rFonts w:hint="default" w:ascii="Times New Roman" w:hAnsi="Times New Roman" w:eastAsia="仿宋_GB2312" w:cs="Times New Roman"/>
          <w:color w:val="auto"/>
          <w:sz w:val="24"/>
        </w:rPr>
        <w:t>现状监测。具体监测内容如下：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eastAsia" w:ascii="Times New Roman" w:hAnsi="Times New Roman" w:eastAsia="仿宋_GB2312" w:cs="Times New Roman"/>
          <w:color w:val="auto"/>
          <w:sz w:val="24"/>
        </w:rPr>
      </w:pPr>
      <w:r>
        <w:rPr>
          <w:rFonts w:hint="eastAsia" w:ascii="Times New Roman" w:hAnsi="Times New Roman" w:eastAsia="仿宋_GB2312" w:cs="Times New Roman"/>
          <w:color w:val="auto"/>
          <w:sz w:val="24"/>
          <w:lang w:val="en-US" w:eastAsia="zh-CN"/>
        </w:rPr>
        <w:t>设置1</w:t>
      </w:r>
      <w:r>
        <w:rPr>
          <w:rFonts w:hint="eastAsia" w:ascii="Times New Roman" w:hAnsi="Times New Roman" w:eastAsia="仿宋_GB2312" w:cs="Times New Roman"/>
          <w:color w:val="auto"/>
          <w:sz w:val="24"/>
        </w:rPr>
        <w:t>个</w:t>
      </w:r>
      <w:r>
        <w:rPr>
          <w:rFonts w:hint="eastAsia" w:ascii="Times New Roman" w:hAnsi="Times New Roman" w:eastAsia="仿宋_GB2312" w:cs="Times New Roman"/>
          <w:color w:val="auto"/>
          <w:sz w:val="24"/>
          <w:lang w:val="en-US" w:eastAsia="zh-CN"/>
        </w:rPr>
        <w:t>环境空气</w:t>
      </w:r>
      <w:r>
        <w:rPr>
          <w:rFonts w:hint="eastAsia" w:ascii="Times New Roman" w:hAnsi="Times New Roman" w:eastAsia="仿宋_GB2312" w:cs="Times New Roman"/>
          <w:color w:val="auto"/>
          <w:sz w:val="24"/>
        </w:rPr>
        <w:t>监测点，具体监测点位见下表。</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r>
        <w:rPr>
          <w:rFonts w:hint="eastAsia" w:ascii="Times New Roman" w:hAnsi="Times New Roman" w:eastAsia="仿宋_GB2312" w:cs="Times New Roman"/>
          <w:b/>
          <w:bCs/>
          <w:color w:val="auto"/>
        </w:rPr>
        <w:t>表</w:t>
      </w:r>
      <w:r>
        <w:rPr>
          <w:rFonts w:hint="eastAsia" w:cs="Times New Roman"/>
          <w:b/>
          <w:bCs/>
          <w:color w:val="auto"/>
          <w:lang w:val="en-US" w:eastAsia="zh-CN"/>
        </w:rPr>
        <w:t>7.3-1</w:t>
      </w:r>
      <w:r>
        <w:rPr>
          <w:rFonts w:hint="eastAsia" w:ascii="Times New Roman" w:hAnsi="Times New Roman" w:eastAsia="仿宋_GB2312" w:cs="Times New Roman"/>
          <w:b/>
          <w:bCs/>
          <w:color w:val="auto"/>
        </w:rPr>
        <w:t xml:space="preserve">  环境空气监测点布置</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81"/>
        <w:gridCol w:w="2004"/>
        <w:gridCol w:w="1842"/>
        <w:gridCol w:w="3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Align w:val="center"/>
          </w:tcPr>
          <w:p>
            <w:pPr>
              <w:pStyle w:val="17"/>
              <w:bidi w:val="0"/>
              <w:rPr>
                <w:rFonts w:hint="eastAsia"/>
              </w:rPr>
            </w:pPr>
            <w:r>
              <w:rPr>
                <w:rFonts w:hint="eastAsia"/>
              </w:rPr>
              <w:t>监测点编号</w:t>
            </w:r>
          </w:p>
        </w:tc>
        <w:tc>
          <w:tcPr>
            <w:tcW w:w="1206" w:type="pct"/>
            <w:vAlign w:val="center"/>
          </w:tcPr>
          <w:p>
            <w:pPr>
              <w:pStyle w:val="17"/>
              <w:bidi w:val="0"/>
              <w:rPr>
                <w:rFonts w:hint="eastAsia"/>
              </w:rPr>
            </w:pPr>
            <w:r>
              <w:rPr>
                <w:rFonts w:hint="eastAsia"/>
              </w:rPr>
              <w:t>监测点名称</w:t>
            </w:r>
          </w:p>
        </w:tc>
        <w:tc>
          <w:tcPr>
            <w:tcW w:w="1108" w:type="pct"/>
            <w:vAlign w:val="center"/>
          </w:tcPr>
          <w:p>
            <w:pPr>
              <w:pStyle w:val="17"/>
              <w:bidi w:val="0"/>
              <w:rPr>
                <w:rFonts w:hint="eastAsia"/>
                <w:lang w:val="en-US" w:eastAsia="zh-CN"/>
              </w:rPr>
            </w:pPr>
            <w:r>
              <w:rPr>
                <w:rFonts w:hint="eastAsia"/>
                <w:lang w:val="en-US" w:eastAsia="zh-CN"/>
              </w:rPr>
              <w:t>监测因子</w:t>
            </w:r>
          </w:p>
        </w:tc>
        <w:tc>
          <w:tcPr>
            <w:tcW w:w="1913" w:type="pct"/>
            <w:vAlign w:val="center"/>
          </w:tcPr>
          <w:p>
            <w:pPr>
              <w:pStyle w:val="17"/>
              <w:bidi w:val="0"/>
              <w:rPr>
                <w:rFonts w:hint="default"/>
                <w:lang w:val="en-US" w:eastAsia="zh-CN"/>
              </w:rPr>
            </w:pPr>
            <w:r>
              <w:rPr>
                <w:rFonts w:hint="eastAsia"/>
                <w:lang w:val="en-US" w:eastAsia="zh-CN"/>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Merge w:val="restart"/>
            <w:vAlign w:val="center"/>
          </w:tcPr>
          <w:p>
            <w:pPr>
              <w:pStyle w:val="17"/>
              <w:bidi w:val="0"/>
              <w:rPr>
                <w:rFonts w:hint="eastAsia"/>
                <w:lang w:val="en-US" w:eastAsia="zh-CN"/>
              </w:rPr>
            </w:pPr>
            <w:r>
              <w:rPr>
                <w:rFonts w:hint="eastAsia"/>
                <w:lang w:val="en-US" w:eastAsia="zh-CN"/>
              </w:rPr>
              <w:t>1#</w:t>
            </w:r>
          </w:p>
        </w:tc>
        <w:tc>
          <w:tcPr>
            <w:tcW w:w="1206" w:type="pct"/>
            <w:vMerge w:val="restart"/>
            <w:vAlign w:val="center"/>
          </w:tcPr>
          <w:p>
            <w:pPr>
              <w:pStyle w:val="17"/>
              <w:bidi w:val="0"/>
              <w:rPr>
                <w:rFonts w:hint="default"/>
                <w:lang w:val="en-US" w:eastAsia="zh-CN"/>
              </w:rPr>
            </w:pPr>
            <w:r>
              <w:rPr>
                <w:rFonts w:hint="eastAsia"/>
                <w:lang w:val="en-US" w:eastAsia="zh-CN"/>
              </w:rPr>
              <w:t>前进村</w:t>
            </w:r>
          </w:p>
        </w:tc>
        <w:tc>
          <w:tcPr>
            <w:tcW w:w="1108" w:type="pct"/>
            <w:vAlign w:val="center"/>
          </w:tcPr>
          <w:p>
            <w:pPr>
              <w:pStyle w:val="17"/>
              <w:bidi w:val="0"/>
              <w:rPr>
                <w:rFonts w:hint="default"/>
                <w:lang w:val="en-US" w:eastAsia="zh-CN"/>
              </w:rPr>
            </w:pPr>
            <w:r>
              <w:rPr>
                <w:rFonts w:hint="eastAsia"/>
                <w:lang w:val="en-US" w:eastAsia="zh-CN"/>
              </w:rPr>
              <w:t>CO、NO</w:t>
            </w:r>
            <w:r>
              <w:rPr>
                <w:rFonts w:hint="eastAsia"/>
                <w:vertAlign w:val="subscript"/>
                <w:lang w:val="en-US" w:eastAsia="zh-CN"/>
              </w:rPr>
              <w:t>2</w:t>
            </w:r>
          </w:p>
        </w:tc>
        <w:tc>
          <w:tcPr>
            <w:tcW w:w="1913" w:type="pct"/>
            <w:vAlign w:val="center"/>
          </w:tcPr>
          <w:p>
            <w:pPr>
              <w:pStyle w:val="17"/>
              <w:bidi w:val="0"/>
              <w:rPr>
                <w:rFonts w:hint="eastAsia"/>
                <w:lang w:val="en-US" w:eastAsia="zh-CN"/>
              </w:rPr>
            </w:pPr>
            <w:r>
              <w:rPr>
                <w:rFonts w:hint="eastAsia"/>
                <w:lang w:val="en-US" w:eastAsia="zh-CN"/>
              </w:rPr>
              <w:t>连续监测采样7天，1小时平均值与24小时平均值。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Merge w:val="continue"/>
            <w:vAlign w:val="center"/>
          </w:tcPr>
          <w:p>
            <w:pPr>
              <w:pStyle w:val="17"/>
              <w:bidi w:val="0"/>
              <w:rPr>
                <w:rFonts w:hint="eastAsia"/>
                <w:lang w:val="en-US" w:eastAsia="zh-CN"/>
              </w:rPr>
            </w:pPr>
          </w:p>
        </w:tc>
        <w:tc>
          <w:tcPr>
            <w:tcW w:w="1206" w:type="pct"/>
            <w:vMerge w:val="continue"/>
            <w:vAlign w:val="center"/>
          </w:tcPr>
          <w:p>
            <w:pPr>
              <w:pStyle w:val="17"/>
              <w:bidi w:val="0"/>
              <w:rPr>
                <w:rFonts w:hint="eastAsia"/>
                <w:lang w:val="en-US" w:eastAsia="zh-CN"/>
              </w:rPr>
            </w:pPr>
          </w:p>
        </w:tc>
        <w:tc>
          <w:tcPr>
            <w:tcW w:w="1108" w:type="pct"/>
            <w:vAlign w:val="center"/>
          </w:tcPr>
          <w:p>
            <w:pPr>
              <w:pStyle w:val="17"/>
              <w:bidi w:val="0"/>
              <w:rPr>
                <w:rFonts w:hint="eastAsia"/>
                <w:lang w:val="en-US" w:eastAsia="zh-CN"/>
              </w:rPr>
            </w:pPr>
            <w:r>
              <w:rPr>
                <w:rFonts w:hint="eastAsia"/>
                <w:lang w:val="en-US" w:eastAsia="zh-CN"/>
              </w:rPr>
              <w:t>TSP</w:t>
            </w:r>
          </w:p>
        </w:tc>
        <w:tc>
          <w:tcPr>
            <w:tcW w:w="1913" w:type="pct"/>
            <w:vAlign w:val="center"/>
          </w:tcPr>
          <w:p>
            <w:pPr>
              <w:pStyle w:val="17"/>
              <w:bidi w:val="0"/>
              <w:rPr>
                <w:rFonts w:hint="eastAsia"/>
                <w:lang w:val="en-US" w:eastAsia="zh-CN"/>
              </w:rPr>
            </w:pPr>
            <w:r>
              <w:rPr>
                <w:rFonts w:hint="eastAsia"/>
                <w:lang w:val="en-US" w:eastAsia="zh-CN"/>
              </w:rPr>
              <w:t>连续监测采样7天，24小时平均值</w:t>
            </w:r>
          </w:p>
        </w:tc>
      </w:tr>
    </w:tbl>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eastAsia" w:cs="Times New Roman"/>
          <w:color w:val="auto"/>
          <w:sz w:val="24"/>
          <w:lang w:val="en-US" w:eastAsia="zh-CN"/>
        </w:rPr>
      </w:pPr>
      <w:r>
        <w:rPr>
          <w:rFonts w:hint="eastAsia" w:cs="Times New Roman"/>
          <w:color w:val="auto"/>
          <w:sz w:val="24"/>
          <w:lang w:val="en-US" w:eastAsia="zh-CN"/>
        </w:rPr>
        <w:t>监测结果如下：</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cs="Times New Roman"/>
          <w:b/>
          <w:bCs/>
          <w:color w:val="auto"/>
          <w:lang w:val="en-US" w:eastAsia="zh-CN"/>
        </w:rPr>
      </w:pPr>
      <w:r>
        <w:rPr>
          <w:rFonts w:hint="eastAsia" w:ascii="Times New Roman" w:hAnsi="Times New Roman" w:eastAsia="仿宋_GB2312" w:cs="Times New Roman"/>
          <w:b/>
          <w:bCs/>
          <w:color w:val="auto"/>
        </w:rPr>
        <w:t>表</w:t>
      </w:r>
      <w:r>
        <w:rPr>
          <w:rFonts w:hint="eastAsia" w:cs="Times New Roman"/>
          <w:b/>
          <w:bCs/>
          <w:color w:val="auto"/>
          <w:lang w:val="en-US" w:eastAsia="zh-CN"/>
        </w:rPr>
        <w:t>7.3-2</w:t>
      </w:r>
      <w:r>
        <w:rPr>
          <w:rFonts w:hint="eastAsia" w:ascii="Times New Roman" w:hAnsi="Times New Roman" w:eastAsia="仿宋_GB2312" w:cs="Times New Roman"/>
          <w:b/>
          <w:bCs/>
          <w:color w:val="auto"/>
        </w:rPr>
        <w:t xml:space="preserve">  环境空气</w:t>
      </w:r>
      <w:r>
        <w:rPr>
          <w:rFonts w:hint="eastAsia" w:cs="Times New Roman"/>
          <w:b/>
          <w:bCs/>
          <w:color w:val="auto"/>
          <w:lang w:val="en-US" w:eastAsia="zh-CN"/>
        </w:rPr>
        <w:t>监测结果（小时值）</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1189"/>
        <w:gridCol w:w="1885"/>
        <w:gridCol w:w="1616"/>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restart"/>
            <w:vAlign w:val="center"/>
          </w:tcPr>
          <w:p>
            <w:pPr>
              <w:pStyle w:val="17"/>
              <w:bidi w:val="0"/>
              <w:rPr>
                <w:rFonts w:hint="default"/>
                <w:sz w:val="21"/>
                <w:szCs w:val="21"/>
              </w:rPr>
            </w:pPr>
            <w:r>
              <w:rPr>
                <w:rFonts w:hint="default"/>
                <w:sz w:val="21"/>
                <w:szCs w:val="21"/>
              </w:rPr>
              <w:t>采样位置</w:t>
            </w:r>
          </w:p>
        </w:tc>
        <w:tc>
          <w:tcPr>
            <w:tcW w:w="698" w:type="pct"/>
            <w:vMerge w:val="restart"/>
            <w:vAlign w:val="center"/>
          </w:tcPr>
          <w:p>
            <w:pPr>
              <w:pStyle w:val="17"/>
              <w:bidi w:val="0"/>
              <w:rPr>
                <w:rFonts w:hint="default"/>
                <w:sz w:val="21"/>
                <w:szCs w:val="21"/>
              </w:rPr>
            </w:pPr>
            <w:r>
              <w:rPr>
                <w:rFonts w:hint="default"/>
                <w:sz w:val="21"/>
                <w:szCs w:val="21"/>
              </w:rPr>
              <w:t>采样时间</w:t>
            </w:r>
          </w:p>
        </w:tc>
        <w:tc>
          <w:tcPr>
            <w:tcW w:w="1106" w:type="pct"/>
            <w:vMerge w:val="restart"/>
            <w:vAlign w:val="center"/>
          </w:tcPr>
          <w:p>
            <w:pPr>
              <w:pStyle w:val="17"/>
              <w:bidi w:val="0"/>
              <w:rPr>
                <w:rFonts w:hint="default"/>
                <w:sz w:val="21"/>
                <w:szCs w:val="21"/>
              </w:rPr>
            </w:pPr>
            <w:r>
              <w:rPr>
                <w:rFonts w:hint="default"/>
                <w:sz w:val="21"/>
                <w:szCs w:val="21"/>
              </w:rPr>
              <w:t>样品编号</w:t>
            </w:r>
          </w:p>
        </w:tc>
        <w:tc>
          <w:tcPr>
            <w:tcW w:w="2172" w:type="pct"/>
            <w:gridSpan w:val="2"/>
            <w:vAlign w:val="center"/>
          </w:tcPr>
          <w:p>
            <w:pPr>
              <w:pStyle w:val="17"/>
              <w:bidi w:val="0"/>
              <w:rPr>
                <w:rFonts w:hint="default"/>
                <w:sz w:val="21"/>
                <w:szCs w:val="21"/>
              </w:rPr>
            </w:pPr>
            <w:r>
              <w:rPr>
                <w:rFonts w:hint="default"/>
                <w:sz w:val="21"/>
                <w:szCs w:val="21"/>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vMerge w:val="continue"/>
            <w:shd w:val="clear" w:color="auto" w:fill="auto"/>
            <w:vAlign w:val="center"/>
          </w:tcPr>
          <w:p>
            <w:pPr>
              <w:pStyle w:val="17"/>
              <w:bidi w:val="0"/>
              <w:rPr>
                <w:rFonts w:hint="default"/>
                <w:sz w:val="21"/>
                <w:szCs w:val="21"/>
              </w:rPr>
            </w:pP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二氧化氮</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一氧化碳（mg/m</w:t>
            </w:r>
            <w:r>
              <w:rPr>
                <w:rFonts w:hint="default"/>
                <w:sz w:val="21"/>
                <w:szCs w:val="21"/>
                <w:vertAlign w:val="superscript"/>
                <w:lang w:val="en-US" w:eastAsia="zh-CN"/>
              </w:rPr>
              <w:t>3</w:t>
            </w:r>
            <w:r>
              <w:rPr>
                <w:rFonts w:hint="default"/>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restart"/>
            <w:shd w:val="solid" w:color="FFFFFF" w:fill="auto"/>
            <w:vAlign w:val="center"/>
          </w:tcPr>
          <w:p>
            <w:pPr>
              <w:pStyle w:val="17"/>
              <w:bidi w:val="0"/>
              <w:rPr>
                <w:rFonts w:hint="default"/>
                <w:sz w:val="21"/>
                <w:szCs w:val="21"/>
                <w:lang w:val="en-US"/>
              </w:rPr>
            </w:pPr>
            <w:r>
              <w:rPr>
                <w:rFonts w:hint="eastAsia"/>
                <w:sz w:val="21"/>
                <w:szCs w:val="21"/>
                <w:lang w:val="en-US" w:eastAsia="zh-CN"/>
              </w:rPr>
              <w:t>1</w:t>
            </w:r>
            <w:r>
              <w:rPr>
                <w:rFonts w:hint="default"/>
                <w:sz w:val="21"/>
                <w:szCs w:val="21"/>
                <w:lang w:val="en-US" w:eastAsia="zh-CN"/>
              </w:rPr>
              <w:t>#-</w:t>
            </w:r>
            <w:r>
              <w:rPr>
                <w:rFonts w:hint="eastAsia"/>
                <w:sz w:val="21"/>
                <w:szCs w:val="21"/>
                <w:lang w:val="en-US" w:eastAsia="zh-CN"/>
              </w:rPr>
              <w:t>前进村</w:t>
            </w:r>
          </w:p>
        </w:tc>
        <w:tc>
          <w:tcPr>
            <w:tcW w:w="698"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4.03.20</w:t>
            </w:r>
          </w:p>
        </w:tc>
        <w:tc>
          <w:tcPr>
            <w:tcW w:w="1106" w:type="pct"/>
            <w:shd w:val="clear" w:color="auto" w:fill="auto"/>
            <w:vAlign w:val="center"/>
          </w:tcPr>
          <w:p>
            <w:pPr>
              <w:pStyle w:val="17"/>
              <w:bidi w:val="0"/>
              <w:rPr>
                <w:rFonts w:hint="default"/>
                <w:sz w:val="21"/>
                <w:szCs w:val="21"/>
                <w:lang w:eastAsia="zh-CN"/>
              </w:rPr>
            </w:pPr>
            <w:r>
              <w:rPr>
                <w:rFonts w:hint="default"/>
                <w:sz w:val="21"/>
                <w:szCs w:val="21"/>
                <w:lang w:val="en-US" w:eastAsia="zh-CN"/>
              </w:rPr>
              <w:t>TJ240320Q0101</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TJ240320Q0102</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TJ240320Q0103</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16</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TJ240320Q0104</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4.03.21</w:t>
            </w:r>
          </w:p>
        </w:tc>
        <w:tc>
          <w:tcPr>
            <w:tcW w:w="1106" w:type="pct"/>
            <w:shd w:val="clear" w:color="auto" w:fill="auto"/>
            <w:vAlign w:val="center"/>
          </w:tcPr>
          <w:p>
            <w:pPr>
              <w:pStyle w:val="17"/>
              <w:bidi w:val="0"/>
              <w:rPr>
                <w:rFonts w:hint="default"/>
                <w:sz w:val="21"/>
                <w:szCs w:val="21"/>
                <w:lang w:eastAsia="zh-CN"/>
              </w:rPr>
            </w:pPr>
            <w:r>
              <w:rPr>
                <w:rFonts w:hint="default"/>
                <w:sz w:val="21"/>
                <w:szCs w:val="21"/>
                <w:lang w:val="en-US" w:eastAsia="zh-CN"/>
              </w:rPr>
              <w:t>TJ240321Q0101</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17</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TJ240321Q0102</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TJ240321Q0103</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18</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TJ240321Q0104</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18</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lang w:val="en-US"/>
              </w:rPr>
            </w:pPr>
          </w:p>
        </w:tc>
        <w:tc>
          <w:tcPr>
            <w:tcW w:w="698"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4.03.22</w:t>
            </w:r>
          </w:p>
        </w:tc>
        <w:tc>
          <w:tcPr>
            <w:tcW w:w="1106" w:type="pct"/>
            <w:shd w:val="clear" w:color="auto" w:fill="auto"/>
            <w:vAlign w:val="center"/>
          </w:tcPr>
          <w:p>
            <w:pPr>
              <w:pStyle w:val="17"/>
              <w:bidi w:val="0"/>
              <w:rPr>
                <w:rFonts w:hint="default"/>
                <w:sz w:val="21"/>
                <w:szCs w:val="21"/>
                <w:lang w:eastAsia="zh-CN"/>
              </w:rPr>
            </w:pPr>
            <w:r>
              <w:rPr>
                <w:rFonts w:hint="default"/>
                <w:sz w:val="21"/>
                <w:szCs w:val="21"/>
                <w:lang w:val="en-US" w:eastAsia="zh-CN"/>
              </w:rPr>
              <w:t>TJ240322Q0101</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TJ240322Q0102</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16</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TJ240322Q0103</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continue"/>
            <w:shd w:val="solid" w:color="FFFFFF" w:fill="auto"/>
            <w:vAlign w:val="center"/>
          </w:tcPr>
          <w:p>
            <w:pPr>
              <w:pStyle w:val="17"/>
              <w:bidi w:val="0"/>
              <w:rPr>
                <w:rFonts w:hint="default"/>
                <w:sz w:val="21"/>
                <w:szCs w:val="21"/>
              </w:rPr>
            </w:pPr>
          </w:p>
        </w:tc>
        <w:tc>
          <w:tcPr>
            <w:tcW w:w="1106" w:type="pct"/>
            <w:shd w:val="clear" w:color="auto" w:fill="auto"/>
            <w:vAlign w:val="center"/>
          </w:tcPr>
          <w:p>
            <w:pPr>
              <w:pStyle w:val="17"/>
              <w:bidi w:val="0"/>
              <w:rPr>
                <w:rFonts w:hint="default"/>
                <w:sz w:val="21"/>
                <w:szCs w:val="21"/>
              </w:rPr>
            </w:pPr>
            <w:r>
              <w:rPr>
                <w:rFonts w:hint="default"/>
                <w:sz w:val="21"/>
                <w:szCs w:val="21"/>
                <w:lang w:val="en-US" w:eastAsia="zh-CN"/>
              </w:rPr>
              <w:t>TJ240322Q0104</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17</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shd w:val="solid" w:color="FFFFFF" w:fill="auto"/>
            <w:vAlign w:val="center"/>
          </w:tcPr>
          <w:p>
            <w:pPr>
              <w:pStyle w:val="17"/>
              <w:bidi w:val="0"/>
              <w:rPr>
                <w:rFonts w:hint="default"/>
                <w:sz w:val="21"/>
                <w:szCs w:val="21"/>
              </w:rPr>
            </w:pPr>
          </w:p>
        </w:tc>
        <w:tc>
          <w:tcPr>
            <w:tcW w:w="698"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4.03.23</w:t>
            </w:r>
          </w:p>
        </w:tc>
        <w:tc>
          <w:tcPr>
            <w:tcW w:w="1106" w:type="pct"/>
            <w:shd w:val="clear" w:color="auto" w:fill="auto"/>
            <w:vAlign w:val="center"/>
          </w:tcPr>
          <w:p>
            <w:pPr>
              <w:pStyle w:val="17"/>
              <w:bidi w:val="0"/>
              <w:rPr>
                <w:rFonts w:hint="default"/>
                <w:sz w:val="21"/>
                <w:szCs w:val="21"/>
                <w:lang w:eastAsia="zh-CN"/>
              </w:rPr>
            </w:pPr>
            <w:r>
              <w:rPr>
                <w:rFonts w:hint="default"/>
                <w:sz w:val="21"/>
                <w:szCs w:val="21"/>
                <w:lang w:val="en-US" w:eastAsia="zh-CN"/>
              </w:rPr>
              <w:t>TJ240323Q0101</w:t>
            </w:r>
          </w:p>
        </w:tc>
        <w:tc>
          <w:tcPr>
            <w:tcW w:w="949"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TJ240323Q0102</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18</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vAlign w:val="center"/>
          </w:tcPr>
          <w:p>
            <w:pPr>
              <w:pStyle w:val="17"/>
              <w:bidi w:val="0"/>
              <w:rPr>
                <w:rFonts w:hint="default"/>
                <w:sz w:val="21"/>
                <w:szCs w:val="21"/>
              </w:rPr>
            </w:pPr>
          </w:p>
        </w:tc>
        <w:tc>
          <w:tcPr>
            <w:tcW w:w="698" w:type="pct"/>
            <w:vMerge w:val="continue"/>
            <w:vAlign w:val="center"/>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TJ240323Q0103</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18</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vAlign w:val="center"/>
          </w:tcPr>
          <w:p>
            <w:pPr>
              <w:pStyle w:val="17"/>
              <w:bidi w:val="0"/>
              <w:rPr>
                <w:rFonts w:hint="default"/>
                <w:sz w:val="21"/>
                <w:szCs w:val="21"/>
              </w:rPr>
            </w:pPr>
          </w:p>
        </w:tc>
        <w:tc>
          <w:tcPr>
            <w:tcW w:w="698" w:type="pct"/>
            <w:vMerge w:val="continue"/>
            <w:vAlign w:val="center"/>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TJ240323Q0104</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lang w:val="en-US"/>
              </w:rPr>
            </w:pPr>
          </w:p>
        </w:tc>
        <w:tc>
          <w:tcPr>
            <w:tcW w:w="698" w:type="pct"/>
            <w:vMerge w:val="restart"/>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4.03.24</w:t>
            </w:r>
          </w:p>
        </w:tc>
        <w:tc>
          <w:tcPr>
            <w:tcW w:w="1106" w:type="pct"/>
            <w:vAlign w:val="center"/>
          </w:tcPr>
          <w:p>
            <w:pPr>
              <w:pStyle w:val="17"/>
              <w:bidi w:val="0"/>
              <w:rPr>
                <w:rFonts w:hint="default"/>
                <w:sz w:val="21"/>
                <w:szCs w:val="21"/>
                <w:lang w:eastAsia="zh-CN"/>
              </w:rPr>
            </w:pPr>
            <w:r>
              <w:rPr>
                <w:rFonts w:hint="default"/>
                <w:sz w:val="21"/>
                <w:szCs w:val="21"/>
                <w:lang w:val="en-US" w:eastAsia="zh-CN"/>
              </w:rPr>
              <w:t>TJ240324Q0101</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22</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TJ240324Q0102</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TJ240324Q0103</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TJ240324Q0104</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restart"/>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4.03.25</w:t>
            </w:r>
          </w:p>
        </w:tc>
        <w:tc>
          <w:tcPr>
            <w:tcW w:w="1106" w:type="pct"/>
            <w:vAlign w:val="center"/>
          </w:tcPr>
          <w:p>
            <w:pPr>
              <w:pStyle w:val="17"/>
              <w:bidi w:val="0"/>
              <w:rPr>
                <w:rFonts w:hint="default"/>
                <w:sz w:val="21"/>
                <w:szCs w:val="21"/>
                <w:lang w:eastAsia="zh-CN"/>
              </w:rPr>
            </w:pPr>
            <w:r>
              <w:rPr>
                <w:rFonts w:hint="default"/>
                <w:sz w:val="21"/>
                <w:szCs w:val="21"/>
                <w:lang w:val="en-US" w:eastAsia="zh-CN"/>
              </w:rPr>
              <w:t>TJ240325Q0101</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16</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TJ240325Q0102</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TJ240325Q0103</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17</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default"/>
                <w:sz w:val="21"/>
                <w:szCs w:val="21"/>
              </w:rPr>
            </w:pPr>
            <w:r>
              <w:rPr>
                <w:rFonts w:hint="default"/>
                <w:sz w:val="21"/>
                <w:szCs w:val="21"/>
                <w:lang w:val="en-US" w:eastAsia="zh-CN"/>
              </w:rPr>
              <w:t>TJ240325Q0104</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20</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restart"/>
            <w:vAlign w:val="center"/>
          </w:tcPr>
          <w:p>
            <w:pPr>
              <w:pStyle w:val="17"/>
              <w:bidi w:val="0"/>
              <w:rPr>
                <w:rFonts w:hint="default"/>
                <w:sz w:val="21"/>
                <w:szCs w:val="21"/>
                <w:lang w:val="en-US" w:eastAsia="zh-CN"/>
              </w:rPr>
            </w:pPr>
            <w:r>
              <w:rPr>
                <w:rFonts w:hint="eastAsia"/>
                <w:sz w:val="21"/>
                <w:szCs w:val="21"/>
                <w:lang w:val="en-US" w:eastAsia="zh-CN"/>
              </w:rPr>
              <w:t>2024.03.26</w:t>
            </w:r>
          </w:p>
        </w:tc>
        <w:tc>
          <w:tcPr>
            <w:tcW w:w="1106" w:type="pct"/>
            <w:vAlign w:val="center"/>
          </w:tcPr>
          <w:p>
            <w:pPr>
              <w:pStyle w:val="17"/>
              <w:bidi w:val="0"/>
              <w:rPr>
                <w:rFonts w:hint="eastAsia"/>
                <w:sz w:val="21"/>
                <w:szCs w:val="21"/>
                <w:lang w:val="en-US" w:eastAsia="zh-CN"/>
              </w:rPr>
            </w:pPr>
            <w:r>
              <w:rPr>
                <w:rFonts w:hint="default"/>
                <w:sz w:val="21"/>
                <w:szCs w:val="21"/>
                <w:lang w:val="en-US" w:eastAsia="zh-CN"/>
              </w:rPr>
              <w:t>TJ240326Q0101</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eastAsia"/>
                <w:sz w:val="21"/>
                <w:szCs w:val="21"/>
                <w:lang w:val="en-US" w:eastAsia="zh-CN"/>
              </w:rPr>
            </w:pPr>
            <w:r>
              <w:rPr>
                <w:rFonts w:hint="default"/>
                <w:sz w:val="21"/>
                <w:szCs w:val="21"/>
                <w:lang w:val="en-US" w:eastAsia="zh-CN"/>
              </w:rPr>
              <w:t>TJ240326Q0102</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19</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eastAsia"/>
                <w:sz w:val="21"/>
                <w:szCs w:val="21"/>
                <w:lang w:val="en-US" w:eastAsia="zh-CN"/>
              </w:rPr>
            </w:pPr>
            <w:r>
              <w:rPr>
                <w:rFonts w:hint="default"/>
                <w:sz w:val="21"/>
                <w:szCs w:val="21"/>
                <w:lang w:val="en-US" w:eastAsia="zh-CN"/>
              </w:rPr>
              <w:t>TJ240326Q0103</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21</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6" w:hRule="atLeast"/>
          <w:jc w:val="center"/>
        </w:trPr>
        <w:tc>
          <w:tcPr>
            <w:tcW w:w="1022" w:type="pct"/>
            <w:vMerge w:val="continue"/>
          </w:tcPr>
          <w:p>
            <w:pPr>
              <w:pStyle w:val="17"/>
              <w:bidi w:val="0"/>
              <w:rPr>
                <w:rFonts w:hint="default"/>
                <w:sz w:val="21"/>
                <w:szCs w:val="21"/>
              </w:rPr>
            </w:pPr>
          </w:p>
        </w:tc>
        <w:tc>
          <w:tcPr>
            <w:tcW w:w="698" w:type="pct"/>
            <w:vMerge w:val="continue"/>
          </w:tcPr>
          <w:p>
            <w:pPr>
              <w:pStyle w:val="17"/>
              <w:bidi w:val="0"/>
              <w:rPr>
                <w:rFonts w:hint="default"/>
                <w:sz w:val="21"/>
                <w:szCs w:val="21"/>
              </w:rPr>
            </w:pPr>
          </w:p>
        </w:tc>
        <w:tc>
          <w:tcPr>
            <w:tcW w:w="1106" w:type="pct"/>
            <w:vAlign w:val="center"/>
          </w:tcPr>
          <w:p>
            <w:pPr>
              <w:pStyle w:val="17"/>
              <w:bidi w:val="0"/>
              <w:rPr>
                <w:rFonts w:hint="eastAsia"/>
                <w:sz w:val="21"/>
                <w:szCs w:val="21"/>
                <w:lang w:val="en-US" w:eastAsia="zh-CN"/>
              </w:rPr>
            </w:pPr>
            <w:r>
              <w:rPr>
                <w:rFonts w:hint="default"/>
                <w:sz w:val="21"/>
                <w:szCs w:val="21"/>
                <w:lang w:val="en-US" w:eastAsia="zh-CN"/>
              </w:rPr>
              <w:t>TJ240326Q0104</w:t>
            </w:r>
          </w:p>
        </w:tc>
        <w:tc>
          <w:tcPr>
            <w:tcW w:w="949" w:type="pct"/>
            <w:vAlign w:val="center"/>
          </w:tcPr>
          <w:p>
            <w:pPr>
              <w:pStyle w:val="17"/>
              <w:bidi w:val="0"/>
              <w:rPr>
                <w:rFonts w:hint="default"/>
                <w:sz w:val="21"/>
                <w:szCs w:val="21"/>
                <w:lang w:val="en-US" w:eastAsia="zh-CN"/>
              </w:rPr>
            </w:pPr>
            <w:r>
              <w:rPr>
                <w:rFonts w:hint="default"/>
                <w:sz w:val="21"/>
                <w:szCs w:val="21"/>
                <w:lang w:val="en-US" w:eastAsia="zh-CN"/>
              </w:rPr>
              <w:t>18</w:t>
            </w:r>
          </w:p>
        </w:tc>
        <w:tc>
          <w:tcPr>
            <w:tcW w:w="1223"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49" w:hRule="atLeast"/>
          <w:jc w:val="center"/>
        </w:trPr>
        <w:tc>
          <w:tcPr>
            <w:tcW w:w="2827" w:type="pct"/>
            <w:gridSpan w:val="3"/>
          </w:tcPr>
          <w:p>
            <w:pPr>
              <w:pStyle w:val="17"/>
              <w:bidi w:val="0"/>
              <w:rPr>
                <w:rFonts w:hint="default"/>
                <w:sz w:val="21"/>
                <w:szCs w:val="21"/>
                <w:lang w:val="en-US" w:eastAsia="zh-CN"/>
              </w:rPr>
            </w:pPr>
            <w:r>
              <w:rPr>
                <w:rFonts w:hint="eastAsia"/>
                <w:sz w:val="21"/>
                <w:szCs w:val="21"/>
                <w:lang w:val="en-US" w:eastAsia="zh-CN"/>
              </w:rPr>
              <w:t>标准限值</w:t>
            </w:r>
          </w:p>
        </w:tc>
        <w:tc>
          <w:tcPr>
            <w:tcW w:w="949" w:type="pct"/>
            <w:vAlign w:val="center"/>
          </w:tcPr>
          <w:p>
            <w:pPr>
              <w:pStyle w:val="17"/>
              <w:bidi w:val="0"/>
              <w:rPr>
                <w:rFonts w:hint="default"/>
                <w:sz w:val="21"/>
                <w:szCs w:val="21"/>
                <w:lang w:val="en-US" w:eastAsia="zh-CN"/>
              </w:rPr>
            </w:pPr>
            <w:r>
              <w:rPr>
                <w:rFonts w:hint="eastAsia"/>
                <w:sz w:val="21"/>
                <w:szCs w:val="21"/>
                <w:lang w:val="en-US" w:eastAsia="zh-CN"/>
              </w:rPr>
              <w:t>200</w:t>
            </w:r>
          </w:p>
        </w:tc>
        <w:tc>
          <w:tcPr>
            <w:tcW w:w="1223" w:type="pct"/>
            <w:vAlign w:val="center"/>
          </w:tcPr>
          <w:p>
            <w:pPr>
              <w:pStyle w:val="17"/>
              <w:bidi w:val="0"/>
              <w:rPr>
                <w:rFonts w:hint="default"/>
                <w:sz w:val="21"/>
                <w:szCs w:val="21"/>
                <w:lang w:val="en-US" w:eastAsia="zh-CN"/>
              </w:rPr>
            </w:pPr>
            <w:r>
              <w:rPr>
                <w:rFonts w:hint="eastAsia"/>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49" w:hRule="atLeast"/>
          <w:jc w:val="center"/>
        </w:trPr>
        <w:tc>
          <w:tcPr>
            <w:tcW w:w="2827" w:type="pct"/>
            <w:gridSpan w:val="3"/>
          </w:tcPr>
          <w:p>
            <w:pPr>
              <w:pStyle w:val="17"/>
              <w:bidi w:val="0"/>
              <w:rPr>
                <w:rFonts w:hint="default"/>
                <w:sz w:val="21"/>
                <w:szCs w:val="21"/>
                <w:lang w:val="en-US" w:eastAsia="zh-CN"/>
              </w:rPr>
            </w:pPr>
            <w:r>
              <w:rPr>
                <w:rFonts w:hint="eastAsia"/>
                <w:sz w:val="21"/>
                <w:szCs w:val="21"/>
                <w:lang w:val="en-US" w:eastAsia="zh-CN"/>
              </w:rPr>
              <w:t>达标情况</w:t>
            </w:r>
          </w:p>
        </w:tc>
        <w:tc>
          <w:tcPr>
            <w:tcW w:w="949" w:type="pct"/>
            <w:vAlign w:val="center"/>
          </w:tcPr>
          <w:p>
            <w:pPr>
              <w:pStyle w:val="17"/>
              <w:bidi w:val="0"/>
              <w:rPr>
                <w:rFonts w:hint="default"/>
                <w:sz w:val="21"/>
                <w:szCs w:val="21"/>
                <w:lang w:val="en-US" w:eastAsia="zh-CN"/>
              </w:rPr>
            </w:pPr>
            <w:r>
              <w:rPr>
                <w:rFonts w:hint="eastAsia"/>
                <w:sz w:val="21"/>
                <w:szCs w:val="21"/>
                <w:lang w:val="en-US" w:eastAsia="zh-CN"/>
              </w:rPr>
              <w:t>达标</w:t>
            </w:r>
          </w:p>
        </w:tc>
        <w:tc>
          <w:tcPr>
            <w:tcW w:w="1223" w:type="pct"/>
            <w:vAlign w:val="center"/>
          </w:tcPr>
          <w:p>
            <w:pPr>
              <w:pStyle w:val="17"/>
              <w:bidi w:val="0"/>
              <w:rPr>
                <w:rFonts w:hint="default"/>
                <w:sz w:val="21"/>
                <w:szCs w:val="21"/>
                <w:lang w:val="en-US" w:eastAsia="zh-CN"/>
              </w:rPr>
            </w:pPr>
            <w:r>
              <w:rPr>
                <w:rFonts w:hint="eastAsia"/>
                <w:sz w:val="21"/>
                <w:szCs w:val="21"/>
                <w:lang w:val="en-US" w:eastAsia="zh-CN"/>
              </w:rPr>
              <w:t>达标</w:t>
            </w:r>
          </w:p>
        </w:tc>
      </w:tr>
    </w:tbl>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4"/>
        </w:rPr>
      </w:pPr>
      <w:r>
        <w:rPr>
          <w:rFonts w:hint="eastAsia" w:ascii="Times New Roman" w:hAnsi="Times New Roman" w:eastAsia="仿宋_GB2312" w:cs="Times New Roman"/>
          <w:b/>
          <w:bCs/>
          <w:color w:val="auto"/>
        </w:rPr>
        <w:t>表</w:t>
      </w:r>
      <w:r>
        <w:rPr>
          <w:rFonts w:hint="eastAsia" w:cs="Times New Roman"/>
          <w:b/>
          <w:bCs/>
          <w:color w:val="auto"/>
          <w:lang w:val="en-US" w:eastAsia="zh-CN"/>
        </w:rPr>
        <w:t>7.3-3</w:t>
      </w:r>
      <w:r>
        <w:rPr>
          <w:rFonts w:hint="eastAsia" w:ascii="Times New Roman" w:hAnsi="Times New Roman" w:eastAsia="仿宋_GB2312" w:cs="Times New Roman"/>
          <w:b/>
          <w:bCs/>
          <w:color w:val="auto"/>
        </w:rPr>
        <w:t xml:space="preserve">  环境空气</w:t>
      </w:r>
      <w:r>
        <w:rPr>
          <w:rFonts w:hint="eastAsia" w:cs="Times New Roman"/>
          <w:b/>
          <w:bCs/>
          <w:color w:val="auto"/>
          <w:lang w:val="en-US" w:eastAsia="zh-CN"/>
        </w:rPr>
        <w:t>监测结果（日均值）</w:t>
      </w:r>
    </w:p>
    <w:tbl>
      <w:tblPr>
        <w:tblStyle w:val="11"/>
        <w:tblW w:w="49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1455"/>
        <w:gridCol w:w="1800"/>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blHeader/>
          <w:jc w:val="center"/>
        </w:trPr>
        <w:tc>
          <w:tcPr>
            <w:tcW w:w="740" w:type="pct"/>
            <w:vMerge w:val="restart"/>
            <w:vAlign w:val="center"/>
          </w:tcPr>
          <w:p>
            <w:pPr>
              <w:pStyle w:val="17"/>
              <w:bidi w:val="0"/>
              <w:rPr>
                <w:rFonts w:hint="default"/>
                <w:sz w:val="21"/>
                <w:szCs w:val="21"/>
              </w:rPr>
            </w:pPr>
            <w:r>
              <w:rPr>
                <w:rFonts w:hint="default"/>
                <w:sz w:val="21"/>
                <w:szCs w:val="21"/>
              </w:rPr>
              <w:t>采样位置</w:t>
            </w:r>
          </w:p>
        </w:tc>
        <w:tc>
          <w:tcPr>
            <w:tcW w:w="861" w:type="pct"/>
            <w:vMerge w:val="restart"/>
            <w:vAlign w:val="center"/>
          </w:tcPr>
          <w:p>
            <w:pPr>
              <w:pStyle w:val="17"/>
              <w:bidi w:val="0"/>
              <w:rPr>
                <w:rFonts w:hint="default"/>
                <w:sz w:val="21"/>
                <w:szCs w:val="21"/>
              </w:rPr>
            </w:pPr>
            <w:r>
              <w:rPr>
                <w:rFonts w:hint="default"/>
                <w:sz w:val="21"/>
                <w:szCs w:val="21"/>
              </w:rPr>
              <w:t>采样时间</w:t>
            </w:r>
          </w:p>
        </w:tc>
        <w:tc>
          <w:tcPr>
            <w:tcW w:w="1065" w:type="pct"/>
            <w:vMerge w:val="restart"/>
            <w:vAlign w:val="center"/>
          </w:tcPr>
          <w:p>
            <w:pPr>
              <w:pStyle w:val="17"/>
              <w:bidi w:val="0"/>
              <w:rPr>
                <w:rFonts w:hint="default"/>
                <w:sz w:val="21"/>
                <w:szCs w:val="21"/>
              </w:rPr>
            </w:pPr>
            <w:r>
              <w:rPr>
                <w:rFonts w:hint="default"/>
                <w:sz w:val="21"/>
                <w:szCs w:val="21"/>
              </w:rPr>
              <w:t>样品编号</w:t>
            </w:r>
          </w:p>
        </w:tc>
        <w:tc>
          <w:tcPr>
            <w:tcW w:w="2333" w:type="pct"/>
            <w:gridSpan w:val="2"/>
            <w:vAlign w:val="center"/>
          </w:tcPr>
          <w:p>
            <w:pPr>
              <w:pStyle w:val="17"/>
              <w:bidi w:val="0"/>
              <w:rPr>
                <w:rFonts w:hint="default"/>
                <w:sz w:val="21"/>
                <w:szCs w:val="21"/>
              </w:rPr>
            </w:pPr>
            <w:r>
              <w:rPr>
                <w:rFonts w:hint="default"/>
                <w:sz w:val="21"/>
                <w:szCs w:val="21"/>
              </w:rPr>
              <w:t>结果</w:t>
            </w:r>
            <w:r>
              <w:rPr>
                <w:rFonts w:hint="eastAsia"/>
                <w:sz w:val="21"/>
                <w:szCs w:val="21"/>
                <w:lang w:val="en-US" w:eastAsia="zh-CN"/>
              </w:rPr>
              <w:t>（</w:t>
            </w:r>
            <w:r>
              <w:rPr>
                <w:rFonts w:hint="default"/>
                <w:sz w:val="21"/>
                <w:szCs w:val="21"/>
                <w:lang w:val="en-US" w:eastAsia="zh-CN"/>
              </w:rPr>
              <w:t>μg/m</w:t>
            </w:r>
            <w:r>
              <w:rPr>
                <w:rFonts w:hint="default"/>
                <w:sz w:val="21"/>
                <w:szCs w:val="21"/>
                <w:vertAlign w:val="superscript"/>
                <w:lang w:val="en-US" w:eastAsia="zh-CN"/>
              </w:rPr>
              <w:t>3</w:t>
            </w:r>
            <w:r>
              <w:rPr>
                <w:rFonts w:hint="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blHeader/>
          <w:jc w:val="center"/>
        </w:trPr>
        <w:tc>
          <w:tcPr>
            <w:tcW w:w="740" w:type="pct"/>
            <w:vMerge w:val="continue"/>
            <w:shd w:val="solid" w:color="FFFFFF" w:fill="auto"/>
            <w:vAlign w:val="center"/>
          </w:tcPr>
          <w:p>
            <w:pPr>
              <w:pStyle w:val="17"/>
              <w:bidi w:val="0"/>
              <w:rPr>
                <w:rFonts w:hint="default"/>
                <w:sz w:val="21"/>
                <w:szCs w:val="21"/>
              </w:rPr>
            </w:pPr>
          </w:p>
        </w:tc>
        <w:tc>
          <w:tcPr>
            <w:tcW w:w="861" w:type="pct"/>
            <w:vMerge w:val="continue"/>
            <w:shd w:val="solid" w:color="FFFFFF" w:fill="auto"/>
            <w:vAlign w:val="center"/>
          </w:tcPr>
          <w:p>
            <w:pPr>
              <w:pStyle w:val="17"/>
              <w:bidi w:val="0"/>
              <w:rPr>
                <w:rFonts w:hint="default"/>
                <w:sz w:val="21"/>
                <w:szCs w:val="21"/>
              </w:rPr>
            </w:pPr>
          </w:p>
        </w:tc>
        <w:tc>
          <w:tcPr>
            <w:tcW w:w="1065" w:type="pct"/>
            <w:vMerge w:val="continue"/>
            <w:shd w:val="clear" w:color="auto" w:fill="auto"/>
            <w:vAlign w:val="center"/>
          </w:tcPr>
          <w:p>
            <w:pPr>
              <w:pStyle w:val="17"/>
              <w:bidi w:val="0"/>
              <w:rPr>
                <w:rFonts w:hint="default"/>
                <w:sz w:val="21"/>
                <w:szCs w:val="21"/>
              </w:rPr>
            </w:pPr>
          </w:p>
        </w:tc>
        <w:tc>
          <w:tcPr>
            <w:tcW w:w="1166"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二氧化氮</w:t>
            </w:r>
          </w:p>
        </w:tc>
        <w:tc>
          <w:tcPr>
            <w:tcW w:w="1166"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eastAsia"/>
                <w:sz w:val="21"/>
                <w:szCs w:val="21"/>
                <w:lang w:val="en-US" w:eastAsia="zh-CN"/>
              </w:rPr>
            </w:pPr>
            <w:r>
              <w:rPr>
                <w:rFonts w:hint="eastAsia"/>
                <w:sz w:val="21"/>
                <w:szCs w:val="21"/>
                <w:lang w:val="en-US" w:eastAsia="zh-CN"/>
              </w:rPr>
              <w:t>总悬浮颗粒物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restart"/>
            <w:shd w:val="solid" w:color="FFFFFF" w:fill="auto"/>
            <w:vAlign w:val="center"/>
          </w:tcPr>
          <w:p>
            <w:pPr>
              <w:pStyle w:val="17"/>
              <w:bidi w:val="0"/>
              <w:rPr>
                <w:rFonts w:hint="default"/>
                <w:sz w:val="21"/>
                <w:szCs w:val="21"/>
                <w:lang w:val="en-US"/>
              </w:rPr>
            </w:pPr>
            <w:r>
              <w:rPr>
                <w:rFonts w:hint="default" w:ascii="Times New Roman" w:hAnsi="Times New Roman" w:eastAsia="宋体" w:cs="Times New Roman"/>
                <w:color w:val="auto"/>
                <w:sz w:val="21"/>
                <w:szCs w:val="21"/>
                <w:lang w:val="en-US" w:eastAsia="zh-CN"/>
              </w:rPr>
              <w:t>1#-</w:t>
            </w:r>
            <w:r>
              <w:rPr>
                <w:rFonts w:hint="eastAsia" w:ascii="Times New Roman" w:hAnsi="Times New Roman" w:cs="Times New Roman"/>
                <w:color w:val="auto"/>
                <w:sz w:val="21"/>
                <w:szCs w:val="21"/>
                <w:lang w:val="en-US" w:eastAsia="zh-CN"/>
              </w:rPr>
              <w:t>前进村</w:t>
            </w: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2024.03.20</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TJ240320Q0105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2024.03.21</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TJ240321Q0105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2024.03.22</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TJ240322Q0105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2024.03.23</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TJ240323Q0105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19</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2024.03.24</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TJ240324Q0105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2024.03.25</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TJ240325Q0105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2024.03.26</w:t>
            </w:r>
          </w:p>
        </w:tc>
        <w:tc>
          <w:tcPr>
            <w:tcW w:w="1800" w:type="dxa"/>
            <w:shd w:val="clear" w:color="auto" w:fill="auto"/>
            <w:vAlign w:val="center"/>
          </w:tcPr>
          <w:p>
            <w:pPr>
              <w:pStyle w:val="17"/>
              <w:bidi w:val="0"/>
              <w:rPr>
                <w:rFonts w:hint="default"/>
                <w:sz w:val="21"/>
                <w:szCs w:val="21"/>
                <w:lang w:val="en-US" w:eastAsia="zh-CN"/>
              </w:rPr>
            </w:pPr>
            <w:r>
              <w:rPr>
                <w:rFonts w:hint="default"/>
                <w:sz w:val="21"/>
                <w:szCs w:val="21"/>
                <w:lang w:val="en-US" w:eastAsia="zh-CN"/>
              </w:rPr>
              <w:t>TJ240326Q0105</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19</w:t>
            </w:r>
          </w:p>
        </w:tc>
        <w:tc>
          <w:tcPr>
            <w:tcW w:w="1971" w:type="dxa"/>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6" w:type="pct"/>
            <w:gridSpan w:val="3"/>
            <w:shd w:val="solid" w:color="FFFFFF" w:fill="auto"/>
            <w:vAlign w:val="center"/>
          </w:tcPr>
          <w:p>
            <w:pPr>
              <w:pStyle w:val="17"/>
              <w:bidi w:val="0"/>
              <w:rPr>
                <w:rFonts w:hint="default"/>
                <w:sz w:val="21"/>
                <w:szCs w:val="21"/>
                <w:lang w:val="en-US" w:eastAsia="zh-CN"/>
              </w:rPr>
            </w:pPr>
            <w:r>
              <w:rPr>
                <w:rFonts w:hint="eastAsia"/>
                <w:sz w:val="21"/>
                <w:szCs w:val="21"/>
                <w:lang w:val="en-US" w:eastAsia="zh-CN"/>
              </w:rPr>
              <w:t>标准限值</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80</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6" w:type="pct"/>
            <w:gridSpan w:val="3"/>
            <w:shd w:val="solid" w:color="FFFFFF" w:fill="auto"/>
            <w:vAlign w:val="center"/>
          </w:tcPr>
          <w:p>
            <w:pPr>
              <w:pStyle w:val="17"/>
              <w:bidi w:val="0"/>
              <w:rPr>
                <w:rFonts w:hint="default"/>
                <w:sz w:val="21"/>
                <w:szCs w:val="21"/>
                <w:lang w:val="en-US" w:eastAsia="zh-CN"/>
              </w:rPr>
            </w:pPr>
            <w:r>
              <w:rPr>
                <w:rFonts w:hint="eastAsia"/>
                <w:sz w:val="21"/>
                <w:szCs w:val="21"/>
                <w:lang w:val="en-US" w:eastAsia="zh-CN"/>
              </w:rPr>
              <w:t>达标情况</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达标</w:t>
            </w:r>
          </w:p>
        </w:tc>
        <w:tc>
          <w:tcPr>
            <w:tcW w:w="1166" w:type="pct"/>
            <w:shd w:val="solid" w:color="FFFFFF" w:fill="auto"/>
            <w:vAlign w:val="center"/>
          </w:tcPr>
          <w:p>
            <w:pPr>
              <w:pStyle w:val="17"/>
              <w:bidi w:val="0"/>
              <w:rPr>
                <w:rFonts w:hint="eastAsia"/>
                <w:sz w:val="21"/>
                <w:szCs w:val="21"/>
                <w:lang w:val="en-US" w:eastAsia="zh-CN"/>
              </w:rPr>
            </w:pPr>
            <w:r>
              <w:rPr>
                <w:rFonts w:hint="eastAsia"/>
                <w:sz w:val="21"/>
                <w:szCs w:val="21"/>
                <w:lang w:val="en-US" w:eastAsia="zh-CN"/>
              </w:rPr>
              <w:t>达标</w:t>
            </w:r>
          </w:p>
        </w:tc>
      </w:tr>
    </w:tbl>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工程现场踏勘结果表明，沿线地势平缓开阔，汽车尾气能够得到充分的稀释、扩 散、沉降。沿线地表植被覆盖率较高，可以对汽车尾气进行吸收和净化。因此，运营期汽车尾气对沿线环境空气敏感目标的影响较小。</w:t>
      </w:r>
    </w:p>
    <w:p>
      <w:pPr>
        <w:pStyle w:val="3"/>
        <w:bidi w:val="0"/>
        <w:rPr>
          <w:rFonts w:hint="default" w:ascii="Times New Roman" w:hAnsi="Times New Roman" w:eastAsia="仿宋_GB2312" w:cs="Times New Roman"/>
          <w:color w:val="auto"/>
        </w:rPr>
      </w:pPr>
      <w:bookmarkStart w:id="92" w:name="bookmark41"/>
      <w:bookmarkEnd w:id="92"/>
      <w:bookmarkStart w:id="93" w:name="_Toc21402"/>
      <w:r>
        <w:rPr>
          <w:rFonts w:hint="default" w:ascii="Times New Roman" w:hAnsi="Times New Roman" w:eastAsia="仿宋_GB2312" w:cs="Times New Roman"/>
          <w:color w:val="auto"/>
        </w:rPr>
        <w:t>7.4 环境空气影响调查结论</w:t>
      </w:r>
      <w:bookmarkEnd w:id="9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工程施工期存在一定的扬尘污染，建设单位落实了各项废气治理措施，造成的环 境影响很小。随着工程的结束，影响也随之结束。工程运营期汽车尾气不会对沿线空气质量产生大的影响，所以对沿线敏感点的影响可以忽略不计。</w:t>
      </w:r>
    </w:p>
    <w:p>
      <w:pPr>
        <w:spacing w:line="222" w:lineRule="auto"/>
        <w:rPr>
          <w:rFonts w:hint="default" w:ascii="Times New Roman" w:hAnsi="Times New Roman" w:eastAsia="仿宋_GB2312" w:cs="Times New Roman"/>
          <w:color w:val="auto"/>
          <w:sz w:val="24"/>
          <w:szCs w:val="24"/>
        </w:rPr>
        <w:sectPr>
          <w:footerReference r:id="rId15" w:type="default"/>
          <w:pgSz w:w="11906" w:h="16839"/>
          <w:pgMar w:top="1440" w:right="1803" w:bottom="1440" w:left="1803" w:header="0" w:footer="1023" w:gutter="0"/>
          <w:pgNumType w:fmt="numberInDash"/>
          <w:cols w:space="720" w:num="1"/>
        </w:sectPr>
      </w:pPr>
    </w:p>
    <w:p>
      <w:pPr>
        <w:pStyle w:val="2"/>
        <w:bidi w:val="0"/>
        <w:rPr>
          <w:rFonts w:hint="default" w:ascii="Times New Roman" w:hAnsi="Times New Roman" w:eastAsia="仿宋_GB2312" w:cs="Times New Roman"/>
          <w:color w:val="auto"/>
        </w:rPr>
      </w:pPr>
      <w:bookmarkStart w:id="94" w:name="bookmark43"/>
      <w:bookmarkEnd w:id="94"/>
      <w:bookmarkStart w:id="95" w:name="bookmark42"/>
      <w:bookmarkEnd w:id="95"/>
      <w:bookmarkStart w:id="96" w:name="_Toc10104"/>
      <w:r>
        <w:rPr>
          <w:rFonts w:hint="default" w:ascii="Times New Roman" w:hAnsi="Times New Roman" w:eastAsia="仿宋_GB2312" w:cs="Times New Roman"/>
          <w:color w:val="auto"/>
        </w:rPr>
        <w:t>8. 水环境影响调查</w:t>
      </w:r>
      <w:bookmarkEnd w:id="96"/>
    </w:p>
    <w:p>
      <w:pPr>
        <w:pStyle w:val="3"/>
        <w:bidi w:val="0"/>
        <w:rPr>
          <w:rFonts w:hint="default" w:ascii="Times New Roman" w:hAnsi="Times New Roman" w:eastAsia="仿宋_GB2312" w:cs="Times New Roman"/>
          <w:color w:val="auto"/>
        </w:rPr>
      </w:pPr>
      <w:bookmarkStart w:id="97" w:name="_Toc10175"/>
      <w:r>
        <w:rPr>
          <w:rFonts w:hint="default" w:ascii="Times New Roman" w:hAnsi="Times New Roman" w:eastAsia="仿宋_GB2312" w:cs="Times New Roman"/>
          <w:color w:val="auto"/>
        </w:rPr>
        <w:t>8.1 沿线主要水体及功能调查</w:t>
      </w:r>
      <w:bookmarkEnd w:id="97"/>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项目区域水体</w:t>
      </w:r>
      <w:r>
        <w:rPr>
          <w:rFonts w:hint="eastAsia" w:ascii="Times New Roman" w:hAnsi="Times New Roman" w:eastAsia="仿宋_GB2312" w:cs="Times New Roman"/>
          <w:color w:val="auto"/>
          <w:lang w:val="en-US" w:eastAsia="zh-CN"/>
        </w:rPr>
        <w:t>为</w:t>
      </w:r>
      <w:r>
        <w:rPr>
          <w:rFonts w:hint="default" w:ascii="Times New Roman" w:hAnsi="Times New Roman" w:eastAsia="仿宋_GB2312" w:cs="Times New Roman"/>
          <w:color w:val="auto"/>
        </w:rPr>
        <w:t>松花江</w:t>
      </w:r>
      <w:r>
        <w:rPr>
          <w:rFonts w:hint="eastAsia" w:ascii="Times New Roman" w:hAnsi="Times New Roman" w:eastAsia="仿宋_GB2312" w:cs="Times New Roman"/>
          <w:color w:val="auto"/>
          <w:lang w:val="en-US" w:eastAsia="zh-CN"/>
        </w:rPr>
        <w:t>干流</w:t>
      </w:r>
      <w:r>
        <w:rPr>
          <w:rFonts w:hint="eastAsia" w:ascii="Times New Roman" w:hAnsi="Times New Roman" w:eastAsia="仿宋_GB2312" w:cs="Times New Roman"/>
          <w:color w:val="auto"/>
          <w:lang w:eastAsia="zh-CN"/>
        </w:rPr>
        <w:t>（</w:t>
      </w:r>
      <w:r>
        <w:rPr>
          <w:rFonts w:hint="eastAsia" w:ascii="Times New Roman" w:hAnsi="Times New Roman" w:eastAsia="仿宋_GB2312" w:cs="Times New Roman"/>
          <w:color w:val="auto"/>
          <w:lang w:val="en-US" w:eastAsia="zh-CN"/>
        </w:rPr>
        <w:t>哈尔滨市与阿城市交界至大顶子山段</w:t>
      </w:r>
      <w:r>
        <w:rPr>
          <w:rFonts w:hint="eastAsia" w:ascii="Times New Roman" w:hAnsi="Times New Roman" w:eastAsia="仿宋_GB2312" w:cs="Times New Roman"/>
          <w:color w:val="auto"/>
          <w:lang w:eastAsia="zh-CN"/>
        </w:rPr>
        <w:t>）</w:t>
      </w:r>
      <w:r>
        <w:rPr>
          <w:rFonts w:hint="default" w:ascii="Times New Roman" w:hAnsi="Times New Roman" w:eastAsia="仿宋_GB2312" w:cs="Times New Roman"/>
          <w:color w:val="auto"/>
        </w:rPr>
        <w:t>，区域内雨水汇入</w:t>
      </w:r>
      <w:r>
        <w:rPr>
          <w:rFonts w:hint="eastAsia" w:ascii="Times New Roman" w:hAnsi="Times New Roman" w:eastAsia="仿宋_GB2312" w:cs="Times New Roman"/>
          <w:color w:val="auto"/>
          <w:lang w:val="en-US" w:eastAsia="zh-CN"/>
        </w:rPr>
        <w:t>马家沟</w:t>
      </w:r>
      <w:r>
        <w:rPr>
          <w:rFonts w:hint="default" w:ascii="Times New Roman" w:hAnsi="Times New Roman" w:eastAsia="仿宋_GB2312" w:cs="Times New Roman"/>
          <w:color w:val="auto"/>
        </w:rPr>
        <w:t>后最终汇入松花江。根据《全国重要江河湖泊水功能区划(2011-2030年)》</w:t>
      </w:r>
      <w:r>
        <w:rPr>
          <w:rFonts w:hint="default" w:ascii="Times New Roman" w:hAnsi="Times New Roman" w:eastAsia="仿宋_GB2312" w:cs="Times New Roman"/>
          <w:color w:val="auto"/>
          <w:lang w:eastAsia="zh-CN"/>
        </w:rPr>
        <w:t>，</w:t>
      </w:r>
      <w:r>
        <w:rPr>
          <w:rFonts w:hint="eastAsia" w:ascii="Times New Roman" w:hAnsi="Times New Roman" w:eastAsia="仿宋_GB2312" w:cs="Times New Roman"/>
          <w:color w:val="auto"/>
          <w:lang w:val="en-US" w:eastAsia="zh-CN"/>
        </w:rPr>
        <w:t>哈尔滨市与阿城市交界至大顶子山段所在一级水功能区为松花江哈尔滨市开发利用区，所在二级水功能区为松花江阿城市过渡区，水质目标为IV类</w:t>
      </w:r>
      <w:r>
        <w:rPr>
          <w:rFonts w:hint="default" w:ascii="Times New Roman" w:hAnsi="Times New Roman" w:eastAsia="仿宋_GB2312" w:cs="Times New Roman"/>
          <w:color w:val="auto"/>
        </w:rPr>
        <w:t>。</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验收阶段本工程</w:t>
      </w:r>
      <w:r>
        <w:rPr>
          <w:rFonts w:hint="default" w:ascii="Times New Roman" w:hAnsi="Times New Roman" w:eastAsia="仿宋_GB2312" w:cs="Times New Roman"/>
          <w:color w:val="auto"/>
          <w:lang w:val="en-US" w:eastAsia="zh-CN"/>
        </w:rPr>
        <w:t>以</w:t>
      </w:r>
      <w:r>
        <w:rPr>
          <w:rFonts w:hint="default" w:ascii="Times New Roman" w:hAnsi="Times New Roman" w:eastAsia="仿宋_GB2312" w:cs="Times New Roman"/>
          <w:color w:val="auto"/>
        </w:rPr>
        <w:t>松花江江段作为地表水环境保护目标，</w:t>
      </w:r>
      <w:r>
        <w:rPr>
          <w:rFonts w:hint="default" w:ascii="Times New Roman" w:hAnsi="Times New Roman" w:eastAsia="仿宋_GB2312" w:cs="Times New Roman"/>
          <w:color w:val="auto"/>
          <w:lang w:val="en-US" w:eastAsia="zh-CN"/>
        </w:rPr>
        <w:t>根据《哈尔滨市生态环境质量报告书》（2022年），2022年哈尔滨市地表水水质总体状况为良。其中III类断面比例17.6%、II类70.6%、IV类7.8%、V类2.0%、劣V类2.0%。主要污染指标为化学需氧量、高锰酸盐指数、总磷、生化需氧量。优良断面比例同比上升29.5个百分点，劣V类比例同比下降0.2个百分点，水质状况总体好转。2022年松花江哈尔滨段水质总体状况为优，优良断面比例100%，断面水质达标率90.9%。按年均值评价，11个断面水质均符合III类标准</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98" w:name="bookmark44"/>
      <w:bookmarkEnd w:id="98"/>
      <w:bookmarkStart w:id="99" w:name="_Toc17846"/>
      <w:r>
        <w:rPr>
          <w:rFonts w:hint="default" w:ascii="Times New Roman" w:hAnsi="Times New Roman" w:eastAsia="仿宋_GB2312" w:cs="Times New Roman"/>
          <w:color w:val="auto"/>
        </w:rPr>
        <w:t>8.2 施工期水环境影响调查</w:t>
      </w:r>
      <w:bookmarkEnd w:id="99"/>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施工场地设置临时防渗沉淀池，施工废水经沉淀池处理后用于场地降尘，不外排，对地表水基本无影响</w:t>
      </w:r>
      <w:r>
        <w:rPr>
          <w:rFonts w:hint="default" w:ascii="Times New Roman" w:hAnsi="Times New Roman" w:eastAsia="仿宋_GB2312" w:cs="Times New Roman"/>
          <w:color w:val="auto"/>
          <w:lang w:eastAsia="zh-CN"/>
        </w:rPr>
        <w:t>。</w:t>
      </w:r>
    </w:p>
    <w:p>
      <w:pPr>
        <w:pStyle w:val="3"/>
        <w:bidi w:val="0"/>
        <w:rPr>
          <w:rFonts w:hint="default" w:ascii="Times New Roman" w:hAnsi="Times New Roman" w:eastAsia="仿宋_GB2312" w:cs="Times New Roman"/>
          <w:color w:val="auto"/>
        </w:rPr>
      </w:pPr>
      <w:bookmarkStart w:id="100" w:name="bookmark45"/>
      <w:bookmarkEnd w:id="100"/>
      <w:bookmarkStart w:id="101" w:name="_Toc6177"/>
      <w:r>
        <w:rPr>
          <w:rFonts w:hint="default" w:ascii="Times New Roman" w:hAnsi="Times New Roman" w:eastAsia="仿宋_GB2312" w:cs="Times New Roman"/>
          <w:color w:val="auto"/>
        </w:rPr>
        <w:t>8.3 运营期水环境影响调查</w:t>
      </w:r>
      <w:bookmarkEnd w:id="101"/>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据调查，工程试运营后对沿线水环境的影响主要来自路面集水。运营期路面径流对地表水的影响只是在降雨时段发生，降雨初期到形成路面径流的30min内，雨水中的悬浮物和油类物质的浓度比较高，30min后其浓度随降雨历时的延长下降较快，降雨历时40min后路面基本被冲洗干净。</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本项目道路径流污染物通过雨水管网汇入</w:t>
      </w:r>
      <w:r>
        <w:rPr>
          <w:rFonts w:hint="eastAsia" w:cs="Times New Roman"/>
          <w:color w:val="auto"/>
          <w:lang w:val="en-US" w:eastAsia="zh-CN"/>
        </w:rPr>
        <w:t>马家沟</w:t>
      </w:r>
      <w:r>
        <w:rPr>
          <w:rFonts w:hint="default" w:ascii="Times New Roman" w:hAnsi="Times New Roman" w:eastAsia="仿宋_GB2312" w:cs="Times New Roman"/>
          <w:color w:val="auto"/>
        </w:rPr>
        <w:t>后，最终汇入松花江，经过稀释、自净作用，对阿什河及松花江水质产生的影响非常轻微。</w:t>
      </w:r>
    </w:p>
    <w:p>
      <w:pPr>
        <w:pStyle w:val="3"/>
        <w:bidi w:val="0"/>
        <w:rPr>
          <w:rFonts w:hint="default" w:ascii="Times New Roman" w:hAnsi="Times New Roman" w:eastAsia="仿宋_GB2312" w:cs="Times New Roman"/>
          <w:color w:val="auto"/>
        </w:rPr>
      </w:pPr>
      <w:bookmarkStart w:id="102" w:name="bookmark46"/>
      <w:bookmarkEnd w:id="102"/>
      <w:bookmarkStart w:id="103" w:name="_Toc16860"/>
      <w:r>
        <w:rPr>
          <w:rFonts w:hint="default" w:ascii="Times New Roman" w:hAnsi="Times New Roman" w:eastAsia="仿宋_GB2312" w:cs="Times New Roman"/>
          <w:color w:val="auto"/>
        </w:rPr>
        <w:t>8.4 水环境影响调查结论</w:t>
      </w:r>
      <w:bookmarkEnd w:id="103"/>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经调查，工程路基、路面排水体系完整，并通过区域排水系统相联通，路面排水对沿线水环境影响较小。</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综上所述，工程建设对周边地面水环境基本无影响，满足竣工环境保护验收要求。</w:t>
      </w:r>
    </w:p>
    <w:p>
      <w:pPr>
        <w:spacing w:line="221" w:lineRule="auto"/>
        <w:rPr>
          <w:rFonts w:hint="default" w:ascii="Times New Roman" w:hAnsi="Times New Roman" w:eastAsia="仿宋_GB2312" w:cs="Times New Roman"/>
          <w:color w:val="auto"/>
          <w:sz w:val="24"/>
          <w:szCs w:val="24"/>
        </w:rPr>
        <w:sectPr>
          <w:footerReference r:id="rId16" w:type="default"/>
          <w:pgSz w:w="11906" w:h="16839"/>
          <w:pgMar w:top="1440" w:right="1803" w:bottom="1440" w:left="1803" w:header="0" w:footer="984" w:gutter="0"/>
          <w:pgNumType w:fmt="numberInDash"/>
          <w:cols w:space="720" w:num="1"/>
        </w:sectPr>
      </w:pPr>
    </w:p>
    <w:p>
      <w:pPr>
        <w:pStyle w:val="2"/>
        <w:bidi w:val="0"/>
        <w:rPr>
          <w:rFonts w:hint="default" w:ascii="Times New Roman" w:hAnsi="Times New Roman" w:eastAsia="仿宋_GB2312" w:cs="Times New Roman"/>
          <w:color w:val="auto"/>
        </w:rPr>
      </w:pPr>
      <w:bookmarkStart w:id="104" w:name="bookmark47"/>
      <w:bookmarkEnd w:id="104"/>
      <w:bookmarkStart w:id="105" w:name="_Toc12258"/>
      <w:r>
        <w:rPr>
          <w:rFonts w:hint="default" w:ascii="Times New Roman" w:hAnsi="Times New Roman" w:eastAsia="仿宋_GB2312" w:cs="Times New Roman"/>
          <w:color w:val="auto"/>
        </w:rPr>
        <w:t>9. 固体废物环境影响调查</w:t>
      </w:r>
      <w:bookmarkEnd w:id="105"/>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固体废物环境影响调查的主要内容为工程施工产生的弃方、建筑垃圾运以及生活垃圾的处置措施；通车后基本不产生固体废物，对环境影响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06" w:name="bookmark50"/>
      <w:bookmarkEnd w:id="106"/>
      <w:bookmarkStart w:id="107" w:name="bookmark48"/>
      <w:bookmarkEnd w:id="107"/>
      <w:bookmarkStart w:id="108" w:name="_Toc31132"/>
      <w:r>
        <w:rPr>
          <w:rFonts w:hint="default" w:ascii="Times New Roman" w:hAnsi="Times New Roman" w:eastAsia="仿宋_GB2312" w:cs="Times New Roman"/>
          <w:color w:val="auto"/>
        </w:rPr>
        <w:t>9.1 施工期固废处置措施调查</w:t>
      </w:r>
      <w:bookmarkEnd w:id="10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施工期固体废物主要来自废弃土方、建筑垃圾和施工人员生活垃圾。本项目工程弃渣包括废弃土方量、建筑垃圾。其中弃方</w:t>
      </w:r>
      <w:r>
        <w:rPr>
          <w:rFonts w:hint="default" w:ascii="Times New Roman" w:hAnsi="Times New Roman" w:eastAsia="仿宋_GB2312" w:cs="Times New Roman"/>
          <w:color w:val="auto"/>
          <w:lang w:val="en-US" w:eastAsia="zh-CN"/>
        </w:rPr>
        <w:t>用于城市绿化</w:t>
      </w:r>
      <w:r>
        <w:rPr>
          <w:rFonts w:hint="default" w:ascii="Times New Roman" w:hAnsi="Times New Roman" w:eastAsia="仿宋_GB2312" w:cs="Times New Roman"/>
          <w:color w:val="auto"/>
        </w:rPr>
        <w:t>、建筑垃圾运至政府指定的建筑垃圾处理场处理，不得随意堆放，施工人员生活垃圾定点堆放，定期由环卫部门定期清运至城市生活垃圾处理场。</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施工过程中产生的临时堆放土方、建筑垃圾等，这些固体废物的临时堆放对环境的影响主要表现在雨季防护不当造成水土流失的发生，起风时干燥土方可能会因防护不当起尘，影响大气环境。针对这些影响，建设单位采取了必要的防护措施， 包括修筑临时堆渣场围挡、四周开挖边沟防止水土流失、覆盖篷布等防护物资，采取这些措施后，临时堆</w:t>
      </w:r>
      <w:r>
        <w:rPr>
          <w:rFonts w:hint="default" w:ascii="Times New Roman" w:hAnsi="Times New Roman" w:eastAsia="仿宋_GB2312" w:cs="Times New Roman"/>
          <w:color w:val="auto"/>
          <w:lang w:val="en-US" w:eastAsia="zh-CN"/>
        </w:rPr>
        <w:t>土</w:t>
      </w:r>
      <w:r>
        <w:rPr>
          <w:rFonts w:hint="default" w:ascii="Times New Roman" w:hAnsi="Times New Roman" w:eastAsia="仿宋_GB2312" w:cs="Times New Roman"/>
          <w:color w:val="auto"/>
        </w:rPr>
        <w:t>对环境的影响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施工人员生活垃圾由环卫部门定期拖运处理，不向环境排放。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固体废物的外运委托经政府相关部门审查合格的专业运营余泥渣土运输单位，按照规定运输路线和规定时间运输。</w:t>
      </w:r>
    </w:p>
    <w:p>
      <w:pPr>
        <w:pStyle w:val="3"/>
        <w:bidi w:val="0"/>
        <w:rPr>
          <w:rFonts w:hint="default" w:ascii="Times New Roman" w:hAnsi="Times New Roman" w:eastAsia="仿宋_GB2312" w:cs="Times New Roman"/>
          <w:color w:val="auto"/>
        </w:rPr>
      </w:pPr>
      <w:bookmarkStart w:id="109" w:name="bookmark49"/>
      <w:bookmarkEnd w:id="109"/>
      <w:bookmarkStart w:id="110" w:name="_Toc8379"/>
      <w:r>
        <w:rPr>
          <w:rFonts w:hint="default" w:ascii="Times New Roman" w:hAnsi="Times New Roman" w:eastAsia="仿宋_GB2312" w:cs="Times New Roman"/>
          <w:color w:val="auto"/>
        </w:rPr>
        <w:t>9.2 营运期固废处置措施调查</w:t>
      </w:r>
      <w:bookmarkEnd w:id="11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营运期基本无固体废物产生，对环境影响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11" w:name="_Toc8042"/>
      <w:r>
        <w:rPr>
          <w:rFonts w:hint="default" w:ascii="Times New Roman" w:hAnsi="Times New Roman" w:eastAsia="仿宋_GB2312" w:cs="Times New Roman"/>
          <w:color w:val="auto"/>
        </w:rPr>
        <w:t>9.3 固体废物环境影响调查结论</w:t>
      </w:r>
      <w:bookmarkEnd w:id="11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调查结果表明，本项目施工生活垃圾由环卫部门定期清运处理；建筑垃圾运至政府指定的建筑垃圾处理场处理，弃方</w:t>
      </w:r>
      <w:r>
        <w:rPr>
          <w:rFonts w:hint="default" w:ascii="Times New Roman" w:hAnsi="Times New Roman" w:eastAsia="仿宋_GB2312" w:cs="Times New Roman"/>
          <w:color w:val="auto"/>
          <w:lang w:val="en-US" w:eastAsia="zh-CN"/>
        </w:rPr>
        <w:t>用于城市绿化，</w:t>
      </w:r>
      <w:r>
        <w:rPr>
          <w:rFonts w:hint="default" w:ascii="Times New Roman" w:hAnsi="Times New Roman" w:eastAsia="仿宋_GB2312" w:cs="Times New Roman"/>
          <w:color w:val="auto"/>
        </w:rPr>
        <w:t>固体废物排放量为零。采取一定的扬尘控制和水土流失防治措施后，固体废物贮运环节对环境的影响处于可以接受的范围内。施工单位认真落实了各项环保措施，在施工期间没有发生因固体废物处置不当造成环境污染和环境纠纷。营运期基本无固体废物产生，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综上所述，工程</w:t>
      </w:r>
      <w:r>
        <w:rPr>
          <w:rFonts w:hint="default" w:ascii="Times New Roman" w:hAnsi="Times New Roman" w:eastAsia="仿宋_GB2312" w:cs="Times New Roman"/>
          <w:color w:val="auto"/>
          <w:lang w:val="en-US" w:eastAsia="zh-CN"/>
        </w:rPr>
        <w:t>运行期固体废弃物对周边环境影响可接受</w:t>
      </w:r>
      <w:r>
        <w:rPr>
          <w:rFonts w:hint="default" w:ascii="Times New Roman" w:hAnsi="Times New Roman" w:eastAsia="仿宋_GB2312" w:cs="Times New Roman"/>
          <w:color w:val="auto"/>
        </w:rPr>
        <w:t>，满足竣工环境保护验收要求。</w:t>
      </w:r>
    </w:p>
    <w:p>
      <w:pPr>
        <w:spacing w:line="220" w:lineRule="auto"/>
        <w:rPr>
          <w:rFonts w:hint="default" w:ascii="Times New Roman" w:hAnsi="Times New Roman" w:eastAsia="仿宋_GB2312" w:cs="Times New Roman"/>
          <w:color w:val="auto"/>
          <w:sz w:val="24"/>
          <w:szCs w:val="24"/>
        </w:rPr>
        <w:sectPr>
          <w:footerReference r:id="rId17" w:type="default"/>
          <w:pgSz w:w="11906" w:h="16839"/>
          <w:pgMar w:top="1440" w:right="1803" w:bottom="1440" w:left="1803" w:header="0" w:footer="984" w:gutter="0"/>
          <w:pgNumType w:fmt="numberInDash"/>
          <w:cols w:space="720" w:num="1"/>
        </w:sectPr>
      </w:pPr>
    </w:p>
    <w:p>
      <w:pPr>
        <w:pStyle w:val="2"/>
        <w:numPr>
          <w:ilvl w:val="0"/>
          <w:numId w:val="1"/>
        </w:numPr>
        <w:bidi w:val="0"/>
        <w:rPr>
          <w:rFonts w:hint="default" w:ascii="Times New Roman" w:hAnsi="Times New Roman" w:eastAsia="仿宋_GB2312" w:cs="Times New Roman"/>
          <w:color w:val="auto"/>
        </w:rPr>
      </w:pPr>
      <w:bookmarkStart w:id="112" w:name="bookmark65"/>
      <w:bookmarkEnd w:id="112"/>
      <w:bookmarkStart w:id="113" w:name="bookmark64"/>
      <w:bookmarkEnd w:id="113"/>
      <w:bookmarkStart w:id="114" w:name="bookmark71"/>
      <w:bookmarkEnd w:id="114"/>
      <w:bookmarkStart w:id="115" w:name="bookmark60"/>
      <w:bookmarkEnd w:id="115"/>
      <w:bookmarkStart w:id="116" w:name="bookmark56"/>
      <w:bookmarkEnd w:id="116"/>
      <w:bookmarkStart w:id="117" w:name="bookmark69"/>
      <w:bookmarkEnd w:id="117"/>
      <w:bookmarkStart w:id="118" w:name="bookmark51"/>
      <w:bookmarkEnd w:id="118"/>
      <w:bookmarkStart w:id="119" w:name="bookmark54"/>
      <w:bookmarkEnd w:id="119"/>
      <w:bookmarkStart w:id="120" w:name="bookmark53"/>
      <w:bookmarkEnd w:id="120"/>
      <w:bookmarkStart w:id="121" w:name="bookmark59"/>
      <w:bookmarkEnd w:id="121"/>
      <w:bookmarkStart w:id="122" w:name="bookmark68"/>
      <w:bookmarkEnd w:id="122"/>
      <w:bookmarkStart w:id="123" w:name="bookmark61"/>
      <w:bookmarkEnd w:id="123"/>
      <w:bookmarkStart w:id="124" w:name="bookmark52"/>
      <w:bookmarkEnd w:id="124"/>
      <w:bookmarkStart w:id="125" w:name="bookmark55"/>
      <w:bookmarkEnd w:id="125"/>
      <w:bookmarkStart w:id="126" w:name="bookmark70"/>
      <w:bookmarkEnd w:id="126"/>
      <w:bookmarkStart w:id="127" w:name="bookmark57"/>
      <w:bookmarkEnd w:id="127"/>
      <w:bookmarkStart w:id="128" w:name="bookmark67"/>
      <w:bookmarkEnd w:id="128"/>
      <w:bookmarkStart w:id="129" w:name="bookmark62"/>
      <w:bookmarkEnd w:id="129"/>
      <w:bookmarkStart w:id="130" w:name="_Toc1126"/>
      <w:r>
        <w:rPr>
          <w:rFonts w:hint="default" w:ascii="Times New Roman" w:hAnsi="Times New Roman" w:eastAsia="仿宋_GB2312" w:cs="Times New Roman"/>
          <w:color w:val="auto"/>
        </w:rPr>
        <w:t>社会环境影响调查</w:t>
      </w:r>
      <w:bookmarkEnd w:id="130"/>
    </w:p>
    <w:p>
      <w:pPr>
        <w:pStyle w:val="3"/>
        <w:bidi w:val="0"/>
        <w:rPr>
          <w:rFonts w:hint="default" w:ascii="Times New Roman" w:hAnsi="Times New Roman" w:eastAsia="仿宋_GB2312" w:cs="Times New Roman"/>
          <w:color w:val="auto"/>
        </w:rPr>
      </w:pPr>
      <w:bookmarkStart w:id="131" w:name="_Toc15052"/>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1 </w:t>
      </w:r>
      <w:r>
        <w:rPr>
          <w:rFonts w:hint="default" w:ascii="Times New Roman" w:hAnsi="Times New Roman" w:eastAsia="仿宋_GB2312" w:cs="Times New Roman"/>
          <w:color w:val="auto"/>
        </w:rPr>
        <w:t>征地拆迁及安置影响</w:t>
      </w:r>
      <w:bookmarkEnd w:id="13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本项目不涉及拆迁</w:t>
      </w:r>
      <w:r>
        <w:rPr>
          <w:rFonts w:hint="default" w:ascii="Times New Roman" w:hAnsi="Times New Roman" w:eastAsia="仿宋_GB2312" w:cs="Times New Roman"/>
          <w:color w:val="auto"/>
          <w:lang w:val="en-US" w:eastAsia="zh-CN"/>
        </w:rPr>
        <w:t>工程</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32" w:name="_Toc3643"/>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2 </w:t>
      </w:r>
      <w:r>
        <w:rPr>
          <w:rFonts w:hint="default" w:ascii="Times New Roman" w:hAnsi="Times New Roman" w:eastAsia="仿宋_GB2312" w:cs="Times New Roman"/>
          <w:color w:val="auto"/>
        </w:rPr>
        <w:t>通行便利性影响分析</w:t>
      </w:r>
      <w:bookmarkEnd w:id="132"/>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项目施工期对当地交通的影响主要是施工期开挖路基、路面施工过程对沿线公众的正常出行产生了一定的影响，施工运输车辆给当地的路况带来暂时性的局部交通拥 挤和车辆堵塞。建设单位通过在施工现场设置了告示牌，标明了项目的主要内容、施工时间、联系人以及投诉热线等，让公众了解项目施工对通行带来的不便。施工过程中通过合理安排施工时间，避开道路交通高峰期，并加强了对运输车辆的管理，降低了项目施工带来的通行便利性影响。且项目施工期造成的交通不利影响是暂时性的， 已随着施工的结束而消失。项目建成后，极大了改善了沿线居民的对外通行环境，有效缓解了区域交通压力，改善了交通状况。</w:t>
      </w:r>
    </w:p>
    <w:p>
      <w:pPr>
        <w:pStyle w:val="3"/>
        <w:bidi w:val="0"/>
        <w:rPr>
          <w:rFonts w:hint="default" w:ascii="Times New Roman" w:hAnsi="Times New Roman" w:eastAsia="仿宋_GB2312" w:cs="Times New Roman"/>
          <w:color w:val="auto"/>
        </w:rPr>
      </w:pPr>
      <w:bookmarkStart w:id="133" w:name="_Toc31735"/>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3 </w:t>
      </w:r>
      <w:r>
        <w:rPr>
          <w:rFonts w:hint="default" w:ascii="Times New Roman" w:hAnsi="Times New Roman" w:eastAsia="仿宋_GB2312" w:cs="Times New Roman"/>
          <w:color w:val="auto"/>
        </w:rPr>
        <w:t>社会经济影响分析</w:t>
      </w:r>
      <w:bookmarkEnd w:id="13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运营后，改善了区域交通条件，完善了市政基础设施，为沿线居民的出行和生活创造了良好环境，有利于提高当地居民的生活质量；对地区经济的发展和建设起到了积极的带动作用，有利于促进该地区经济和社会的发展；</w:t>
      </w:r>
      <w:r>
        <w:rPr>
          <w:rFonts w:hint="default" w:ascii="Times New Roman" w:hAnsi="Times New Roman" w:eastAsia="仿宋_GB2312" w:cs="Times New Roman"/>
          <w:color w:val="auto"/>
          <w:lang w:val="en-US" w:eastAsia="zh-CN"/>
        </w:rPr>
        <w:t>本项目的</w:t>
      </w:r>
      <w:r>
        <w:rPr>
          <w:rFonts w:hint="default" w:ascii="Times New Roman" w:hAnsi="Times New Roman" w:eastAsia="仿宋_GB2312" w:cs="Times New Roman"/>
          <w:color w:val="auto"/>
        </w:rPr>
        <w:t>建成改善了</w:t>
      </w:r>
      <w:r>
        <w:rPr>
          <w:rFonts w:hint="default" w:ascii="Times New Roman" w:hAnsi="Times New Roman" w:eastAsia="仿宋_GB2312" w:cs="Times New Roman"/>
          <w:color w:val="auto"/>
          <w:lang w:val="en-US" w:eastAsia="zh-CN"/>
        </w:rPr>
        <w:t>市政基础</w:t>
      </w:r>
      <w:r>
        <w:rPr>
          <w:rFonts w:hint="default" w:ascii="Times New Roman" w:hAnsi="Times New Roman" w:eastAsia="仿宋_GB2312" w:cs="Times New Roman"/>
          <w:color w:val="auto"/>
        </w:rPr>
        <w:t>服务水平，实现过境交通快速化。改善了城市交通条件。完善了区域</w:t>
      </w:r>
      <w:r>
        <w:rPr>
          <w:rFonts w:hint="default" w:ascii="Times New Roman" w:hAnsi="Times New Roman" w:eastAsia="仿宋_GB2312" w:cs="Times New Roman"/>
          <w:color w:val="auto"/>
          <w:lang w:val="en-US" w:eastAsia="zh-CN"/>
        </w:rPr>
        <w:t>道</w:t>
      </w:r>
      <w:r>
        <w:rPr>
          <w:rFonts w:hint="default" w:ascii="Times New Roman" w:hAnsi="Times New Roman" w:eastAsia="仿宋_GB2312" w:cs="Times New Roman"/>
          <w:color w:val="auto"/>
        </w:rPr>
        <w:t>路网结构，充分发挥了路网功能</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带动了区域经济发展。</w:t>
      </w:r>
    </w:p>
    <w:p>
      <w:pPr>
        <w:spacing w:line="220" w:lineRule="auto"/>
        <w:rPr>
          <w:rFonts w:hint="default" w:ascii="Times New Roman" w:hAnsi="Times New Roman" w:eastAsia="仿宋_GB2312" w:cs="Times New Roman"/>
          <w:color w:val="auto"/>
          <w:sz w:val="24"/>
          <w:szCs w:val="24"/>
        </w:rPr>
        <w:sectPr>
          <w:footerReference r:id="rId18" w:type="default"/>
          <w:pgSz w:w="11906" w:h="16839"/>
          <w:pgMar w:top="1440" w:right="1803" w:bottom="1440" w:left="1803" w:header="0" w:footer="984" w:gutter="0"/>
          <w:pgNumType w:fmt="numberInDash"/>
          <w:cols w:space="720" w:num="1"/>
        </w:sectPr>
      </w:pPr>
    </w:p>
    <w:p>
      <w:pPr>
        <w:pStyle w:val="2"/>
        <w:numPr>
          <w:ilvl w:val="0"/>
          <w:numId w:val="1"/>
        </w:numPr>
        <w:bidi w:val="0"/>
        <w:ind w:left="0" w:leftChars="0" w:firstLine="0" w:firstLineChars="0"/>
        <w:rPr>
          <w:rFonts w:hint="default" w:ascii="Times New Roman" w:hAnsi="Times New Roman" w:eastAsia="仿宋_GB2312" w:cs="Times New Roman"/>
          <w:color w:val="auto"/>
        </w:rPr>
      </w:pPr>
      <w:bookmarkStart w:id="134" w:name="bookmark58"/>
      <w:bookmarkEnd w:id="134"/>
      <w:bookmarkStart w:id="135" w:name="_Toc22230"/>
      <w:r>
        <w:rPr>
          <w:rFonts w:hint="default" w:ascii="Times New Roman" w:hAnsi="Times New Roman" w:eastAsia="仿宋_GB2312" w:cs="Times New Roman"/>
          <w:color w:val="auto"/>
        </w:rPr>
        <w:t>风险事故防范及应急措施调查与分析</w:t>
      </w:r>
      <w:bookmarkEnd w:id="135"/>
    </w:p>
    <w:p>
      <w:pPr>
        <w:pStyle w:val="3"/>
        <w:bidi w:val="0"/>
        <w:rPr>
          <w:rFonts w:hint="default" w:ascii="Times New Roman" w:hAnsi="Times New Roman" w:eastAsia="仿宋_GB2312" w:cs="Times New Roman"/>
          <w:color w:val="auto"/>
        </w:rPr>
      </w:pPr>
      <w:bookmarkStart w:id="136" w:name="_Toc1389"/>
      <w:r>
        <w:rPr>
          <w:rFonts w:hint="default" w:ascii="Times New Roman" w:hAnsi="Times New Roman" w:eastAsia="仿宋_GB2312" w:cs="Times New Roman"/>
          <w:color w:val="auto"/>
        </w:rPr>
        <w:t>11.1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环境风险因素及事故调查</w:t>
      </w:r>
      <w:bookmarkEnd w:id="13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道路建设项目的环境风险评价主要考虑与道路建设项目联系在一起的突发性灾难事故，主要包括道路上运行车辆中大量有毒有害物质在失控状态下泄入水体及道路运输时发生的气态危险品泄露所造成的风险及交通事故等。道路项目发生这种灾难性事故的概率虽然很小，但造成的影响往往十分严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根据现场调查，施工期和运营期间本项目未发生环境</w:t>
      </w:r>
      <w:r>
        <w:rPr>
          <w:rFonts w:hint="default" w:ascii="Times New Roman" w:hAnsi="Times New Roman" w:eastAsia="仿宋_GB2312" w:cs="Times New Roman"/>
          <w:color w:val="auto"/>
          <w:lang w:val="en-US" w:eastAsia="zh-CN"/>
        </w:rPr>
        <w:t>风险</w:t>
      </w:r>
      <w:r>
        <w:rPr>
          <w:rFonts w:hint="default" w:ascii="Times New Roman" w:hAnsi="Times New Roman" w:eastAsia="仿宋_GB2312" w:cs="Times New Roman"/>
          <w:color w:val="auto"/>
        </w:rPr>
        <w:t>事故。</w:t>
      </w:r>
    </w:p>
    <w:p>
      <w:pPr>
        <w:pStyle w:val="3"/>
        <w:bidi w:val="0"/>
        <w:rPr>
          <w:rFonts w:hint="default" w:ascii="Times New Roman" w:hAnsi="Times New Roman" w:eastAsia="仿宋_GB2312" w:cs="Times New Roman"/>
          <w:color w:val="auto"/>
        </w:rPr>
      </w:pPr>
      <w:bookmarkStart w:id="137" w:name="_Toc31166"/>
      <w:r>
        <w:rPr>
          <w:rFonts w:hint="default" w:ascii="Times New Roman" w:hAnsi="Times New Roman" w:eastAsia="仿宋_GB2312" w:cs="Times New Roman"/>
          <w:color w:val="auto"/>
        </w:rPr>
        <w:t>11.2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交通运输事故风险防范措施调查</w:t>
      </w:r>
      <w:bookmarkEnd w:id="13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为预防危害的发生，环评文件提出了针对性防范措施。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⑴施工期风险控制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设计单位应该按照规范要求进行设计，施工单位应该按照有关规范、规程进行施工，施工前一定要进行收集施工沿线的城市管网分布图，缺少管网分布图的区域一定要委托有资质的物探单位进行详细的管线探测工作，物探单位应向设计单位和施工单位提供详细的管网分布图。进行施工，施工前一定要进行收集施工沿线的城市管网分布图，缺少管网分布图的区域一定要委托有资质的物探单位进行详细的管线探测工作，物探单位应向设计单位和施工单位提供详细的管网分布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涉及到市政管网密集的路段施工时，应事先报经相关部门批准，并在确认相关管道阀门均已关闭后方能施工开挖；设计部分管道关闭影响居民用水、用电、通信时，应事先向受影响区的居民发布相关公告，尽量减少对居民生产、生活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③加强施工人员的安全培训，指定应急防范措施。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⑵运营期风险控制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①在非特殊情况下，禁止运输危险品的车辆进入市区，从源头上杜绝风险的发生。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特殊情况下，必须进入市区的危险品运输车辆一定要有明显标志，应严格执行《化学危险品安全管理条例》等危险品运输的有关规定，对运输危险品车辆实行申报管理制度。车主需填写申报表，主要内容有危险货物执照号码、货物品种等级和编号、收发货人名称、装卸地点、货物特性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③</w:t>
      </w:r>
      <w:r>
        <w:rPr>
          <w:rFonts w:hint="default" w:ascii="Times New Roman" w:hAnsi="Times New Roman" w:eastAsia="仿宋_GB2312" w:cs="Times New Roman"/>
          <w:color w:val="auto"/>
        </w:rPr>
        <w:t>危险品运输车辆必须设置防渗、防漏设施。遇雾、台风或其它能见度较低的天气时，应禁止运载危险品车辆通行。</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经调查，建设单位对环评提出的交通运输事故各项防范措施均落实。</w:t>
      </w:r>
    </w:p>
    <w:p>
      <w:pPr>
        <w:pStyle w:val="3"/>
        <w:bidi w:val="0"/>
        <w:rPr>
          <w:rFonts w:hint="default" w:ascii="Times New Roman" w:hAnsi="Times New Roman" w:eastAsia="仿宋_GB2312" w:cs="Times New Roman"/>
          <w:color w:val="auto"/>
        </w:rPr>
      </w:pPr>
      <w:bookmarkStart w:id="138" w:name="_Toc9084"/>
      <w:r>
        <w:rPr>
          <w:rFonts w:hint="default" w:ascii="Times New Roman" w:hAnsi="Times New Roman" w:eastAsia="仿宋_GB2312" w:cs="Times New Roman"/>
          <w:color w:val="auto"/>
        </w:rPr>
        <w:t>11.3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应急预案及其有效性分析</w:t>
      </w:r>
      <w:bookmarkEnd w:id="13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考虑到道路运营单位在组织、人员、设备等方面的制约，建议将本项目的应急预案融入到地区应急预案中。建议由负责项目营运的交通运输局牵头， 由地区政府和其它相关单位，如环保局、公安局、消防大队、环境监测站等形成应急网络， 成立环境风险事故处理小组，由政府部门指定应急指挥人，负责领导环境风险事故的应急处理。应急救援预案：主要是事故报告与报警、事故救援等。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（1）指挥机构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道路运营后，管理部门成立“事故应急救援指挥领导小组”，由相关领导及生产、安全、环保、保卫等部门领导组成，下设应急救援办公室，日常工作由安全部门兼管。发生重大事故时，以指挥领导小组为基础，立即成立事故应急救援指挥部，负责应急救援工作的组织和指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（2）应急救援程序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发生交通事故，司机、主要负责人或目击者应当立即拔打报警电话、救援电话，报告事故发生的时间、地点和简要概况，并随时报告事故的后续情况。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接警单位接到事故报告后，立即按照应急救援预案，做好指挥、领导工作，并立即报告公安、消防、环保等有关部门，上述部门按照当地应急救援预案要求组织实施救援，不得拖延、推诿。</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当管理处确定事故不能很快得到有效控制，应立即向上级主管报告，请求上级应急救援指挥部给予支持。指挥部各成员单位接到通知后，立即赶赴事故现场，开展救援工作。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（3）现场救援专业组的建立及职责</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现场救援指挥根据事故实际情况，成立下列救援专业组：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危险源控制组：负责在紧急状态下的现场抢险作业，及时控制危险源，并根据危险化学品的性质立即组织专用的防护用品及专用工具等。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伤员抢救组：负责在现场附近的安全区域内设立临时医疗救护点，对受伤人员进行紧急救治，并护送重伤人员到医院进一步治疗。</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灭火救援组：负责现场灭火、现场伤员的搜救、设备容器的冷却、抢救伤员及事故后对被污染区域的洗消工作。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安全疏散组：负责对现场周围人员进行防护指导、人员疏散及周围物资转移等工作。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安全警戒组：负责布置安全警戒，禁止无关人员和车辆进入危险区域，在人员疏散区域进行治安巡逻。</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物资供应组：负责组织抢险物资的供应，组织车辆运送抢险物资。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环境监测组：负责对大气、水体、土壤等进行环境即时监测，确定危险物质的成分及浓度，确定污染区域范围，对事故造成的环境影响进行评估，制定环境修复方案并组织实施。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专家咨询组：负责对事故应急救援提出应急救援方案和安全措施，为现场指挥救援工作提供技术咨询。</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（4）事故现场的清除与净化</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针对事故对水体、土壤、动植物等造成的现实危害和可能危害，迅速采取封闭、隔离、清洗、吸附等措施，对事故外溢的有毒有害物质和可能对环境继续造成危害的物质，应及时组织人员予以清除，做好现场清洁，消除危害后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（5）施工应急设施、设备及药剂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主要应急设施：监控中心，建议设在本项目的管理处，一旦紧急情况，监控中心就作为应急指挥中心，配有人员全天值班，具有报警装置及报警专用电话。</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主要应急设备：包括人员防护设备、消防设备、牵引设备、电力照明设备、撇油设备等，监控中心必须保存所有设备的明细表及它们所在的位置。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主要应急药品：主要为油类、化学类的吸附剂、中和制剂，有锯木、稻草、聚丙烯纤维、酸碱等。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（6）培训与演习</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应急救援预案培训的目标是：</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A、使人员熟悉应急救援预案和程序的实施内容；</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B、培训他们在应急救援预案和程序中分派的任务；</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C、使有关人员知道应急救援预案变动情况；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D、让应急救援各组织保持高度准备性。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事故应急训练和演习的目标是：</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A、测试应急救援预案和程序实施的有效性；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B、检测应急设备；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C、确保应急组织人员熟知他们的职责和任务。</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通讯演习：每三个月一次，在监控中心与应急反应机构、事故通报机构之间进行测试，并保持记录，有任何不足之处应立即改进。</w:t>
      </w:r>
    </w:p>
    <w:p>
      <w:pPr>
        <w:pStyle w:val="3"/>
        <w:bidi w:val="0"/>
        <w:rPr>
          <w:rFonts w:hint="default" w:ascii="Times New Roman" w:hAnsi="Times New Roman" w:eastAsia="仿宋_GB2312" w:cs="Times New Roman"/>
          <w:color w:val="auto"/>
        </w:rPr>
      </w:pPr>
      <w:bookmarkStart w:id="139" w:name="_Toc15711"/>
      <w:r>
        <w:rPr>
          <w:rFonts w:hint="default" w:ascii="Times New Roman" w:hAnsi="Times New Roman" w:eastAsia="仿宋_GB2312" w:cs="Times New Roman"/>
          <w:color w:val="auto"/>
        </w:rPr>
        <w:t>11.4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风险事故防范及应急措施调查结论</w:t>
      </w:r>
      <w:bookmarkEnd w:id="13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综上所述，建设单位对环评提出的风险防范措施基本予以了落实，运营单位制定的交通运输事故和危险品车辆事故处置预案目标明确，组织机构、人员职责分明，可操作性较强，符合竣工环保验收要求。</w:t>
      </w:r>
    </w:p>
    <w:p>
      <w:pPr>
        <w:spacing w:line="220" w:lineRule="auto"/>
        <w:rPr>
          <w:rFonts w:hint="default" w:ascii="Times New Roman" w:hAnsi="Times New Roman" w:eastAsia="仿宋_GB2312" w:cs="Times New Roman"/>
          <w:color w:val="auto"/>
          <w:sz w:val="24"/>
          <w:szCs w:val="24"/>
        </w:rPr>
        <w:sectPr>
          <w:footerReference r:id="rId19" w:type="default"/>
          <w:pgSz w:w="11906" w:h="16839"/>
          <w:pgMar w:top="1440" w:right="1803" w:bottom="1440" w:left="1803" w:header="0" w:footer="1023" w:gutter="0"/>
          <w:pgNumType w:fmt="numberInDash"/>
          <w:cols w:space="720" w:num="1"/>
        </w:sectPr>
      </w:pPr>
    </w:p>
    <w:p>
      <w:pPr>
        <w:pStyle w:val="2"/>
        <w:numPr>
          <w:ilvl w:val="0"/>
          <w:numId w:val="1"/>
        </w:numPr>
        <w:bidi w:val="0"/>
        <w:ind w:left="0" w:leftChars="0" w:firstLine="0" w:firstLineChars="0"/>
        <w:rPr>
          <w:rFonts w:hint="default" w:ascii="Times New Roman" w:hAnsi="Times New Roman" w:eastAsia="仿宋_GB2312" w:cs="Times New Roman"/>
          <w:color w:val="auto"/>
        </w:rPr>
      </w:pPr>
      <w:bookmarkStart w:id="140" w:name="bookmark63"/>
      <w:bookmarkEnd w:id="140"/>
      <w:bookmarkStart w:id="141" w:name="bookmark66"/>
      <w:bookmarkEnd w:id="141"/>
      <w:bookmarkStart w:id="142" w:name="_Toc26832"/>
      <w:r>
        <w:rPr>
          <w:rFonts w:hint="default" w:ascii="Times New Roman" w:hAnsi="Times New Roman" w:eastAsia="仿宋_GB2312" w:cs="Times New Roman"/>
          <w:color w:val="auto"/>
        </w:rPr>
        <w:t>环境管理状况落实情况调查</w:t>
      </w:r>
      <w:bookmarkEnd w:id="142"/>
    </w:p>
    <w:p>
      <w:pPr>
        <w:pStyle w:val="3"/>
        <w:bidi w:val="0"/>
        <w:rPr>
          <w:rFonts w:hint="default" w:ascii="Times New Roman" w:hAnsi="Times New Roman" w:eastAsia="仿宋_GB2312" w:cs="Times New Roman"/>
          <w:color w:val="auto"/>
        </w:rPr>
      </w:pPr>
      <w:bookmarkStart w:id="143" w:name="_Toc32736"/>
      <w:r>
        <w:rPr>
          <w:rFonts w:hint="default" w:ascii="Times New Roman" w:hAnsi="Times New Roman" w:eastAsia="仿宋_GB2312" w:cs="Times New Roman"/>
          <w:color w:val="auto"/>
        </w:rPr>
        <w:t>12.1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环境管理落实情况调查</w:t>
      </w:r>
      <w:bookmarkEnd w:id="143"/>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环境管理组织机构及职责</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环境管理计划的制定和实施是城市道路建设各个阶段环境保护措施落实的重要保证。在建设前期、建设期及营运期各级实施机构、负责机构和监督机构应各负其责地进行有效的工作。</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本项目建设的环境监督计划见表</w:t>
      </w:r>
      <w:r>
        <w:rPr>
          <w:rFonts w:hint="default" w:ascii="Times New Roman" w:hAnsi="Times New Roman" w:eastAsia="仿宋_GB2312" w:cs="Times New Roman"/>
          <w:color w:val="auto"/>
          <w:lang w:val="en-US" w:eastAsia="zh-CN"/>
        </w:rPr>
        <w:t>12.1</w:t>
      </w:r>
      <w:r>
        <w:rPr>
          <w:rFonts w:hint="default" w:ascii="Times New Roman" w:hAnsi="Times New Roman" w:eastAsia="仿宋_GB2312" w:cs="Times New Roman"/>
          <w:color w:val="auto"/>
        </w:rPr>
        <w:t>-1，环境管理计划见表</w:t>
      </w:r>
      <w:r>
        <w:rPr>
          <w:rFonts w:hint="default" w:ascii="Times New Roman" w:hAnsi="Times New Roman" w:eastAsia="仿宋_GB2312" w:cs="Times New Roman"/>
          <w:color w:val="auto"/>
          <w:lang w:val="en-US" w:eastAsia="zh-CN"/>
        </w:rPr>
        <w:t>12.</w:t>
      </w:r>
      <w:r>
        <w:rPr>
          <w:rFonts w:hint="default" w:ascii="Times New Roman" w:hAnsi="Times New Roman" w:eastAsia="仿宋_GB2312" w:cs="Times New Roman"/>
          <w:color w:val="auto"/>
        </w:rPr>
        <w:t>1-2。</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实施各阶段还应认真作好如下工作：</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（1）设计阶段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设计部门应将环境影响报告书提出的各项环保措施落实在设计中，建设单位环保部门应对环保措施的设计方案进行认真的检查。</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（2）招标阶段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承包商在投标中应有环境保护的内容，中标后的合同中应有实施环保措施的条件。</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（3）施工阶段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①建设单位在施工开始后应配2-3名专职人员，负责施工环境管理与监督。重点在防止水土流失、施工生活污水不处理排放、施工噪声、粉尘等。</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②各施工队伍应配备一名环保员，监督、管理环保措施的实施。</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（4）营运期</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营运期间的环境管理工作由城市道路专职人员负责。</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表12-1</w:t>
      </w:r>
      <w:r>
        <w:rPr>
          <w:rFonts w:hint="default" w:ascii="Times New Roman" w:hAnsi="Times New Roman" w:eastAsia="仿宋_GB2312" w:cs="Times New Roman"/>
          <w:b/>
          <w:bCs/>
          <w:color w:val="auto"/>
          <w:lang w:val="en-US" w:eastAsia="zh-CN"/>
        </w:rPr>
        <w:t xml:space="preserve"> </w:t>
      </w:r>
      <w:r>
        <w:rPr>
          <w:rFonts w:hint="default" w:ascii="Times New Roman" w:hAnsi="Times New Roman" w:eastAsia="仿宋_GB2312" w:cs="Times New Roman"/>
          <w:b/>
          <w:color w:val="auto"/>
        </w:rPr>
        <w:t>环境监督计划</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9" w:type="dxa"/>
          <w:bottom w:w="0" w:type="dxa"/>
          <w:right w:w="79" w:type="dxa"/>
        </w:tblCellMar>
      </w:tblPr>
      <w:tblGrid>
        <w:gridCol w:w="795"/>
        <w:gridCol w:w="1211"/>
        <w:gridCol w:w="2801"/>
        <w:gridCol w:w="3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机构</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监督内容</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前期工作阶段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哈尔滨市环境保护局</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审核环境影响报告书</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1、保证环评内容全面，重点突出。</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2、保证减缓环境影响措施有具体可行的实施计划。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设计和建设阶段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承包商</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1、审核环保初步设计</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2、核查环保投资是否落实</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3、检查料场位置设置是否合理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4、检查粉尘和噪声污染情况，决定施工时间</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5、检查大气污染物的排放是否满足相应排放标准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6、检查施工场所施工废水的排放和处理方法是否得当</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1、严格执行三同时</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2、确保环保投资</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3、确保这些场所满足环保要求</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4、减少因工程建设对周围环境的影响，执行相关环保法规和标准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5、减少因工程建设对周围环境的影响，执行相关环保法规和标准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6、确保地表水、地下水不被污染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运营期</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项目建设单位</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1、核查监测计划的实施</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2、检查环境敏感区的环境质量是否满足其相应质量标准要求及交通安全和车辆管理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3、加强监督防止突发事故，消除事故隐患。预先制定紧急事故应急方案，一旦发生事故能及时消除危险、确保剧毒材料不被泄漏</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1、落实监测计划</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2、加强环境管理，切实保护人群健康</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3、消除事故隐患，避免发生恶性污染事件</w:t>
            </w:r>
          </w:p>
        </w:tc>
      </w:tr>
    </w:tbl>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w:t>
      </w:r>
      <w:r>
        <w:rPr>
          <w:rFonts w:hint="default" w:ascii="Times New Roman" w:hAnsi="Times New Roman" w:eastAsia="仿宋_GB2312" w:cs="Times New Roman"/>
          <w:b/>
          <w:bCs/>
          <w:color w:val="auto"/>
          <w:lang w:val="en-US" w:eastAsia="zh-CN"/>
        </w:rPr>
        <w:t>12.1</w:t>
      </w:r>
      <w:r>
        <w:rPr>
          <w:rFonts w:hint="default" w:ascii="Times New Roman" w:hAnsi="Times New Roman" w:eastAsia="仿宋_GB2312" w:cs="Times New Roman"/>
          <w:b/>
          <w:bCs/>
          <w:color w:val="auto"/>
        </w:rPr>
        <w:t>-2  环境管理计划</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9" w:type="dxa"/>
          <w:bottom w:w="0" w:type="dxa"/>
          <w:right w:w="79" w:type="dxa"/>
        </w:tblCellMar>
      </w:tblPr>
      <w:tblGrid>
        <w:gridCol w:w="2385"/>
        <w:gridCol w:w="2717"/>
        <w:gridCol w:w="1270"/>
        <w:gridCol w:w="1034"/>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潜在的不利影响</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减缓措施</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实施机构</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负责机构</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一、项目前期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1、工程占地；</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2、表土资源破坏</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1、合理设置临时工程，远离敏感点。</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2、对永久占地的表土进行剥离，并采取防护措施。</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评价单位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指挥部</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哈尔滨市环境保护局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二、建设期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1、工程弃土和表土临时堆放引起水土流失；</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2、施工粉尘和噪声；</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3、施工废水和生活污水；</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4、运输管理</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5、施工安全管理</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1、集中堆放弃土，做好护围工程；</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2、定期洒水，在设备上安装消声器。</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3、设置沉淀池。</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4、制定合理的建筑材料运输计划，限制载重量，避开交通高峰，运输车辆经过学校居民区时禁止鸣笛。</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5、施工期间道路上设置安全标志、警示牌。</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监理单位指挥部</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三、运营期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1、车辆营运产生的大气和噪声污染；</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2、景观保护；</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3、路面径流与污染；</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1、途经敏感点禁止鸣笛。</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2、精心绿化，恢复植被。</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3、使路面雨水不直接排入水体。</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承包单位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道路管理处</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运营管理单位</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公安消防部门</w:t>
            </w:r>
          </w:p>
        </w:tc>
      </w:tr>
    </w:tbl>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综上所述，工程环保管理机构职责明确、体系完善，符合环评及批复提出的要求。</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环境管理落实情况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环境保护计划的制订主要是为了落实环境影响报告书所提出的环境保护措施及建议，对项目的实施（设计、施工）期间的监督和运营期的监测等工作提出要求。</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（1）设计阶段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设计单位应将环境影响报告书提出的环保措施落实到施工图设计中；建设单位、交通及环境保护部门做到了负责环保措施的工程设计方案审查工作。</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（2）招标阶段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承包商在投标中应含有环境保护的内容，在中标的合同中有环境影响报告书提出的环境保护措施及建议的响应条文。</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（3）施工期</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各承包单位配备环保员，具体监督、管理环保措施的实施。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在施工结束后，业主组织了全面检查工程环保措施落实和施工现场的环境恢复情况，监督施工单位及时撤出临时占用场地，拆除临时建筑，恢复被破坏的耕地和植被。所有临时占地已全部恢复原样。</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（4）运营期</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运营期的环保管理、监测由项目运营单位负责管理实施。</w:t>
      </w:r>
    </w:p>
    <w:p>
      <w:pPr>
        <w:pStyle w:val="5"/>
        <w:spacing w:line="246" w:lineRule="auto"/>
        <w:rPr>
          <w:rFonts w:hint="default" w:ascii="Times New Roman" w:hAnsi="Times New Roman" w:eastAsia="仿宋_GB2312" w:cs="Times New Roman"/>
          <w:color w:val="auto"/>
        </w:rPr>
      </w:pPr>
    </w:p>
    <w:p>
      <w:pPr>
        <w:pStyle w:val="3"/>
        <w:bidi w:val="0"/>
        <w:rPr>
          <w:rFonts w:hint="default" w:ascii="Times New Roman" w:hAnsi="Times New Roman" w:eastAsia="仿宋_GB2312" w:cs="Times New Roman"/>
          <w:color w:val="auto"/>
        </w:rPr>
      </w:pPr>
      <w:bookmarkStart w:id="144" w:name="_Toc8309"/>
      <w:r>
        <w:rPr>
          <w:rFonts w:hint="default" w:ascii="Times New Roman" w:hAnsi="Times New Roman" w:eastAsia="仿宋_GB2312" w:cs="Times New Roman"/>
          <w:color w:val="auto"/>
        </w:rPr>
        <w:t>12.2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调查结果分析</w:t>
      </w:r>
      <w:bookmarkEnd w:id="144"/>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（1）本项目较好地执行了建设项目环境影响评价制度、环境保护“三同时 ”制度和竣工环境保护验收制度。</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（2）施工期和运营期环境保护管理组织机构健全，制定了一系列环境管理制度，并在建设与试运营过程中得到了较好的执行。</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（3）工程运营期开展了验收监测。建议在项目后续运营期进一步加强环境保护跟 踪监测工作，尤其是声环境监测，以掌握沿线环境状况，对出现的环境污染问题采取进一步的环境保护措施。</w:t>
      </w:r>
    </w:p>
    <w:p>
      <w:pPr>
        <w:spacing w:line="220" w:lineRule="auto"/>
        <w:rPr>
          <w:rFonts w:hint="default" w:ascii="Times New Roman" w:hAnsi="Times New Roman" w:eastAsia="仿宋_GB2312" w:cs="Times New Roman"/>
          <w:color w:val="auto"/>
          <w:sz w:val="24"/>
          <w:szCs w:val="24"/>
        </w:rPr>
        <w:sectPr>
          <w:footerReference r:id="rId20" w:type="default"/>
          <w:pgSz w:w="11906" w:h="16839"/>
          <w:pgMar w:top="1440" w:right="1803" w:bottom="1440" w:left="1803" w:header="0" w:footer="987" w:gutter="0"/>
          <w:pgNumType w:fmt="numberInDash"/>
          <w:cols w:space="720" w:num="1"/>
        </w:sectPr>
      </w:pPr>
    </w:p>
    <w:p>
      <w:pPr>
        <w:pStyle w:val="2"/>
        <w:numPr>
          <w:ilvl w:val="0"/>
          <w:numId w:val="1"/>
        </w:numPr>
        <w:bidi w:val="0"/>
        <w:ind w:left="0" w:leftChars="0" w:firstLine="0" w:firstLineChars="0"/>
        <w:rPr>
          <w:rFonts w:hint="default" w:ascii="Times New Roman" w:hAnsi="Times New Roman" w:eastAsia="仿宋_GB2312" w:cs="Times New Roman"/>
          <w:color w:val="auto"/>
        </w:rPr>
      </w:pPr>
      <w:bookmarkStart w:id="145" w:name="_Toc14234"/>
      <w:r>
        <w:rPr>
          <w:rFonts w:hint="default" w:ascii="Times New Roman" w:hAnsi="Times New Roman" w:eastAsia="仿宋_GB2312" w:cs="Times New Roman"/>
          <w:color w:val="auto"/>
        </w:rPr>
        <w:t>调查结论与建议</w:t>
      </w:r>
      <w:bookmarkEnd w:id="145"/>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通过在运营期对工程沿线的环保设施、环境质量、环境影响调查以及对直接受影响的居民的意见调查，得出如下结论：</w:t>
      </w:r>
    </w:p>
    <w:p>
      <w:pPr>
        <w:pStyle w:val="3"/>
        <w:bidi w:val="0"/>
        <w:rPr>
          <w:rFonts w:hint="default" w:ascii="Times New Roman" w:hAnsi="Times New Roman" w:eastAsia="仿宋_GB2312" w:cs="Times New Roman"/>
          <w:color w:val="auto"/>
        </w:rPr>
      </w:pPr>
      <w:bookmarkStart w:id="146" w:name="_Toc18678"/>
      <w:r>
        <w:rPr>
          <w:rFonts w:hint="default" w:ascii="Times New Roman" w:hAnsi="Times New Roman" w:eastAsia="仿宋_GB2312" w:cs="Times New Roman"/>
          <w:color w:val="auto"/>
        </w:rPr>
        <w:t>13.1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工程基本情况</w:t>
      </w:r>
      <w:bookmarkEnd w:id="14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项目位于哈尔滨市</w:t>
      </w:r>
      <w:r>
        <w:rPr>
          <w:rFonts w:hint="eastAsia" w:cs="Times New Roman"/>
          <w:color w:val="auto"/>
          <w:lang w:eastAsia="zh-CN"/>
        </w:rPr>
        <w:t>香坊区</w:t>
      </w:r>
      <w:r>
        <w:rPr>
          <w:rFonts w:hint="default" w:ascii="Times New Roman" w:hAnsi="Times New Roman" w:eastAsia="仿宋_GB2312" w:cs="Times New Roman"/>
          <w:color w:val="auto"/>
        </w:rPr>
        <w:t>，</w:t>
      </w:r>
      <w:r>
        <w:rPr>
          <w:rFonts w:hint="eastAsia" w:cs="Times New Roman"/>
          <w:color w:val="auto"/>
          <w:lang w:eastAsia="zh-CN"/>
        </w:rPr>
        <w:t>起点为规划长寿路，终点为征仪路</w:t>
      </w:r>
      <w:r>
        <w:rPr>
          <w:rFonts w:hint="default" w:ascii="Times New Roman" w:hAnsi="Times New Roman" w:eastAsia="仿宋_GB2312" w:cs="Times New Roman"/>
          <w:color w:val="auto"/>
        </w:rPr>
        <w:t>。工程</w:t>
      </w:r>
      <w:r>
        <w:rPr>
          <w:rFonts w:hint="default" w:ascii="Times New Roman" w:hAnsi="Times New Roman" w:eastAsia="仿宋_GB2312" w:cs="Times New Roman"/>
          <w:color w:val="auto"/>
          <w:lang w:val="en-US" w:eastAsia="zh-CN"/>
        </w:rPr>
        <w:t>实际建设</w:t>
      </w:r>
      <w:r>
        <w:rPr>
          <w:rFonts w:hint="eastAsia" w:cs="Times New Roman"/>
          <w:color w:val="auto"/>
          <w:lang w:val="en-US" w:eastAsia="zh-CN"/>
        </w:rPr>
        <w:t>639.694</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道路等级为城市次干道，</w:t>
      </w:r>
      <w:r>
        <w:rPr>
          <w:rFonts w:hint="eastAsia" w:cs="Times New Roman"/>
          <w:color w:val="auto"/>
          <w:lang w:val="en-US" w:eastAsia="zh-CN"/>
        </w:rPr>
        <w:t>道路红线60m</w:t>
      </w:r>
      <w:r>
        <w:rPr>
          <w:rFonts w:hint="default" w:ascii="Times New Roman" w:hAnsi="Times New Roman" w:eastAsia="仿宋_GB2312" w:cs="Times New Roman"/>
          <w:color w:val="auto"/>
          <w:lang w:val="en-US" w:eastAsia="zh-CN"/>
        </w:rPr>
        <w:t>，设计行车速度</w:t>
      </w:r>
      <w:r>
        <w:rPr>
          <w:rFonts w:hint="eastAsia" w:cs="Times New Roman"/>
          <w:color w:val="auto"/>
          <w:lang w:val="en-US" w:eastAsia="zh-CN"/>
        </w:rPr>
        <w:t>50km/h</w:t>
      </w:r>
      <w:r>
        <w:rPr>
          <w:rFonts w:hint="default" w:ascii="Times New Roman" w:hAnsi="Times New Roman" w:eastAsia="仿宋_GB2312" w:cs="Times New Roman"/>
          <w:color w:val="auto"/>
          <w:lang w:val="en-US" w:eastAsia="zh-CN"/>
        </w:rPr>
        <w:t>，双向</w:t>
      </w:r>
      <w:r>
        <w:rPr>
          <w:rFonts w:hint="eastAsia" w:cs="Times New Roman"/>
          <w:color w:val="auto"/>
          <w:lang w:val="en-US" w:eastAsia="zh-CN"/>
        </w:rPr>
        <w:t>6车道</w:t>
      </w:r>
      <w:r>
        <w:rPr>
          <w:rFonts w:hint="default" w:ascii="Times New Roman" w:hAnsi="Times New Roman" w:eastAsia="仿宋_GB2312" w:cs="Times New Roman"/>
          <w:color w:val="auto"/>
          <w:lang w:val="en-US" w:eastAsia="zh-CN"/>
        </w:rPr>
        <w:t>。</w:t>
      </w:r>
      <w:r>
        <w:rPr>
          <w:rFonts w:hint="default" w:ascii="Times New Roman" w:hAnsi="Times New Roman" w:eastAsia="仿宋_GB2312" w:cs="Times New Roman"/>
          <w:color w:val="auto"/>
        </w:rPr>
        <w:t>工程建设内容主要包括路基路面主体工程，以及</w:t>
      </w:r>
      <w:r>
        <w:rPr>
          <w:rFonts w:hint="default" w:ascii="Times New Roman" w:hAnsi="Times New Roman" w:eastAsia="仿宋_GB2312" w:cs="Times New Roman"/>
          <w:color w:val="auto"/>
          <w:lang w:val="en-US" w:eastAsia="zh-CN"/>
        </w:rPr>
        <w:t>绿化、路灯、排水</w:t>
      </w:r>
      <w:r>
        <w:rPr>
          <w:rFonts w:hint="default" w:ascii="Times New Roman" w:hAnsi="Times New Roman" w:eastAsia="仿宋_GB2312" w:cs="Times New Roman"/>
          <w:color w:val="auto"/>
        </w:rPr>
        <w:t>附属工程。包括行道树</w:t>
      </w:r>
      <w:r>
        <w:rPr>
          <w:rFonts w:hint="eastAsia" w:cs="Times New Roman"/>
          <w:color w:val="auto"/>
          <w:lang w:val="en-US" w:eastAsia="zh-CN"/>
        </w:rPr>
        <w:t>265</w:t>
      </w:r>
      <w:r>
        <w:rPr>
          <w:rFonts w:hint="default" w:ascii="Times New Roman" w:hAnsi="Times New Roman" w:eastAsia="仿宋_GB2312" w:cs="Times New Roman"/>
          <w:color w:val="auto"/>
        </w:rPr>
        <w:t>棵</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路灯</w:t>
      </w:r>
      <w:r>
        <w:rPr>
          <w:rFonts w:hint="eastAsia" w:cs="Times New Roman"/>
          <w:color w:val="auto"/>
          <w:lang w:val="en-US" w:eastAsia="zh-CN"/>
        </w:rPr>
        <w:t>34</w:t>
      </w:r>
      <w:r>
        <w:rPr>
          <w:rFonts w:hint="default" w:ascii="Times New Roman" w:hAnsi="Times New Roman" w:eastAsia="仿宋_GB2312" w:cs="Times New Roman"/>
          <w:color w:val="auto"/>
        </w:rPr>
        <w:t>基，</w:t>
      </w:r>
      <w:r>
        <w:rPr>
          <w:rFonts w:hint="eastAsia" w:cs="Times New Roman"/>
          <w:color w:val="auto"/>
          <w:lang w:val="en-US" w:eastAsia="zh-CN"/>
        </w:rPr>
        <w:t>污</w:t>
      </w:r>
      <w:r>
        <w:rPr>
          <w:rFonts w:hint="default" w:ascii="Times New Roman" w:hAnsi="Times New Roman" w:eastAsia="仿宋_GB2312" w:cs="Times New Roman"/>
          <w:color w:val="auto"/>
        </w:rPr>
        <w:t>水管线</w:t>
      </w:r>
      <w:r>
        <w:rPr>
          <w:rFonts w:hint="eastAsia" w:cs="Times New Roman"/>
          <w:color w:val="auto"/>
          <w:lang w:val="en-US" w:eastAsia="zh-CN"/>
        </w:rPr>
        <w:t>1388.49</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eastAsia" w:cs="Times New Roman"/>
          <w:color w:val="auto"/>
          <w:lang w:val="en-US" w:eastAsia="zh-CN"/>
        </w:rPr>
        <w:t>雨水管线1036.66m，</w:t>
      </w:r>
      <w:r>
        <w:rPr>
          <w:rFonts w:hint="default" w:ascii="Times New Roman" w:hAnsi="Times New Roman" w:eastAsia="仿宋_GB2312" w:cs="Times New Roman"/>
          <w:color w:val="auto"/>
        </w:rPr>
        <w:t>以及交通工程</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snapToGrid w:val="0"/>
          <w:color w:val="auto"/>
          <w:kern w:val="21"/>
          <w:sz w:val="24"/>
        </w:rPr>
        <w:t>工程</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投资总概算为</w:t>
      </w:r>
      <w:r>
        <w:rPr>
          <w:rFonts w:hint="eastAsia" w:cs="Times New Roman"/>
          <w:snapToGrid w:val="0"/>
          <w:color w:val="auto"/>
          <w:kern w:val="21"/>
          <w:sz w:val="24"/>
          <w:lang w:val="en-US" w:eastAsia="zh-CN"/>
        </w:rPr>
        <w:t>2170.730933</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环保投资约</w:t>
      </w:r>
      <w:r>
        <w:rPr>
          <w:rFonts w:hint="default" w:ascii="Times New Roman" w:hAnsi="Times New Roman" w:eastAsia="仿宋_GB2312" w:cs="Times New Roman"/>
          <w:snapToGrid w:val="0"/>
          <w:color w:val="auto"/>
          <w:kern w:val="21"/>
          <w:sz w:val="24"/>
          <w:lang w:val="en-US" w:eastAsia="zh-CN"/>
        </w:rPr>
        <w:t>37.8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eastAsia" w:cs="Times New Roman"/>
          <w:snapToGrid w:val="0"/>
          <w:color w:val="auto"/>
          <w:kern w:val="21"/>
          <w:sz w:val="24"/>
          <w:lang w:val="en-US" w:eastAsia="zh-CN"/>
        </w:rPr>
        <w:t>1.74%</w:t>
      </w:r>
      <w:r>
        <w:rPr>
          <w:rFonts w:hint="default" w:ascii="Times New Roman" w:hAnsi="Times New Roman" w:eastAsia="仿宋_GB2312" w:cs="Times New Roman"/>
          <w:snapToGrid w:val="0"/>
          <w:color w:val="auto"/>
          <w:kern w:val="21"/>
          <w:sz w:val="24"/>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工程201</w:t>
      </w:r>
      <w:r>
        <w:rPr>
          <w:rFonts w:hint="eastAsia" w:cs="Times New Roman"/>
          <w:color w:val="auto"/>
          <w:lang w:val="en-US" w:eastAsia="zh-CN"/>
        </w:rPr>
        <w:t>7</w:t>
      </w:r>
      <w:r>
        <w:rPr>
          <w:rFonts w:hint="default" w:ascii="Times New Roman" w:hAnsi="Times New Roman" w:eastAsia="仿宋_GB2312" w:cs="Times New Roman"/>
          <w:color w:val="auto"/>
          <w:lang w:val="en-US" w:eastAsia="zh-CN"/>
        </w:rPr>
        <w:t>年7月全面开工建设，20</w:t>
      </w:r>
      <w:r>
        <w:rPr>
          <w:rFonts w:hint="eastAsia" w:cs="Times New Roman"/>
          <w:color w:val="auto"/>
          <w:lang w:val="en-US" w:eastAsia="zh-CN"/>
        </w:rPr>
        <w:t>18</w:t>
      </w:r>
      <w:r>
        <w:rPr>
          <w:rFonts w:hint="default" w:ascii="Times New Roman" w:hAnsi="Times New Roman" w:eastAsia="仿宋_GB2312" w:cs="Times New Roman"/>
          <w:color w:val="auto"/>
          <w:lang w:val="en-US" w:eastAsia="zh-CN"/>
        </w:rPr>
        <w:t>年10月建成通车</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47" w:name="_Toc3120"/>
      <w:r>
        <w:rPr>
          <w:rFonts w:hint="default" w:ascii="Times New Roman" w:hAnsi="Times New Roman" w:eastAsia="仿宋_GB2312" w:cs="Times New Roman"/>
          <w:color w:val="auto"/>
        </w:rPr>
        <w:t>13.2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工程主要环保措施落实情况</w:t>
      </w:r>
      <w:bookmarkEnd w:id="147"/>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施工阶段按照环评批复要求落实了环评及批复中提出的施工期环境保护措施。将工程措施、植物措施和临时措施有机结合，及时恢复因工程造成的植被破坏，防止水土流失。运营期通过全线铺设低噪声路面、边坡及两侧绿化防护等措施降低噪声污染。按要求设置了环境风险事故防范设施，制定了环境风险事故应急预案。</w:t>
      </w:r>
    </w:p>
    <w:p>
      <w:pPr>
        <w:pStyle w:val="3"/>
        <w:bidi w:val="0"/>
        <w:rPr>
          <w:rFonts w:hint="default" w:ascii="Times New Roman" w:hAnsi="Times New Roman" w:eastAsia="仿宋_GB2312" w:cs="Times New Roman"/>
          <w:color w:val="auto"/>
        </w:rPr>
      </w:pPr>
      <w:bookmarkStart w:id="148" w:name="_Toc10630"/>
      <w:r>
        <w:rPr>
          <w:rFonts w:hint="default" w:ascii="Times New Roman" w:hAnsi="Times New Roman" w:eastAsia="仿宋_GB2312" w:cs="Times New Roman"/>
          <w:color w:val="auto"/>
        </w:rPr>
        <w:t>13.3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验收调查结果</w:t>
      </w:r>
      <w:bookmarkEnd w:id="14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生态环境影响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工程施工期、运营期落实了环评及批复中提出的各项环境保护措施，验收阶段工程实际占地面积</w:t>
      </w:r>
      <w:r>
        <w:rPr>
          <w:rFonts w:hint="eastAsia" w:cs="Times New Roman"/>
          <w:color w:val="auto"/>
          <w:sz w:val="24"/>
          <w:lang w:val="en-US" w:eastAsia="zh-CN"/>
        </w:rPr>
        <w:t>21835.92</w:t>
      </w:r>
      <w:r>
        <w:rPr>
          <w:rFonts w:hint="default" w:ascii="Times New Roman" w:hAnsi="Times New Roman" w:eastAsia="仿宋_GB2312" w:cs="Times New Roman"/>
          <w:color w:val="auto"/>
          <w:sz w:val="24"/>
          <w:lang w:val="en-US" w:eastAsia="zh-CN"/>
        </w:rPr>
        <w:t>m</w:t>
      </w:r>
      <w:r>
        <w:rPr>
          <w:rFonts w:hint="default" w:ascii="Times New Roman" w:hAnsi="Times New Roman" w:eastAsia="仿宋_GB2312" w:cs="Times New Roman"/>
          <w:color w:val="auto"/>
          <w:sz w:val="24"/>
          <w:vertAlign w:val="superscript"/>
          <w:lang w:val="en-US" w:eastAsia="zh-CN"/>
        </w:rPr>
        <w:t>2</w:t>
      </w:r>
      <w:r>
        <w:rPr>
          <w:rFonts w:hint="default" w:ascii="Times New Roman" w:hAnsi="Times New Roman" w:eastAsia="仿宋_GB2312" w:cs="Times New Roman"/>
          <w:color w:val="auto"/>
          <w:sz w:val="24"/>
          <w:lang w:val="en-US" w:eastAsia="zh-CN"/>
        </w:rPr>
        <w:t>。施工期临时占地已恢复，工程弃渣委托第三方处理，运输车辆按照规定线路和时间行驶运至指定地点。生态环境影响可接受</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验收调查范围内共有噪声敏感点 </w:t>
      </w:r>
      <w:r>
        <w:rPr>
          <w:rFonts w:hint="eastAsia" w:cs="Times New Roman"/>
          <w:color w:val="auto"/>
          <w:lang w:val="en-US" w:eastAsia="zh-CN"/>
        </w:rPr>
        <w:t>1</w:t>
      </w:r>
      <w:r>
        <w:rPr>
          <w:rFonts w:hint="default" w:ascii="Times New Roman" w:hAnsi="Times New Roman" w:eastAsia="仿宋_GB2312" w:cs="Times New Roman"/>
          <w:color w:val="auto"/>
        </w:rPr>
        <w:t xml:space="preserve"> 处，其监测结果满足《声环境质量标准》（GB3096-2008）2 类标准。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项目试运营以来未收到交通噪声投诉。</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综上，根据工程实际，通车后沿线声环境符合验收要求</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环境空气影响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工程施工期存在一定的扬尘污染，建设单位落实了各项废气治理措施，造成的环 境影响很小。随着工程的结束，影响也随之结束。工程运营期汽车尾气不会对沿线空气质量产生大的影响。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水环境影响</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经调查，工程路基、路面排水体系完整，并通过区域排水系统相联通，路面排水对沿线水环境影响较小。</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工程建设对周边地面水环境基本无影响，满足竣工环境保护验收要求。</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13.3.5</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固体废物环境影响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施工单位认真落实了各项环保措施，在施工期间没有发生因固体废物处置不当造成环境污染和环境纠纷，未对环境造成影响。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13.3.6</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风险事故防范及应急措施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建设单位对环评提出的风险防范措施基本予以了落实，运营单位制定的交通运输和危险品车辆事故处置预案目标明确，组织机构、人员职责分明，可操作性较强。</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13.3.7</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环境管理状况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工程建设期间较好地执行了建设项目环境影响评价制度和环境保护“三同时 ”制 度，环保管理机构职责明确、体系完善，施工期、试运营期环境管理落实到位，建立了环境保护档案管理制度。</w:t>
      </w:r>
    </w:p>
    <w:p>
      <w:pPr>
        <w:pStyle w:val="3"/>
        <w:bidi w:val="0"/>
        <w:rPr>
          <w:rFonts w:hint="default" w:ascii="Times New Roman" w:hAnsi="Times New Roman" w:eastAsia="仿宋_GB2312" w:cs="Times New Roman"/>
          <w:color w:val="auto"/>
        </w:rPr>
      </w:pPr>
      <w:bookmarkStart w:id="149" w:name="_Toc30117"/>
      <w:r>
        <w:rPr>
          <w:rFonts w:hint="default" w:ascii="Times New Roman" w:hAnsi="Times New Roman" w:eastAsia="仿宋_GB2312" w:cs="Times New Roman"/>
          <w:color w:val="auto"/>
        </w:rPr>
        <w:t>13.4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验收调查结论</w:t>
      </w:r>
      <w:bookmarkEnd w:id="14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对照《建设项目竣工环境保护验收暂行办法》（国环规环评〔2017〕4号），本工程环境保护手续齐全，根据实际情况落实了环评文件及其批复所提出的环保措施。有关环保设施符合设计、施工和使用要求，均已建成并和主体工程同时投入使用，运行状况正常。监测结果显示各类污染物均能够达标排放，现状交通流量下各敏感点声环境质量满足标准要求。施工期和运营期未发生重大环境影响问题。经核查，本工程未发生重大变动。</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综上所述，</w:t>
      </w:r>
      <w:r>
        <w:rPr>
          <w:rFonts w:hint="eastAsia" w:cs="Times New Roman"/>
          <w:color w:val="auto"/>
          <w:sz w:val="24"/>
          <w:lang w:eastAsia="zh-CN"/>
        </w:rPr>
        <w:t>同江路道路</w:t>
      </w:r>
      <w:r>
        <w:rPr>
          <w:rFonts w:hint="default" w:ascii="Times New Roman" w:hAnsi="Times New Roman" w:eastAsia="仿宋_GB2312" w:cs="Times New Roman"/>
          <w:color w:val="auto"/>
          <w:sz w:val="24"/>
          <w:lang w:eastAsia="zh-CN"/>
        </w:rPr>
        <w:t>工程</w:t>
      </w:r>
      <w:r>
        <w:rPr>
          <w:rFonts w:hint="default" w:ascii="Times New Roman" w:hAnsi="Times New Roman" w:eastAsia="仿宋_GB2312" w:cs="Times New Roman"/>
          <w:color w:val="auto"/>
          <w:sz w:val="24"/>
        </w:rPr>
        <w:t>具备竣工环保验收的条件。</w:t>
      </w:r>
    </w:p>
    <w:p>
      <w:pPr>
        <w:pStyle w:val="3"/>
        <w:bidi w:val="0"/>
        <w:rPr>
          <w:rFonts w:hint="default" w:ascii="Times New Roman" w:hAnsi="Times New Roman" w:eastAsia="仿宋_GB2312" w:cs="Times New Roman"/>
          <w:color w:val="auto"/>
        </w:rPr>
      </w:pPr>
      <w:bookmarkStart w:id="150" w:name="_Toc22866"/>
      <w:r>
        <w:rPr>
          <w:rFonts w:hint="default" w:ascii="Times New Roman" w:hAnsi="Times New Roman" w:eastAsia="仿宋_GB2312" w:cs="Times New Roman"/>
          <w:color w:val="auto"/>
        </w:rPr>
        <w:t>13.5</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建议</w:t>
      </w:r>
      <w:bookmarkEnd w:id="15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制定运营期监测计划，根据中期交通流量的变化，定期对沿线敏感点噪声采取跟踪监测，重点监测现阶段无降噪措施的敏感点。对超标严重的敏感点，及时强化降噪措施，避免发生噪声扰民纠纷，预留足额资金用于环保措施升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（2）加强对</w:t>
      </w:r>
      <w:r>
        <w:rPr>
          <w:rFonts w:hint="default" w:ascii="Times New Roman" w:hAnsi="Times New Roman" w:eastAsia="仿宋_GB2312" w:cs="Times New Roman"/>
          <w:color w:val="auto"/>
          <w:sz w:val="24"/>
          <w:lang w:val="en-US" w:eastAsia="zh-CN"/>
        </w:rPr>
        <w:t>路面</w:t>
      </w:r>
      <w:r>
        <w:rPr>
          <w:rFonts w:hint="default" w:ascii="Times New Roman" w:hAnsi="Times New Roman" w:eastAsia="仿宋_GB2312" w:cs="Times New Roman"/>
          <w:color w:val="auto"/>
          <w:sz w:val="24"/>
        </w:rPr>
        <w:t>径流收集处理系统的运维，完善日常管理制度和设施台账记录，确保污染治理设施稳定长效运行。</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（3）完善突发环境事件应急预案管理体系，定期开展事故应急演练，加强运营期管理。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（4）加强沿线绿化</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日常管理维护工作。</w:t>
      </w:r>
    </w:p>
    <w:sectPr>
      <w:footerReference r:id="rId21" w:type="default"/>
      <w:pgSz w:w="11906" w:h="16839"/>
      <w:pgMar w:top="1440" w:right="1803" w:bottom="1440" w:left="1803" w:header="0" w:footer="987"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0" w:leftChars="0" w:firstLine="0" w:firstLineChars="0"/>
    </w:pPr>
    <w:r>
      <w:rPr>
        <w:sz w:val="18"/>
      </w:rPr>
      <mc:AlternateContent>
        <mc:Choice Requires="wps">
          <w:drawing>
            <wp:anchor distT="0" distB="0" distL="114300" distR="114300" simplePos="0" relativeHeight="251674624" behindDoc="0" locked="0" layoutInCell="1" allowOverlap="1">
              <wp:simplePos x="0" y="0"/>
              <wp:positionH relativeFrom="margin">
                <wp:posOffset>2637790</wp:posOffset>
              </wp:positionH>
              <wp:positionV relativeFrom="paragraph">
                <wp:posOffset>-335915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keepNext w:val="0"/>
                            <w:keepLines w:val="0"/>
                            <w:pageBreakBefore w:val="0"/>
                            <w:widowControl/>
                            <w:kinsoku w:val="0"/>
                            <w:wordWrap/>
                            <w:overflowPunct/>
                            <w:topLinePunct w:val="0"/>
                            <w:bidi w:val="0"/>
                            <w:adjustRightInd w:val="0"/>
                            <w:snapToGrid w:val="0"/>
                            <w:spacing w:line="240" w:lineRule="auto"/>
                            <w:ind w:firstLine="0" w:firstLineChars="0"/>
                            <w:textAlignment w:val="baseline"/>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7pt;margin-top:-26.45pt;height:144pt;width:144pt;mso-position-horizontal-relative:margin;mso-wrap-style:none;z-index:251674624;mso-width-relative:page;mso-height-relative:page;" filled="f" stroked="f" coordsize="21600,21600" o:gfxdata="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7oaF19&#10;qPoLmDvLwlbvLI9ponrero4BYnYaR4F6VQbdMHldl4ZXEkf7z30X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Wi3zstgAAAALAQAADwAAAAAAAAABACAAAAAiAAAAZHJzL2Rvd25yZXYueG1s&#10;UEsBAhQAFAAAAAgAh07iQGuF+fsxAgAAYQQAAA4AAAAAAAAAAQAgAAAAJwEAAGRycy9lMm9Eb2Mu&#10;eG1sUEsFBgAAAAAGAAYAWQEAAMoFAAAAAA==&#10;">
              <v:fill on="f" focussize="0,0"/>
              <v:stroke on="f" weight="0.5pt"/>
              <v:imagedata o:title=""/>
              <o:lock v:ext="edit" aspectratio="f"/>
              <v:textbox inset="0mm,0mm,0mm,0mm" style="mso-fit-shape-to-text:t;">
                <w:txbxContent>
                  <w:p>
                    <w:pPr>
                      <w:pStyle w:val="6"/>
                      <w:keepNext w:val="0"/>
                      <w:keepLines w:val="0"/>
                      <w:pageBreakBefore w:val="0"/>
                      <w:widowControl/>
                      <w:kinsoku w:val="0"/>
                      <w:wordWrap/>
                      <w:overflowPunct/>
                      <w:topLinePunct w:val="0"/>
                      <w:bidi w:val="0"/>
                      <w:adjustRightInd w:val="0"/>
                      <w:snapToGrid w:val="0"/>
                      <w:spacing w:line="240" w:lineRule="auto"/>
                      <w:ind w:firstLine="0" w:firstLineChars="0"/>
                      <w:textAlignment w:val="baseline"/>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0" w:leftChars="0" w:firstLine="0" w:firstLineChars="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538"/>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20"/>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6892"/>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689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3"/>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821"/>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53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2"/>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2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1"/>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3"/>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150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719105"/>
    <w:multiLevelType w:val="singleLevel"/>
    <w:tmpl w:val="5C719105"/>
    <w:lvl w:ilvl="0" w:tentative="0">
      <w:start w:val="10"/>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zE1YTgwNmU5YjQzY2E4MDY2MmI0ZGRjNDZhNzA3NzIifQ=="/>
  </w:docVars>
  <w:rsids>
    <w:rsidRoot w:val="00000000"/>
    <w:rsid w:val="03056CF0"/>
    <w:rsid w:val="058F648F"/>
    <w:rsid w:val="06883FA9"/>
    <w:rsid w:val="0BB772BD"/>
    <w:rsid w:val="0DF92BF3"/>
    <w:rsid w:val="0F96368D"/>
    <w:rsid w:val="19B4308D"/>
    <w:rsid w:val="1A4B4DA1"/>
    <w:rsid w:val="1D984002"/>
    <w:rsid w:val="1E110AAE"/>
    <w:rsid w:val="20FC45BD"/>
    <w:rsid w:val="23131105"/>
    <w:rsid w:val="274D474A"/>
    <w:rsid w:val="29253D42"/>
    <w:rsid w:val="2B147E30"/>
    <w:rsid w:val="2C1A1476"/>
    <w:rsid w:val="30007348"/>
    <w:rsid w:val="30306842"/>
    <w:rsid w:val="335A4D4A"/>
    <w:rsid w:val="380F5C07"/>
    <w:rsid w:val="389A3E70"/>
    <w:rsid w:val="38AD7A61"/>
    <w:rsid w:val="3FCB1DBC"/>
    <w:rsid w:val="3FCD2003"/>
    <w:rsid w:val="407C2246"/>
    <w:rsid w:val="40E53171"/>
    <w:rsid w:val="4ADB5A3C"/>
    <w:rsid w:val="52CF44B9"/>
    <w:rsid w:val="585B5C1B"/>
    <w:rsid w:val="5AF73156"/>
    <w:rsid w:val="6B390683"/>
    <w:rsid w:val="6BE918D8"/>
    <w:rsid w:val="6D593061"/>
    <w:rsid w:val="6E5518BE"/>
    <w:rsid w:val="7016346E"/>
    <w:rsid w:val="7075449A"/>
    <w:rsid w:val="714932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360" w:lineRule="auto"/>
      <w:ind w:firstLine="420" w:firstLineChars="200"/>
      <w:jc w:val="left"/>
      <w:textAlignment w:val="baseline"/>
    </w:pPr>
    <w:rPr>
      <w:rFonts w:ascii="Times New Roman" w:hAnsi="Times New Roman" w:eastAsia="仿宋_GB2312" w:cs="Times New Roman"/>
      <w:snapToGrid w:val="0"/>
      <w:color w:val="000000"/>
      <w:kern w:val="0"/>
      <w:sz w:val="24"/>
      <w:szCs w:val="24"/>
      <w:lang w:val="en-US" w:eastAsia="en-US" w:bidi="ar-SA"/>
    </w:rPr>
  </w:style>
  <w:style w:type="paragraph" w:styleId="2">
    <w:name w:val="heading 1"/>
    <w:basedOn w:val="1"/>
    <w:next w:val="1"/>
    <w:autoRedefine/>
    <w:qFormat/>
    <w:uiPriority w:val="0"/>
    <w:pPr>
      <w:keepNext/>
      <w:keepLines/>
      <w:spacing w:before="50" w:beforeLines="50" w:after="50" w:afterLines="50" w:line="360" w:lineRule="auto"/>
      <w:ind w:firstLine="0" w:firstLineChars="0"/>
      <w:jc w:val="center"/>
      <w:outlineLvl w:val="0"/>
    </w:pPr>
    <w:rPr>
      <w:b/>
      <w:kern w:val="44"/>
      <w:sz w:val="32"/>
    </w:rPr>
  </w:style>
  <w:style w:type="paragraph" w:styleId="3">
    <w:name w:val="heading 2"/>
    <w:basedOn w:val="1"/>
    <w:next w:val="1"/>
    <w:autoRedefine/>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eastAsia="黑体"/>
      <w:b/>
      <w:sz w:val="28"/>
      <w:szCs w:val="28"/>
    </w:rPr>
  </w:style>
  <w:style w:type="paragraph" w:styleId="4">
    <w:name w:val="heading 3"/>
    <w:basedOn w:val="1"/>
    <w:next w:val="1"/>
    <w:autoRedefine/>
    <w:unhideWhenUsed/>
    <w:qFormat/>
    <w:uiPriority w:val="0"/>
    <w:pPr>
      <w:keepNext/>
      <w:keepLines/>
      <w:spacing w:beforeLines="0" w:beforeAutospacing="0" w:afterLines="0" w:afterAutospacing="0" w:line="360" w:lineRule="auto"/>
      <w:ind w:firstLine="0" w:firstLineChars="0"/>
      <w:outlineLvl w:val="2"/>
    </w:pPr>
    <w:rPr>
      <w:b/>
      <w:sz w:val="28"/>
      <w:szCs w:val="28"/>
    </w:rPr>
  </w:style>
  <w:style w:type="character" w:default="1" w:styleId="12">
    <w:name w:val="Default Paragraph Font"/>
    <w:autoRedefine/>
    <w:semiHidden/>
    <w:qFormat/>
    <w:uiPriority w:val="0"/>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5">
    <w:name w:val="Body Text"/>
    <w:basedOn w:val="1"/>
    <w:next w:val="1"/>
    <w:autoRedefine/>
    <w:semiHidden/>
    <w:qFormat/>
    <w:uiPriority w:val="0"/>
    <w:rPr>
      <w:rFonts w:ascii="Arial" w:hAnsi="Arial" w:eastAsia="Arial" w:cs="Arial"/>
      <w:sz w:val="21"/>
      <w:szCs w:val="21"/>
      <w:lang w:val="en-US" w:eastAsia="en-US" w:bidi="ar-SA"/>
    </w:rPr>
  </w:style>
  <w:style w:type="paragraph" w:styleId="6">
    <w:name w:val="footer"/>
    <w:basedOn w:val="1"/>
    <w:autoRedefine/>
    <w:unhideWhenUsed/>
    <w:qFormat/>
    <w:uiPriority w:val="99"/>
    <w:pPr>
      <w:tabs>
        <w:tab w:val="center" w:pos="4153"/>
        <w:tab w:val="right" w:pos="8306"/>
      </w:tabs>
      <w:snapToGrid w:val="0"/>
      <w:jc w:val="left"/>
    </w:pPr>
    <w:rPr>
      <w:sz w:val="18"/>
      <w:szCs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qFormat/>
    <w:uiPriority w:val="0"/>
  </w:style>
  <w:style w:type="paragraph" w:styleId="9">
    <w:name w:val="toc 2"/>
    <w:basedOn w:val="1"/>
    <w:next w:val="1"/>
    <w:autoRedefine/>
    <w:qFormat/>
    <w:uiPriority w:val="0"/>
    <w:pPr>
      <w:ind w:left="420" w:leftChars="200"/>
    </w:pPr>
  </w:style>
  <w:style w:type="paragraph" w:styleId="10">
    <w:name w:val="Body Text First Indent"/>
    <w:basedOn w:val="5"/>
    <w:next w:val="1"/>
    <w:autoRedefine/>
    <w:qFormat/>
    <w:uiPriority w:val="0"/>
    <w:pPr>
      <w:ind w:firstLine="420" w:firstLineChars="100"/>
    </w:pPr>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仿宋" w:hAnsi="仿宋" w:eastAsia="仿宋" w:cs="仿宋"/>
      <w:sz w:val="20"/>
      <w:szCs w:val="20"/>
      <w:lang w:val="en-US" w:eastAsia="en-US" w:bidi="ar-SA"/>
    </w:rPr>
  </w:style>
  <w:style w:type="paragraph" w:customStyle="1" w:styleId="15">
    <w:name w:val="表格标题"/>
    <w:basedOn w:val="1"/>
    <w:autoRedefine/>
    <w:qFormat/>
    <w:uiPriority w:val="0"/>
    <w:pPr>
      <w:spacing w:line="240" w:lineRule="auto"/>
      <w:ind w:firstLine="0" w:firstLineChars="0"/>
      <w:jc w:val="center"/>
    </w:pPr>
    <w:rPr>
      <w:rFonts w:ascii="Times New Roman" w:hAnsi="Times New Roman"/>
      <w:b/>
      <w:bCs/>
    </w:rPr>
  </w:style>
  <w:style w:type="paragraph" w:customStyle="1" w:styleId="16">
    <w:name w:val="表格内容"/>
    <w:basedOn w:val="1"/>
    <w:autoRedefine/>
    <w:qFormat/>
    <w:uiPriority w:val="0"/>
    <w:pPr>
      <w:spacing w:line="240" w:lineRule="auto"/>
      <w:ind w:left="0" w:firstLine="0" w:firstLineChars="0"/>
      <w:jc w:val="both"/>
    </w:pPr>
    <w:rPr>
      <w:rFonts w:ascii="Times New Roman" w:hAnsi="Times New Roman" w:eastAsia="宋体" w:cs="宋体"/>
      <w:snapToGrid/>
      <w:color w:val="auto"/>
      <w:sz w:val="21"/>
      <w:szCs w:val="21"/>
      <w14:textOutline w14:w="3795" w14:cap="sq" w14:cmpd="sng">
        <w14:solidFill>
          <w14:srgbClr w14:val="000000"/>
        </w14:solidFill>
        <w14:prstDash w14:val="solid"/>
        <w14:bevel/>
      </w14:textOutline>
    </w:rPr>
  </w:style>
  <w:style w:type="paragraph" w:customStyle="1" w:styleId="17">
    <w:name w:val="表格内容-1"/>
    <w:basedOn w:val="1"/>
    <w:autoRedefine/>
    <w:qFormat/>
    <w:uiPriority w:val="0"/>
    <w:pPr>
      <w:spacing w:line="240" w:lineRule="auto"/>
      <w:ind w:firstLine="0" w:firstLineChars="0"/>
      <w:jc w:val="center"/>
    </w:pPr>
    <w:rPr>
      <w:rFonts w:ascii="Times New Roman" w:hAnsi="Times New Roman"/>
      <w:sz w:val="21"/>
      <w:szCs w:val="21"/>
    </w:rPr>
  </w:style>
  <w:style w:type="paragraph" w:customStyle="1" w:styleId="18">
    <w:name w:val="WPSOffice手动目录 1"/>
    <w:autoRedefine/>
    <w:qFormat/>
    <w:uiPriority w:val="0"/>
    <w:pPr>
      <w:ind w:leftChars="0"/>
    </w:pPr>
    <w:rPr>
      <w:rFonts w:ascii="Arial" w:hAnsi="Arial" w:eastAsia="Arial" w:cs="Arial"/>
      <w:sz w:val="20"/>
      <w:szCs w:val="20"/>
    </w:rPr>
  </w:style>
  <w:style w:type="paragraph" w:customStyle="1" w:styleId="19">
    <w:name w:val="WPSOffice手动目录 2"/>
    <w:autoRedefine/>
    <w:qFormat/>
    <w:uiPriority w:val="0"/>
    <w:pPr>
      <w:ind w:leftChars="200"/>
    </w:pPr>
    <w:rPr>
      <w:rFonts w:ascii="Arial" w:hAnsi="Arial" w:eastAsia="Arial" w:cs="Arial"/>
      <w:sz w:val="20"/>
      <w:szCs w:val="20"/>
    </w:rPr>
  </w:style>
  <w:style w:type="paragraph" w:customStyle="1" w:styleId="20">
    <w:name w:val="表头"/>
    <w:basedOn w:val="1"/>
    <w:next w:val="21"/>
    <w:autoRedefine/>
    <w:qFormat/>
    <w:uiPriority w:val="0"/>
    <w:pPr>
      <w:tabs>
        <w:tab w:val="left" w:pos="3330"/>
      </w:tabs>
      <w:adjustRightInd w:val="0"/>
      <w:spacing w:line="520" w:lineRule="exact"/>
      <w:ind w:firstLine="0" w:firstLineChars="0"/>
      <w:jc w:val="center"/>
    </w:pPr>
    <w:rPr>
      <w:b/>
    </w:rPr>
  </w:style>
  <w:style w:type="paragraph" w:customStyle="1" w:styleId="21">
    <w:name w:val="表格"/>
    <w:basedOn w:val="1"/>
    <w:autoRedefine/>
    <w:qFormat/>
    <w:uiPriority w:val="0"/>
    <w:pPr>
      <w:adjustRightInd w:val="0"/>
      <w:snapToGrid w:val="0"/>
      <w:spacing w:beforeLines="5" w:afterLines="5" w:line="240" w:lineRule="auto"/>
      <w:ind w:firstLine="0" w:firstLineChars="0"/>
      <w:jc w:val="center"/>
    </w:pPr>
    <w:rPr>
      <w:bCs/>
      <w:snapToGrid w:val="0"/>
      <w:kern w:val="0"/>
      <w:sz w:val="20"/>
      <w:szCs w:val="20"/>
    </w:rPr>
  </w:style>
  <w:style w:type="paragraph" w:customStyle="1" w:styleId="22">
    <w:name w:val="表格内容右"/>
    <w:basedOn w:val="16"/>
    <w:autoRedefine/>
    <w:qFormat/>
    <w:uiPriority w:val="0"/>
    <w:pPr>
      <w:spacing w:line="240" w:lineRule="auto"/>
    </w:pPr>
    <w:rPr>
      <w:rFonts w:hAnsi="宋体"/>
      <w:color w:val="auto"/>
    </w:rPr>
  </w:style>
  <w:style w:type="paragraph" w:customStyle="1" w:styleId="23">
    <w:name w:val="表内"/>
    <w:basedOn w:val="1"/>
    <w:autoRedefine/>
    <w:qFormat/>
    <w:uiPriority w:val="0"/>
    <w:pPr>
      <w:jc w:val="center"/>
    </w:pPr>
    <w:rPr>
      <w:rFonts w:ascii="Times New Roman" w:hAnsi="Times New Roman" w:eastAsia="宋体" w:cs="Times New Roman"/>
      <w:kern w:val="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Office_12.1.0.16417_F1E327BC-269C-435d-A152-05C5408002CA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2023-11-27T15:15:00Z</dcterms:created>
  <dc:creator>Administrator</dc:creator>
  <cp:lastModifiedBy>JJ</cp:lastModifiedBy>
  <dcterms:modified xsi:type="dcterms:W3CDTF">2024-04-03T07:56:23Z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2024-02-29T22:30:50Z</vt:filetime>
  </property>
  <property fmtid="{D5CDD505-2E9C-101B-9397-08002B2CF9AE}" pid="4" name="KSOProductBuildVer">
    <vt:lpwstr>2052-12.1.0.16417</vt:lpwstr>
  </property>
  <property fmtid="{D5CDD505-2E9C-101B-9397-08002B2CF9AE}" pid="5" name="ICV">
    <vt:lpwstr>BA87C8FE297E419A99A5026C54F8BBBE_12</vt:lpwstr>
  </property>
</Properties>
</file>