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ascii="Times New Roman" w:hAnsi="Times New Roman" w:eastAsia="仿宋_GB2312"/>
          <w:color w:val="auto"/>
          <w:sz w:val="28"/>
          <w:szCs w:val="28"/>
        </w:rPr>
      </w:pPr>
    </w:p>
    <w:p>
      <w:pPr>
        <w:spacing w:after="0" w:line="360" w:lineRule="auto"/>
        <w:jc w:val="center"/>
        <w:rPr>
          <w:rFonts w:ascii="Times New Roman" w:hAnsi="Times New Roman" w:eastAsia="仿宋_GB2312"/>
          <w:color w:val="auto"/>
          <w:sz w:val="28"/>
          <w:szCs w:val="28"/>
        </w:rPr>
      </w:pPr>
    </w:p>
    <w:p>
      <w:pPr>
        <w:spacing w:line="360" w:lineRule="auto"/>
        <w:jc w:val="center"/>
        <w:rPr>
          <w:rFonts w:ascii="Times New Roman" w:hAnsi="Times New Roman" w:eastAsia="仿宋_GB2312"/>
          <w:color w:val="auto"/>
          <w:sz w:val="28"/>
          <w:szCs w:val="28"/>
        </w:rPr>
      </w:pPr>
    </w:p>
    <w:p>
      <w:pPr>
        <w:adjustRightInd/>
        <w:snapToGrid/>
        <w:spacing w:after="0" w:line="360" w:lineRule="auto"/>
        <w:jc w:val="center"/>
        <w:rPr>
          <w:rFonts w:ascii="Times New Roman" w:hAnsi="Times New Roman" w:eastAsia="华文新魏"/>
          <w:b/>
          <w:color w:val="auto"/>
          <w:sz w:val="48"/>
          <w:szCs w:val="48"/>
        </w:rPr>
      </w:pPr>
      <w:r>
        <w:rPr>
          <w:rFonts w:ascii="Times New Roman" w:hAnsi="Times New Roman" w:eastAsia="华文新魏"/>
          <w:b/>
          <w:color w:val="auto"/>
          <w:sz w:val="48"/>
          <w:szCs w:val="48"/>
        </w:rPr>
        <w:t>2021年黑龙江省共青农场粮食基地库维修及设备购置建设项目</w:t>
      </w:r>
    </w:p>
    <w:p>
      <w:pPr>
        <w:adjustRightInd/>
        <w:snapToGrid/>
        <w:spacing w:after="0" w:line="360" w:lineRule="auto"/>
        <w:jc w:val="center"/>
        <w:rPr>
          <w:rFonts w:ascii="Times New Roman" w:hAnsi="Times New Roman" w:eastAsia="华文新魏"/>
          <w:color w:val="auto"/>
          <w:sz w:val="44"/>
          <w:szCs w:val="44"/>
        </w:rPr>
      </w:pPr>
      <w:r>
        <w:rPr>
          <w:rFonts w:ascii="Times New Roman" w:hAnsi="Times New Roman" w:eastAsia="华文新魏"/>
          <w:b/>
          <w:color w:val="auto"/>
          <w:sz w:val="48"/>
          <w:szCs w:val="48"/>
        </w:rPr>
        <w:t>竣工环境保护验收监测报告表</w:t>
      </w:r>
    </w:p>
    <w:p>
      <w:pPr>
        <w:spacing w:line="360" w:lineRule="auto"/>
        <w:jc w:val="center"/>
        <w:rPr>
          <w:rFonts w:ascii="Times New Roman" w:hAnsi="Times New Roman" w:eastAsia="仿宋_GB2312"/>
          <w:color w:val="auto"/>
          <w:sz w:val="28"/>
          <w:szCs w:val="28"/>
        </w:rPr>
      </w:pPr>
    </w:p>
    <w:p>
      <w:pPr>
        <w:jc w:val="center"/>
        <w:rPr>
          <w:rFonts w:ascii="Times New Roman" w:hAnsi="Times New Roman" w:eastAsia="仿宋_GB2312"/>
          <w:color w:val="auto"/>
          <w:sz w:val="28"/>
          <w:szCs w:val="28"/>
        </w:rPr>
      </w:pPr>
    </w:p>
    <w:p>
      <w:pPr>
        <w:jc w:val="center"/>
        <w:rPr>
          <w:rFonts w:ascii="Times New Roman" w:hAnsi="Times New Roman" w:eastAsia="仿宋_GB2312"/>
          <w:color w:val="auto"/>
          <w:sz w:val="28"/>
          <w:szCs w:val="28"/>
        </w:rPr>
      </w:pPr>
    </w:p>
    <w:p>
      <w:pPr>
        <w:rPr>
          <w:rFonts w:ascii="Times New Roman" w:hAnsi="Times New Roman" w:eastAsia="仿宋_GB2312"/>
          <w:color w:val="auto"/>
          <w:sz w:val="28"/>
          <w:szCs w:val="28"/>
        </w:rPr>
      </w:pPr>
    </w:p>
    <w:p>
      <w:pPr>
        <w:rPr>
          <w:rFonts w:ascii="Times New Roman" w:hAnsi="Times New Roman" w:eastAsia="仿宋_GB2312"/>
          <w:color w:val="auto"/>
          <w:sz w:val="28"/>
          <w:szCs w:val="28"/>
        </w:rPr>
      </w:pPr>
    </w:p>
    <w:p>
      <w:pPr>
        <w:rPr>
          <w:rFonts w:ascii="Times New Roman" w:hAnsi="Times New Roman" w:eastAsia="仿宋_GB2312"/>
          <w:color w:val="auto"/>
          <w:sz w:val="28"/>
          <w:szCs w:val="28"/>
        </w:rPr>
      </w:pPr>
    </w:p>
    <w:p>
      <w:pPr>
        <w:rPr>
          <w:rFonts w:ascii="Times New Roman" w:hAnsi="Times New Roman" w:eastAsia="仿宋_GB2312"/>
          <w:color w:val="auto"/>
          <w:sz w:val="28"/>
          <w:szCs w:val="28"/>
        </w:rPr>
      </w:pPr>
    </w:p>
    <w:p>
      <w:pPr>
        <w:rPr>
          <w:rFonts w:ascii="Times New Roman" w:hAnsi="Times New Roman" w:eastAsia="仿宋_GB2312"/>
          <w:color w:val="auto"/>
          <w:sz w:val="28"/>
          <w:szCs w:val="28"/>
        </w:rPr>
      </w:pPr>
    </w:p>
    <w:p>
      <w:pPr>
        <w:rPr>
          <w:rFonts w:ascii="Times New Roman" w:hAnsi="Times New Roman" w:eastAsia="华文新魏"/>
          <w:color w:val="auto"/>
          <w:sz w:val="28"/>
          <w:szCs w:val="28"/>
        </w:rPr>
      </w:pPr>
    </w:p>
    <w:p>
      <w:pPr>
        <w:pStyle w:val="33"/>
        <w:rPr>
          <w:rFonts w:ascii="Times New Roman" w:hAnsi="Times New Roman" w:cs="Times New Roman"/>
          <w:color w:val="auto"/>
        </w:rPr>
      </w:pPr>
      <w:bookmarkStart w:id="49" w:name="_GoBack"/>
      <w:bookmarkEnd w:id="49"/>
    </w:p>
    <w:p>
      <w:pPr>
        <w:jc w:val="center"/>
        <w:rPr>
          <w:rFonts w:ascii="Times New Roman" w:hAnsi="Times New Roman" w:eastAsia="华文新魏"/>
          <w:color w:val="auto"/>
          <w:sz w:val="28"/>
          <w:szCs w:val="28"/>
        </w:rPr>
      </w:pPr>
      <w:r>
        <w:rPr>
          <w:rFonts w:ascii="Times New Roman" w:hAnsi="Times New Roman" w:eastAsia="华文新魏"/>
          <w:color w:val="auto"/>
          <w:sz w:val="28"/>
          <w:szCs w:val="28"/>
        </w:rPr>
        <w:t>建设单位：</w:t>
      </w:r>
      <w:r>
        <w:rPr>
          <w:rFonts w:ascii="Times New Roman" w:hAnsi="Times New Roman" w:eastAsia="华文新魏"/>
          <w:color w:val="auto"/>
          <w:sz w:val="28"/>
          <w:szCs w:val="28"/>
          <w:lang w:val="zh-CN"/>
        </w:rPr>
        <w:t>北大荒集团黑龙江共青农场粮贸中心</w:t>
      </w:r>
    </w:p>
    <w:p>
      <w:pPr>
        <w:spacing w:line="360" w:lineRule="auto"/>
        <w:jc w:val="center"/>
        <w:rPr>
          <w:rFonts w:ascii="Times New Roman" w:hAnsi="Times New Roman" w:eastAsia="华文新魏"/>
          <w:color w:val="auto"/>
          <w:sz w:val="28"/>
          <w:szCs w:val="28"/>
        </w:rPr>
      </w:pPr>
      <w:r>
        <w:rPr>
          <w:rFonts w:ascii="Times New Roman" w:hAnsi="Times New Roman" w:eastAsia="华文新魏"/>
          <w:color w:val="auto"/>
          <w:sz w:val="28"/>
          <w:szCs w:val="28"/>
        </w:rPr>
        <w:t>编制单位：</w:t>
      </w:r>
      <w:r>
        <w:rPr>
          <w:rFonts w:hint="eastAsia" w:ascii="Times New Roman" w:hAnsi="Times New Roman" w:eastAsia="华文新魏"/>
          <w:color w:val="auto"/>
          <w:sz w:val="28"/>
          <w:szCs w:val="28"/>
          <w:lang w:val="zh-CN"/>
        </w:rPr>
        <w:t>北大荒集团黑龙江共青农场粮贸中心</w:t>
      </w:r>
    </w:p>
    <w:p>
      <w:pPr>
        <w:spacing w:line="360" w:lineRule="auto"/>
        <w:ind w:firstLine="840" w:firstLineChars="300"/>
        <w:rPr>
          <w:rFonts w:ascii="Times New Roman" w:hAnsi="Times New Roman" w:eastAsia="华文新魏"/>
          <w:color w:val="auto"/>
          <w:sz w:val="28"/>
          <w:szCs w:val="28"/>
        </w:rPr>
      </w:pPr>
    </w:p>
    <w:p>
      <w:pPr>
        <w:jc w:val="center"/>
        <w:rPr>
          <w:rFonts w:ascii="Times New Roman" w:hAnsi="Times New Roman" w:eastAsia="华文新魏"/>
          <w:color w:val="auto"/>
          <w:sz w:val="28"/>
          <w:szCs w:val="28"/>
        </w:rPr>
      </w:pPr>
      <w:r>
        <w:rPr>
          <w:rFonts w:ascii="Times New Roman" w:hAnsi="Times New Roman" w:eastAsia="华文新魏"/>
          <w:color w:val="auto"/>
          <w:sz w:val="28"/>
          <w:szCs w:val="28"/>
        </w:rPr>
        <w:t>202</w:t>
      </w:r>
      <w:r>
        <w:rPr>
          <w:rFonts w:hint="eastAsia" w:ascii="Times New Roman" w:hAnsi="Times New Roman" w:eastAsia="华文新魏"/>
          <w:color w:val="auto"/>
          <w:sz w:val="28"/>
          <w:szCs w:val="28"/>
        </w:rPr>
        <w:t>4</w:t>
      </w:r>
      <w:r>
        <w:rPr>
          <w:rFonts w:ascii="Times New Roman" w:hAnsi="Times New Roman" w:eastAsia="华文新魏"/>
          <w:color w:val="auto"/>
          <w:sz w:val="28"/>
          <w:szCs w:val="28"/>
        </w:rPr>
        <w:t>年</w:t>
      </w:r>
      <w:r>
        <w:rPr>
          <w:rFonts w:hint="eastAsia" w:ascii="Times New Roman" w:hAnsi="Times New Roman" w:eastAsia="华文新魏"/>
          <w:color w:val="auto"/>
          <w:sz w:val="28"/>
          <w:szCs w:val="28"/>
        </w:rPr>
        <w:t>3</w:t>
      </w:r>
      <w:r>
        <w:rPr>
          <w:rFonts w:ascii="Times New Roman" w:hAnsi="Times New Roman" w:eastAsia="华文新魏"/>
          <w:color w:val="auto"/>
          <w:sz w:val="28"/>
          <w:szCs w:val="28"/>
        </w:rPr>
        <w:t>月</w:t>
      </w:r>
    </w:p>
    <w:p>
      <w:pPr>
        <w:rPr>
          <w:rFonts w:ascii="Times New Roman" w:hAnsi="Times New Roman" w:eastAsia="华文新魏"/>
          <w:color w:val="auto"/>
          <w:sz w:val="28"/>
          <w:szCs w:val="28"/>
        </w:rPr>
      </w:pPr>
    </w:p>
    <w:p>
      <w:pPr>
        <w:bidi w:val="0"/>
        <w:rPr>
          <w:color w:val="auto"/>
        </w:rPr>
      </w:pPr>
    </w:p>
    <w:p>
      <w:pPr>
        <w:spacing w:before="0" w:beforeLines="0" w:after="0" w:afterLines="0" w:line="240" w:lineRule="auto"/>
        <w:ind w:left="0" w:leftChars="0" w:right="0" w:rightChars="0" w:firstLine="0" w:firstLineChars="0"/>
        <w:jc w:val="center"/>
        <w:rPr>
          <w:rFonts w:hint="default" w:ascii="Times New Roman" w:hAnsi="Times New Roman" w:eastAsia="黑体" w:cs="Times New Roman"/>
          <w:color w:val="auto"/>
          <w:sz w:val="32"/>
          <w:szCs w:val="32"/>
          <w:lang w:val="en-US" w:eastAsia="zh-CN" w:bidi="ar-SA"/>
        </w:rPr>
        <w:sectPr>
          <w:headerReference r:id="rId4" w:type="default"/>
          <w:footerReference r:id="rId5" w:type="default"/>
          <w:pgSz w:w="11906" w:h="16838"/>
          <w:pgMar w:top="1440" w:right="1080" w:bottom="1440" w:left="1080" w:header="708" w:footer="708" w:gutter="0"/>
          <w:pgBorders>
            <w:top w:val="none" w:sz="0" w:space="0"/>
            <w:left w:val="none" w:sz="0" w:space="0"/>
            <w:bottom w:val="none" w:sz="0" w:space="0"/>
            <w:right w:val="none" w:sz="0" w:space="0"/>
          </w:pgBorders>
          <w:pgNumType w:fmt="upperRoman" w:start="1"/>
          <w:cols w:space="720" w:num="1"/>
          <w:docGrid w:linePitch="360" w:charSpace="0"/>
        </w:sectPr>
      </w:pPr>
      <w:r>
        <w:rPr>
          <w:rFonts w:hint="default" w:ascii="Times New Roman" w:hAnsi="Times New Roman" w:eastAsia="黑体" w:cs="Times New Roman"/>
          <w:color w:val="auto"/>
          <w:sz w:val="32"/>
          <w:szCs w:val="32"/>
          <w:lang w:val="en-US" w:eastAsia="zh-CN" w:bidi="ar-SA"/>
        </w:rPr>
        <w:drawing>
          <wp:inline distT="0" distB="0" distL="114300" distR="114300">
            <wp:extent cx="6186805" cy="8509000"/>
            <wp:effectExtent l="0" t="0" r="635" b="10160"/>
            <wp:docPr id="16" name="图片 16" descr="8e52935ab77ed5576a8ca980d1637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e52935ab77ed5576a8ca980d1637ed"/>
                    <pic:cNvPicPr>
                      <a:picLocks noChangeAspect="1"/>
                    </pic:cNvPicPr>
                  </pic:nvPicPr>
                  <pic:blipFill>
                    <a:blip r:embed="rId13"/>
                    <a:stretch>
                      <a:fillRect/>
                    </a:stretch>
                  </pic:blipFill>
                  <pic:spPr>
                    <a:xfrm>
                      <a:off x="0" y="0"/>
                      <a:ext cx="6186805" cy="8509000"/>
                    </a:xfrm>
                    <a:prstGeom prst="rect">
                      <a:avLst/>
                    </a:prstGeom>
                  </pic:spPr>
                </pic:pic>
              </a:graphicData>
            </a:graphic>
          </wp:inline>
        </w:drawing>
      </w:r>
    </w:p>
    <w:p>
      <w:pPr>
        <w:pStyle w:val="6"/>
        <w:rPr>
          <w:rFonts w:ascii="Times New Roman" w:hAnsi="Times New Roman" w:eastAsia="华文新魏"/>
          <w:color w:val="auto"/>
          <w:szCs w:val="28"/>
        </w:rPr>
      </w:pPr>
    </w:p>
    <w:sdt>
      <w:sdtPr>
        <w:rPr>
          <w:rFonts w:hint="eastAsia" w:ascii="宋体" w:hAnsi="宋体" w:eastAsia="宋体" w:cs="宋体"/>
          <w:b/>
          <w:bCs/>
          <w:color w:val="auto"/>
          <w:kern w:val="44"/>
          <w:sz w:val="36"/>
          <w:szCs w:val="36"/>
        </w:rPr>
        <w:id w:val="147458046"/>
        <w15:color w:val="DBDBDB"/>
        <w:docPartObj>
          <w:docPartGallery w:val="Table of Contents"/>
          <w:docPartUnique/>
        </w:docPartObj>
      </w:sdtPr>
      <w:sdtEndPr>
        <w:rPr>
          <w:rFonts w:hint="eastAsia" w:ascii="宋体" w:hAnsi="宋体" w:eastAsia="宋体" w:cs="宋体"/>
          <w:b w:val="0"/>
          <w:bCs w:val="0"/>
          <w:color w:val="auto"/>
          <w:kern w:val="44"/>
          <w:sz w:val="44"/>
          <w:szCs w:val="28"/>
        </w:rPr>
      </w:sdtEndPr>
      <w:sdtContent>
        <w:p>
          <w:pPr>
            <w:spacing w:after="0"/>
            <w:jc w:val="center"/>
            <w:rPr>
              <w:rFonts w:ascii="宋体" w:hAnsi="宋体" w:eastAsia="宋体" w:cs="宋体"/>
              <w:b/>
              <w:bCs/>
              <w:color w:val="auto"/>
              <w:sz w:val="36"/>
              <w:szCs w:val="36"/>
            </w:rPr>
          </w:pPr>
          <w:r>
            <w:rPr>
              <w:rFonts w:hint="eastAsia" w:ascii="宋体" w:hAnsi="宋体" w:eastAsia="宋体" w:cs="宋体"/>
              <w:b/>
              <w:bCs/>
              <w:color w:val="auto"/>
              <w:sz w:val="36"/>
              <w:szCs w:val="36"/>
            </w:rPr>
            <w:t>目  录</w:t>
          </w:r>
        </w:p>
        <w:p>
          <w:pPr>
            <w:pStyle w:val="20"/>
            <w:tabs>
              <w:tab w:val="right" w:leader="dot" w:pos="9746"/>
            </w:tabs>
            <w:rPr>
              <w:color w:val="auto"/>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color w:val="auto"/>
            </w:rPr>
            <w:fldChar w:fldCharType="begin"/>
          </w:r>
          <w:r>
            <w:rPr>
              <w:color w:val="auto"/>
            </w:rPr>
            <w:instrText xml:space="preserve"> HYPERLINK \l "_Toc3188" </w:instrText>
          </w:r>
          <w:r>
            <w:rPr>
              <w:color w:val="auto"/>
            </w:rPr>
            <w:fldChar w:fldCharType="separate"/>
          </w:r>
          <w:r>
            <w:rPr>
              <w:rFonts w:ascii="Times New Roman" w:hAnsi="Times New Roman" w:eastAsia="黑体"/>
              <w:color w:val="auto"/>
              <w:szCs w:val="28"/>
            </w:rPr>
            <w:t>表一</w:t>
          </w:r>
          <w:r>
            <w:rPr>
              <w:color w:val="auto"/>
            </w:rPr>
            <w:tab/>
          </w:r>
          <w:r>
            <w:rPr>
              <w:color w:val="auto"/>
            </w:rPr>
            <w:fldChar w:fldCharType="begin"/>
          </w:r>
          <w:r>
            <w:rPr>
              <w:color w:val="auto"/>
            </w:rPr>
            <w:instrText xml:space="preserve"> PAGEREF _Toc3188 \h </w:instrText>
          </w:r>
          <w:r>
            <w:rPr>
              <w:color w:val="auto"/>
            </w:rPr>
            <w:fldChar w:fldCharType="separate"/>
          </w:r>
          <w:r>
            <w:rPr>
              <w:color w:val="auto"/>
            </w:rPr>
            <w:t>1</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"_Toc25261" </w:instrText>
          </w:r>
          <w:r>
            <w:rPr>
              <w:color w:val="auto"/>
            </w:rPr>
            <w:fldChar w:fldCharType="separate"/>
          </w:r>
          <w:r>
            <w:rPr>
              <w:rFonts w:ascii="Times New Roman" w:hAnsi="Times New Roman" w:eastAsia="黑体"/>
              <w:color w:val="auto"/>
              <w:szCs w:val="28"/>
            </w:rPr>
            <w:t>续表一</w:t>
          </w:r>
          <w:r>
            <w:rPr>
              <w:color w:val="auto"/>
            </w:rPr>
            <w:tab/>
          </w:r>
          <w:r>
            <w:rPr>
              <w:color w:val="auto"/>
            </w:rPr>
            <w:fldChar w:fldCharType="begin"/>
          </w:r>
          <w:r>
            <w:rPr>
              <w:color w:val="auto"/>
            </w:rPr>
            <w:instrText xml:space="preserve"> PAGEREF _Toc25261 \h </w:instrText>
          </w:r>
          <w:r>
            <w:rPr>
              <w:color w:val="auto"/>
            </w:rPr>
            <w:fldChar w:fldCharType="separate"/>
          </w:r>
          <w:r>
            <w:rPr>
              <w:color w:val="auto"/>
            </w:rPr>
            <w:t>2</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"_Toc19057" </w:instrText>
          </w:r>
          <w:r>
            <w:rPr>
              <w:color w:val="auto"/>
            </w:rPr>
            <w:fldChar w:fldCharType="separate"/>
          </w:r>
          <w:r>
            <w:rPr>
              <w:rFonts w:ascii="Times New Roman" w:hAnsi="Times New Roman" w:eastAsia="黑体"/>
              <w:color w:val="auto"/>
              <w:szCs w:val="28"/>
            </w:rPr>
            <w:t>表二</w:t>
          </w:r>
          <w:r>
            <w:rPr>
              <w:color w:val="auto"/>
            </w:rPr>
            <w:tab/>
          </w:r>
          <w:r>
            <w:rPr>
              <w:color w:val="auto"/>
            </w:rPr>
            <w:fldChar w:fldCharType="begin"/>
          </w:r>
          <w:r>
            <w:rPr>
              <w:color w:val="auto"/>
            </w:rPr>
            <w:instrText xml:space="preserve"> PAGEREF _Toc19057 \h </w:instrText>
          </w:r>
          <w:r>
            <w:rPr>
              <w:color w:val="auto"/>
            </w:rPr>
            <w:fldChar w:fldCharType="separate"/>
          </w:r>
          <w:r>
            <w:rPr>
              <w:color w:val="auto"/>
            </w:rPr>
            <w:t>3</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"_Toc20428" </w:instrText>
          </w:r>
          <w:r>
            <w:rPr>
              <w:color w:val="auto"/>
            </w:rPr>
            <w:fldChar w:fldCharType="separate"/>
          </w:r>
          <w:r>
            <w:rPr>
              <w:rFonts w:ascii="Times New Roman" w:hAnsi="Times New Roman" w:eastAsia="黑体"/>
              <w:color w:val="auto"/>
              <w:szCs w:val="28"/>
            </w:rPr>
            <w:t>表三</w:t>
          </w:r>
          <w:r>
            <w:rPr>
              <w:color w:val="auto"/>
            </w:rPr>
            <w:tab/>
          </w:r>
          <w:r>
            <w:rPr>
              <w:color w:val="auto"/>
            </w:rPr>
            <w:fldChar w:fldCharType="begin"/>
          </w:r>
          <w:r>
            <w:rPr>
              <w:color w:val="auto"/>
            </w:rPr>
            <w:instrText xml:space="preserve"> PAGEREF _Toc20428 \h </w:instrText>
          </w:r>
          <w:r>
            <w:rPr>
              <w:color w:val="auto"/>
            </w:rPr>
            <w:fldChar w:fldCharType="separate"/>
          </w:r>
          <w:r>
            <w:rPr>
              <w:color w:val="auto"/>
            </w:rPr>
            <w:t>6</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"_Toc22011" </w:instrText>
          </w:r>
          <w:r>
            <w:rPr>
              <w:color w:val="auto"/>
            </w:rPr>
            <w:fldChar w:fldCharType="separate"/>
          </w:r>
          <w:r>
            <w:rPr>
              <w:rFonts w:ascii="Times New Roman" w:hAnsi="Times New Roman" w:eastAsia="黑体"/>
              <w:color w:val="auto"/>
              <w:szCs w:val="28"/>
            </w:rPr>
            <w:t>表四</w:t>
          </w:r>
          <w:r>
            <w:rPr>
              <w:color w:val="auto"/>
            </w:rPr>
            <w:tab/>
          </w:r>
          <w:r>
            <w:rPr>
              <w:color w:val="auto"/>
            </w:rPr>
            <w:fldChar w:fldCharType="begin"/>
          </w:r>
          <w:r>
            <w:rPr>
              <w:color w:val="auto"/>
            </w:rPr>
            <w:instrText xml:space="preserve"> PAGEREF _Toc22011 \h </w:instrText>
          </w:r>
          <w:r>
            <w:rPr>
              <w:color w:val="auto"/>
            </w:rPr>
            <w:fldChar w:fldCharType="separate"/>
          </w:r>
          <w:r>
            <w:rPr>
              <w:color w:val="auto"/>
            </w:rPr>
            <w:t>8</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"_Toc23581" </w:instrText>
          </w:r>
          <w:r>
            <w:rPr>
              <w:color w:val="auto"/>
            </w:rPr>
            <w:fldChar w:fldCharType="separate"/>
          </w:r>
          <w:r>
            <w:rPr>
              <w:rFonts w:ascii="Times New Roman" w:hAnsi="Times New Roman" w:eastAsia="黑体"/>
              <w:color w:val="auto"/>
              <w:szCs w:val="28"/>
            </w:rPr>
            <w:t>表五</w:t>
          </w:r>
          <w:r>
            <w:rPr>
              <w:color w:val="auto"/>
            </w:rPr>
            <w:tab/>
          </w:r>
          <w:r>
            <w:rPr>
              <w:color w:val="auto"/>
            </w:rPr>
            <w:fldChar w:fldCharType="begin"/>
          </w:r>
          <w:r>
            <w:rPr>
              <w:color w:val="auto"/>
            </w:rPr>
            <w:instrText xml:space="preserve"> PAGEREF _Toc23581 \h </w:instrText>
          </w:r>
          <w:r>
            <w:rPr>
              <w:color w:val="auto"/>
            </w:rPr>
            <w:fldChar w:fldCharType="separate"/>
          </w:r>
          <w:r>
            <w:rPr>
              <w:color w:val="auto"/>
            </w:rPr>
            <w:t>11</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"_Toc11608" </w:instrText>
          </w:r>
          <w:r>
            <w:rPr>
              <w:color w:val="auto"/>
            </w:rPr>
            <w:fldChar w:fldCharType="separate"/>
          </w:r>
          <w:r>
            <w:rPr>
              <w:rFonts w:ascii="Times New Roman" w:hAnsi="Times New Roman" w:eastAsia="黑体"/>
              <w:color w:val="auto"/>
              <w:szCs w:val="28"/>
            </w:rPr>
            <w:t>表六</w:t>
          </w:r>
          <w:r>
            <w:rPr>
              <w:color w:val="auto"/>
            </w:rPr>
            <w:tab/>
          </w:r>
          <w:r>
            <w:rPr>
              <w:color w:val="auto"/>
            </w:rPr>
            <w:fldChar w:fldCharType="begin"/>
          </w:r>
          <w:r>
            <w:rPr>
              <w:color w:val="auto"/>
            </w:rPr>
            <w:instrText xml:space="preserve"> PAGEREF _Toc11608 \h </w:instrText>
          </w:r>
          <w:r>
            <w:rPr>
              <w:color w:val="auto"/>
            </w:rPr>
            <w:fldChar w:fldCharType="separate"/>
          </w:r>
          <w:r>
            <w:rPr>
              <w:color w:val="auto"/>
            </w:rPr>
            <w:t>12</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"_Toc17845" </w:instrText>
          </w:r>
          <w:r>
            <w:rPr>
              <w:color w:val="auto"/>
            </w:rPr>
            <w:fldChar w:fldCharType="separate"/>
          </w:r>
          <w:r>
            <w:rPr>
              <w:rFonts w:ascii="Times New Roman" w:hAnsi="Times New Roman" w:eastAsia="黑体"/>
              <w:color w:val="auto"/>
              <w:szCs w:val="28"/>
            </w:rPr>
            <w:t>表七</w:t>
          </w:r>
          <w:r>
            <w:rPr>
              <w:color w:val="auto"/>
            </w:rPr>
            <w:tab/>
          </w:r>
          <w:r>
            <w:rPr>
              <w:color w:val="auto"/>
            </w:rPr>
            <w:fldChar w:fldCharType="begin"/>
          </w:r>
          <w:r>
            <w:rPr>
              <w:color w:val="auto"/>
            </w:rPr>
            <w:instrText xml:space="preserve"> PAGEREF _Toc17845 \h </w:instrText>
          </w:r>
          <w:r>
            <w:rPr>
              <w:color w:val="auto"/>
            </w:rPr>
            <w:fldChar w:fldCharType="separate"/>
          </w:r>
          <w:r>
            <w:rPr>
              <w:color w:val="auto"/>
            </w:rPr>
            <w:t>13</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"_Toc29606" </w:instrText>
          </w:r>
          <w:r>
            <w:rPr>
              <w:color w:val="auto"/>
            </w:rPr>
            <w:fldChar w:fldCharType="separate"/>
          </w:r>
          <w:r>
            <w:rPr>
              <w:rFonts w:ascii="Times New Roman" w:hAnsi="Times New Roman" w:eastAsia="黑体"/>
              <w:color w:val="auto"/>
              <w:szCs w:val="28"/>
            </w:rPr>
            <w:t>表八</w:t>
          </w:r>
          <w:r>
            <w:rPr>
              <w:color w:val="auto"/>
            </w:rPr>
            <w:tab/>
          </w:r>
          <w:r>
            <w:rPr>
              <w:color w:val="auto"/>
            </w:rPr>
            <w:fldChar w:fldCharType="begin"/>
          </w:r>
          <w:r>
            <w:rPr>
              <w:color w:val="auto"/>
            </w:rPr>
            <w:instrText xml:space="preserve"> PAGEREF _Toc29606 \h </w:instrText>
          </w:r>
          <w:r>
            <w:rPr>
              <w:color w:val="auto"/>
            </w:rPr>
            <w:fldChar w:fldCharType="separate"/>
          </w:r>
          <w:r>
            <w:rPr>
              <w:color w:val="auto"/>
            </w:rPr>
            <w:t>17</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"_Toc29479" </w:instrText>
          </w:r>
          <w:r>
            <w:rPr>
              <w:color w:val="auto"/>
            </w:rPr>
            <w:fldChar w:fldCharType="separate"/>
          </w:r>
          <w:r>
            <w:rPr>
              <w:rFonts w:ascii="Times New Roman" w:hAnsi="Times New Roman"/>
              <w:color w:val="auto"/>
              <w:szCs w:val="28"/>
            </w:rPr>
            <w:t>附图1：项目地理位置图</w:t>
          </w:r>
          <w:r>
            <w:rPr>
              <w:color w:val="auto"/>
            </w:rPr>
            <w:tab/>
          </w:r>
          <w:r>
            <w:rPr>
              <w:color w:val="auto"/>
            </w:rPr>
            <w:fldChar w:fldCharType="begin"/>
          </w:r>
          <w:r>
            <w:rPr>
              <w:color w:val="auto"/>
            </w:rPr>
            <w:instrText xml:space="preserve"> PAGEREF _Toc29479 \h </w:instrText>
          </w:r>
          <w:r>
            <w:rPr>
              <w:color w:val="auto"/>
            </w:rPr>
            <w:fldChar w:fldCharType="separate"/>
          </w:r>
          <w:r>
            <w:rPr>
              <w:color w:val="auto"/>
            </w:rPr>
            <w:t>20</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"_Toc19797" </w:instrText>
          </w:r>
          <w:r>
            <w:rPr>
              <w:color w:val="auto"/>
            </w:rPr>
            <w:fldChar w:fldCharType="separate"/>
          </w:r>
          <w:r>
            <w:rPr>
              <w:rFonts w:ascii="Times New Roman" w:hAnsi="Times New Roman" w:eastAsia="宋体"/>
              <w:color w:val="auto"/>
              <w:szCs w:val="28"/>
            </w:rPr>
            <w:t>附图2：总平面布置图</w:t>
          </w:r>
          <w:r>
            <w:rPr>
              <w:color w:val="auto"/>
            </w:rPr>
            <w:tab/>
          </w:r>
          <w:r>
            <w:rPr>
              <w:color w:val="auto"/>
            </w:rPr>
            <w:fldChar w:fldCharType="begin"/>
          </w:r>
          <w:r>
            <w:rPr>
              <w:color w:val="auto"/>
            </w:rPr>
            <w:instrText xml:space="preserve"> PAGEREF _Toc19797 \h </w:instrText>
          </w:r>
          <w:r>
            <w:rPr>
              <w:color w:val="auto"/>
            </w:rPr>
            <w:fldChar w:fldCharType="separate"/>
          </w:r>
          <w:r>
            <w:rPr>
              <w:color w:val="auto"/>
            </w:rPr>
            <w:t>21</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"_Toc5804" </w:instrText>
          </w:r>
          <w:r>
            <w:rPr>
              <w:color w:val="auto"/>
            </w:rPr>
            <w:fldChar w:fldCharType="separate"/>
          </w:r>
          <w:r>
            <w:rPr>
              <w:rFonts w:ascii="Times New Roman" w:hAnsi="Times New Roman" w:eastAsia="宋体"/>
              <w:color w:val="auto"/>
              <w:szCs w:val="28"/>
            </w:rPr>
            <w:t>附图3：项目现场照片</w:t>
          </w:r>
          <w:r>
            <w:rPr>
              <w:color w:val="auto"/>
            </w:rPr>
            <w:tab/>
          </w:r>
          <w:r>
            <w:rPr>
              <w:color w:val="auto"/>
            </w:rPr>
            <w:fldChar w:fldCharType="begin"/>
          </w:r>
          <w:r>
            <w:rPr>
              <w:color w:val="auto"/>
            </w:rPr>
            <w:instrText xml:space="preserve"> PAGEREF _Toc5804 \h </w:instrText>
          </w:r>
          <w:r>
            <w:rPr>
              <w:color w:val="auto"/>
            </w:rPr>
            <w:fldChar w:fldCharType="separate"/>
          </w:r>
          <w:r>
            <w:rPr>
              <w:color w:val="auto"/>
            </w:rPr>
            <w:t>22</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"_Toc19765" </w:instrText>
          </w:r>
          <w:r>
            <w:rPr>
              <w:color w:val="auto"/>
            </w:rPr>
            <w:fldChar w:fldCharType="separate"/>
          </w:r>
          <w:r>
            <w:rPr>
              <w:rFonts w:ascii="Times New Roman" w:hAnsi="Times New Roman" w:eastAsia="宋体"/>
              <w:color w:val="auto"/>
              <w:szCs w:val="28"/>
            </w:rPr>
            <w:t>附件1：环评批复</w:t>
          </w:r>
          <w:r>
            <w:rPr>
              <w:color w:val="auto"/>
            </w:rPr>
            <w:tab/>
          </w:r>
          <w:r>
            <w:rPr>
              <w:color w:val="auto"/>
            </w:rPr>
            <w:fldChar w:fldCharType="begin"/>
          </w:r>
          <w:r>
            <w:rPr>
              <w:color w:val="auto"/>
            </w:rPr>
            <w:instrText xml:space="preserve"> PAGEREF _Toc19765 \h </w:instrText>
          </w:r>
          <w:r>
            <w:rPr>
              <w:color w:val="auto"/>
            </w:rPr>
            <w:fldChar w:fldCharType="separate"/>
          </w:r>
          <w:r>
            <w:rPr>
              <w:color w:val="auto"/>
            </w:rPr>
            <w:t>24</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"_Toc25440" </w:instrText>
          </w:r>
          <w:r>
            <w:rPr>
              <w:color w:val="auto"/>
            </w:rPr>
            <w:fldChar w:fldCharType="separate"/>
          </w:r>
          <w:r>
            <w:rPr>
              <w:rFonts w:ascii="Times New Roman" w:hAnsi="Times New Roman"/>
              <w:bCs/>
              <w:color w:val="auto"/>
              <w:szCs w:val="28"/>
            </w:rPr>
            <w:t>附件</w:t>
          </w:r>
          <w:r>
            <w:rPr>
              <w:rFonts w:hint="eastAsia" w:ascii="Times New Roman" w:hAnsi="Times New Roman"/>
              <w:bCs/>
              <w:color w:val="auto"/>
              <w:szCs w:val="28"/>
            </w:rPr>
            <w:t>2</w:t>
          </w:r>
          <w:r>
            <w:rPr>
              <w:rFonts w:ascii="Times New Roman" w:hAnsi="Times New Roman"/>
              <w:bCs/>
              <w:color w:val="auto"/>
              <w:szCs w:val="28"/>
            </w:rPr>
            <w:t>：</w:t>
          </w:r>
          <w:r>
            <w:rPr>
              <w:rFonts w:hint="eastAsia" w:ascii="Times New Roman" w:hAnsi="Times New Roman"/>
              <w:bCs/>
              <w:color w:val="auto"/>
              <w:szCs w:val="28"/>
            </w:rPr>
            <w:t>排污许可证</w:t>
          </w:r>
          <w:r>
            <w:rPr>
              <w:color w:val="auto"/>
            </w:rPr>
            <w:tab/>
          </w:r>
          <w:r>
            <w:rPr>
              <w:color w:val="auto"/>
            </w:rPr>
            <w:fldChar w:fldCharType="begin"/>
          </w:r>
          <w:r>
            <w:rPr>
              <w:color w:val="auto"/>
            </w:rPr>
            <w:instrText xml:space="preserve"> PAGEREF _Toc25440 \h </w:instrText>
          </w:r>
          <w:r>
            <w:rPr>
              <w:color w:val="auto"/>
            </w:rPr>
            <w:fldChar w:fldCharType="separate"/>
          </w:r>
          <w:r>
            <w:rPr>
              <w:color w:val="auto"/>
            </w:rPr>
            <w:t>27</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"_Toc11658" </w:instrText>
          </w:r>
          <w:r>
            <w:rPr>
              <w:color w:val="auto"/>
            </w:rPr>
            <w:fldChar w:fldCharType="separate"/>
          </w:r>
          <w:r>
            <w:rPr>
              <w:rFonts w:ascii="Times New Roman" w:hAnsi="Times New Roman" w:eastAsia="宋体"/>
              <w:bCs/>
              <w:color w:val="auto"/>
              <w:szCs w:val="28"/>
            </w:rPr>
            <w:t>附件</w:t>
          </w:r>
          <w:r>
            <w:rPr>
              <w:rFonts w:hint="eastAsia" w:ascii="Times New Roman" w:hAnsi="Times New Roman" w:eastAsia="宋体"/>
              <w:bCs/>
              <w:color w:val="auto"/>
              <w:szCs w:val="28"/>
            </w:rPr>
            <w:t>3</w:t>
          </w:r>
          <w:r>
            <w:rPr>
              <w:rFonts w:ascii="Times New Roman" w:hAnsi="Times New Roman" w:eastAsia="宋体"/>
              <w:bCs/>
              <w:color w:val="auto"/>
              <w:szCs w:val="28"/>
            </w:rPr>
            <w:t>：</w:t>
          </w:r>
          <w:r>
            <w:rPr>
              <w:rFonts w:hint="eastAsia" w:ascii="Times New Roman" w:hAnsi="Times New Roman" w:eastAsia="宋体"/>
              <w:bCs/>
              <w:color w:val="auto"/>
              <w:szCs w:val="28"/>
            </w:rPr>
            <w:t>监测单位纸质</w:t>
          </w:r>
          <w:r>
            <w:rPr>
              <w:color w:val="auto"/>
            </w:rPr>
            <w:tab/>
          </w:r>
          <w:r>
            <w:rPr>
              <w:color w:val="auto"/>
            </w:rPr>
            <w:fldChar w:fldCharType="begin"/>
          </w:r>
          <w:r>
            <w:rPr>
              <w:color w:val="auto"/>
            </w:rPr>
            <w:instrText xml:space="preserve"> PAGEREF _Toc11658 \h </w:instrText>
          </w:r>
          <w:r>
            <w:rPr>
              <w:color w:val="auto"/>
            </w:rPr>
            <w:fldChar w:fldCharType="separate"/>
          </w:r>
          <w:r>
            <w:rPr>
              <w:color w:val="auto"/>
            </w:rPr>
            <w:t>28</w:t>
          </w:r>
          <w:r>
            <w:rPr>
              <w:color w:val="auto"/>
            </w:rPr>
            <w:fldChar w:fldCharType="end"/>
          </w:r>
          <w:r>
            <w:rPr>
              <w:color w:val="auto"/>
            </w:rPr>
            <w:fldChar w:fldCharType="end"/>
          </w:r>
        </w:p>
        <w:p>
          <w:pPr>
            <w:pStyle w:val="20"/>
            <w:tabs>
              <w:tab w:val="right" w:leader="dot" w:pos="9746"/>
            </w:tabs>
            <w:rPr>
              <w:color w:val="auto"/>
            </w:rPr>
          </w:pPr>
          <w:r>
            <w:rPr>
              <w:color w:val="auto"/>
            </w:rPr>
            <w:fldChar w:fldCharType="begin"/>
          </w:r>
          <w:r>
            <w:rPr>
              <w:color w:val="auto"/>
            </w:rPr>
            <w:instrText xml:space="preserve"> HYPERLINK \l "_Toc17962" </w:instrText>
          </w:r>
          <w:r>
            <w:rPr>
              <w:color w:val="auto"/>
            </w:rPr>
            <w:fldChar w:fldCharType="separate"/>
          </w:r>
          <w:r>
            <w:rPr>
              <w:rFonts w:ascii="Times New Roman" w:hAnsi="Times New Roman" w:eastAsia="宋体"/>
              <w:bCs/>
              <w:color w:val="auto"/>
              <w:szCs w:val="28"/>
            </w:rPr>
            <w:t>附件</w:t>
          </w:r>
          <w:r>
            <w:rPr>
              <w:rFonts w:hint="eastAsia" w:ascii="Times New Roman" w:hAnsi="Times New Roman" w:eastAsia="宋体"/>
              <w:bCs/>
              <w:color w:val="auto"/>
              <w:szCs w:val="28"/>
            </w:rPr>
            <w:t>4</w:t>
          </w:r>
          <w:r>
            <w:rPr>
              <w:rFonts w:ascii="Times New Roman" w:hAnsi="Times New Roman" w:eastAsia="宋体"/>
              <w:bCs/>
              <w:color w:val="auto"/>
              <w:szCs w:val="28"/>
            </w:rPr>
            <w:t>：</w:t>
          </w:r>
          <w:r>
            <w:rPr>
              <w:rFonts w:hint="eastAsia" w:ascii="Times New Roman" w:hAnsi="Times New Roman" w:eastAsia="宋体"/>
              <w:bCs/>
              <w:color w:val="auto"/>
              <w:szCs w:val="28"/>
            </w:rPr>
            <w:t>监测报告</w:t>
          </w:r>
          <w:r>
            <w:rPr>
              <w:color w:val="auto"/>
            </w:rPr>
            <w:tab/>
          </w:r>
          <w:r>
            <w:rPr>
              <w:color w:val="auto"/>
            </w:rPr>
            <w:fldChar w:fldCharType="begin"/>
          </w:r>
          <w:r>
            <w:rPr>
              <w:color w:val="auto"/>
            </w:rPr>
            <w:instrText xml:space="preserve"> PAGEREF _Toc17962 \h </w:instrText>
          </w:r>
          <w:r>
            <w:rPr>
              <w:color w:val="auto"/>
            </w:rPr>
            <w:fldChar w:fldCharType="separate"/>
          </w:r>
          <w:r>
            <w:rPr>
              <w:color w:val="auto"/>
            </w:rPr>
            <w:t>29</w:t>
          </w:r>
          <w:r>
            <w:rPr>
              <w:color w:val="auto"/>
            </w:rPr>
            <w:fldChar w:fldCharType="end"/>
          </w:r>
          <w:r>
            <w:rPr>
              <w:color w:val="auto"/>
            </w:rPr>
            <w:fldChar w:fldCharType="end"/>
          </w:r>
        </w:p>
        <w:p>
          <w:pPr>
            <w:pStyle w:val="2"/>
            <w:spacing w:before="0" w:after="0" w:line="240" w:lineRule="auto"/>
            <w:rPr>
              <w:rFonts w:ascii="宋体" w:hAnsi="宋体" w:eastAsia="宋体" w:cs="宋体"/>
              <w:b w:val="0"/>
              <w:bCs w:val="0"/>
              <w:color w:val="auto"/>
              <w:sz w:val="28"/>
              <w:szCs w:val="28"/>
            </w:rPr>
            <w:sectPr>
              <w:headerReference r:id="rId6" w:type="default"/>
              <w:footerReference r:id="rId7" w:type="default"/>
              <w:pgSz w:w="11906" w:h="16838"/>
              <w:pgMar w:top="1440" w:right="1080" w:bottom="1440" w:left="1080" w:header="708" w:footer="708" w:gutter="0"/>
              <w:pgNumType w:fmt="upperRoman" w:start="1"/>
              <w:cols w:space="720" w:num="1"/>
              <w:docGrid w:linePitch="360" w:charSpace="0"/>
            </w:sectPr>
          </w:pPr>
          <w:r>
            <w:rPr>
              <w:rFonts w:hint="eastAsia" w:ascii="宋体" w:hAnsi="宋体" w:eastAsia="宋体" w:cs="宋体"/>
              <w:bCs w:val="0"/>
              <w:color w:val="auto"/>
              <w:szCs w:val="28"/>
            </w:rPr>
            <w:fldChar w:fldCharType="end"/>
          </w:r>
        </w:p>
      </w:sdtContent>
    </w:sdt>
    <w:p>
      <w:pPr>
        <w:pStyle w:val="2"/>
        <w:spacing w:before="0" w:after="0" w:line="240" w:lineRule="auto"/>
        <w:rPr>
          <w:rFonts w:ascii="Times New Roman" w:hAnsi="Times New Roman" w:eastAsia="黑体"/>
          <w:b w:val="0"/>
          <w:bCs w:val="0"/>
          <w:color w:val="auto"/>
          <w:sz w:val="28"/>
          <w:szCs w:val="28"/>
        </w:rPr>
      </w:pPr>
      <w:bookmarkStart w:id="0" w:name="_Toc3188"/>
      <w:r>
        <w:rPr>
          <w:rFonts w:ascii="Times New Roman" w:hAnsi="Times New Roman" w:eastAsia="黑体"/>
          <w:b w:val="0"/>
          <w:bCs w:val="0"/>
          <w:color w:val="auto"/>
          <w:sz w:val="28"/>
          <w:szCs w:val="28"/>
        </w:rPr>
        <w:t>表一</w:t>
      </w:r>
      <w:bookmarkEnd w:id="0"/>
    </w:p>
    <w:tbl>
      <w:tblPr>
        <w:tblStyle w:val="27"/>
        <w:tblW w:w="10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550"/>
        <w:gridCol w:w="2376"/>
        <w:gridCol w:w="1164"/>
        <w:gridCol w:w="904"/>
        <w:gridCol w:w="122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建设项目名称</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2021年黑龙江省共青农场粮食基地库维修及设备购置建设项目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建设单位名称</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lang w:val="zh-CN"/>
              </w:rPr>
              <w:t>北大荒集团黑龙江共青农场粮贸中心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建设项目性质</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新建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建设地点</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黑龙江省萝北县共青农场场部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主要产品名称</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玉米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设计生产能力</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烘干玉米30000t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实际生产能力</w:t>
            </w:r>
          </w:p>
        </w:tc>
        <w:tc>
          <w:tcPr>
            <w:tcW w:w="8217" w:type="dxa"/>
            <w:gridSpan w:val="5"/>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烘干玉米30000t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建设项目环评时间</w:t>
            </w:r>
          </w:p>
        </w:tc>
        <w:tc>
          <w:tcPr>
            <w:tcW w:w="2550"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202</w:t>
            </w:r>
            <w:r>
              <w:rPr>
                <w:rFonts w:hint="eastAsia" w:ascii="Times New Roman" w:hAnsi="Times New Roman" w:eastAsia="宋体"/>
                <w:color w:val="auto"/>
                <w:sz w:val="24"/>
                <w:szCs w:val="24"/>
              </w:rPr>
              <w:t>2</w:t>
            </w:r>
            <w:r>
              <w:rPr>
                <w:rFonts w:ascii="Times New Roman" w:hAnsi="Times New Roman" w:eastAsia="宋体"/>
                <w:color w:val="auto"/>
                <w:sz w:val="24"/>
                <w:szCs w:val="24"/>
              </w:rPr>
              <w:t>年</w:t>
            </w:r>
            <w:r>
              <w:rPr>
                <w:rFonts w:hint="eastAsia" w:ascii="Times New Roman" w:hAnsi="Times New Roman" w:eastAsia="宋体"/>
                <w:color w:val="auto"/>
                <w:sz w:val="24"/>
                <w:szCs w:val="24"/>
              </w:rPr>
              <w:t>8</w:t>
            </w:r>
            <w:r>
              <w:rPr>
                <w:rFonts w:ascii="Times New Roman" w:hAnsi="Times New Roman" w:eastAsia="宋体"/>
                <w:color w:val="auto"/>
                <w:sz w:val="24"/>
                <w:szCs w:val="24"/>
              </w:rPr>
              <w:t>月</w:t>
            </w:r>
          </w:p>
        </w:tc>
        <w:tc>
          <w:tcPr>
            <w:tcW w:w="2376"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开工建设时间</w:t>
            </w:r>
          </w:p>
        </w:tc>
        <w:tc>
          <w:tcPr>
            <w:tcW w:w="3291" w:type="dxa"/>
            <w:gridSpan w:val="3"/>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2003</w:t>
            </w:r>
            <w:r>
              <w:rPr>
                <w:rFonts w:ascii="Times New Roman" w:hAnsi="Times New Roman" w:eastAsia="宋体"/>
                <w:color w:val="auto"/>
                <w:sz w:val="24"/>
                <w:szCs w:val="24"/>
              </w:rPr>
              <w:t>年</w:t>
            </w:r>
            <w:r>
              <w:rPr>
                <w:rFonts w:hint="eastAsia" w:ascii="Times New Roman" w:hAnsi="Times New Roman" w:eastAsia="宋体"/>
                <w:color w:val="auto"/>
                <w:sz w:val="24"/>
                <w:szCs w:val="24"/>
              </w:rPr>
              <w:t>5</w:t>
            </w:r>
            <w:r>
              <w:rPr>
                <w:rFonts w:ascii="Times New Roman" w:hAnsi="Times New Roman" w:eastAsia="宋体"/>
                <w:color w:val="auto"/>
                <w:sz w:val="24"/>
                <w:szCs w:val="24"/>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调试时间</w:t>
            </w:r>
          </w:p>
        </w:tc>
        <w:tc>
          <w:tcPr>
            <w:tcW w:w="2550"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202</w:t>
            </w:r>
            <w:r>
              <w:rPr>
                <w:rFonts w:hint="eastAsia" w:ascii="Times New Roman" w:hAnsi="Times New Roman" w:eastAsia="宋体"/>
                <w:color w:val="auto"/>
                <w:sz w:val="24"/>
                <w:szCs w:val="24"/>
              </w:rPr>
              <w:t>2</w:t>
            </w:r>
            <w:r>
              <w:rPr>
                <w:rFonts w:ascii="Times New Roman" w:hAnsi="Times New Roman" w:eastAsia="宋体"/>
                <w:color w:val="auto"/>
                <w:sz w:val="24"/>
                <w:szCs w:val="24"/>
              </w:rPr>
              <w:t>年</w:t>
            </w:r>
            <w:r>
              <w:rPr>
                <w:rFonts w:hint="eastAsia" w:ascii="Times New Roman" w:hAnsi="Times New Roman" w:eastAsia="宋体"/>
                <w:color w:val="auto"/>
                <w:sz w:val="24"/>
                <w:szCs w:val="24"/>
              </w:rPr>
              <w:t>12</w:t>
            </w:r>
            <w:r>
              <w:rPr>
                <w:rFonts w:ascii="Times New Roman" w:hAnsi="Times New Roman" w:eastAsia="宋体"/>
                <w:color w:val="auto"/>
                <w:sz w:val="24"/>
                <w:szCs w:val="24"/>
              </w:rPr>
              <w:t>月-202</w:t>
            </w:r>
            <w:r>
              <w:rPr>
                <w:rFonts w:hint="eastAsia" w:ascii="Times New Roman" w:hAnsi="Times New Roman" w:eastAsia="宋体"/>
                <w:color w:val="auto"/>
                <w:sz w:val="24"/>
                <w:szCs w:val="24"/>
              </w:rPr>
              <w:t>3</w:t>
            </w:r>
            <w:r>
              <w:rPr>
                <w:rFonts w:ascii="Times New Roman" w:hAnsi="Times New Roman" w:eastAsia="宋体"/>
                <w:color w:val="auto"/>
                <w:sz w:val="24"/>
                <w:szCs w:val="24"/>
              </w:rPr>
              <w:t>年</w:t>
            </w:r>
            <w:r>
              <w:rPr>
                <w:rFonts w:hint="eastAsia" w:ascii="Times New Roman" w:hAnsi="Times New Roman" w:eastAsia="宋体"/>
                <w:color w:val="auto"/>
                <w:sz w:val="24"/>
                <w:szCs w:val="24"/>
              </w:rPr>
              <w:t>3</w:t>
            </w:r>
            <w:r>
              <w:rPr>
                <w:rFonts w:ascii="Times New Roman" w:hAnsi="Times New Roman" w:eastAsia="宋体"/>
                <w:color w:val="auto"/>
                <w:sz w:val="24"/>
                <w:szCs w:val="24"/>
              </w:rPr>
              <w:t>月</w:t>
            </w:r>
          </w:p>
        </w:tc>
        <w:tc>
          <w:tcPr>
            <w:tcW w:w="2376"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验收现场监测时间</w:t>
            </w:r>
          </w:p>
        </w:tc>
        <w:tc>
          <w:tcPr>
            <w:tcW w:w="3291" w:type="dxa"/>
            <w:gridSpan w:val="3"/>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2024</w:t>
            </w:r>
            <w:r>
              <w:rPr>
                <w:rFonts w:hint="eastAsia" w:ascii="Times New Roman" w:hAnsi="Times New Roman" w:eastAsia="宋体"/>
                <w:color w:val="auto"/>
                <w:sz w:val="24"/>
                <w:szCs w:val="24"/>
              </w:rPr>
              <w:t>年</w:t>
            </w:r>
            <w:r>
              <w:rPr>
                <w:rFonts w:ascii="Times New Roman" w:hAnsi="Times New Roman" w:eastAsia="宋体"/>
                <w:color w:val="auto"/>
                <w:sz w:val="24"/>
                <w:szCs w:val="24"/>
              </w:rPr>
              <w:t>02</w:t>
            </w:r>
            <w:r>
              <w:rPr>
                <w:rFonts w:hint="eastAsia" w:ascii="Times New Roman" w:hAnsi="Times New Roman" w:eastAsia="宋体"/>
                <w:color w:val="auto"/>
                <w:sz w:val="24"/>
                <w:szCs w:val="24"/>
              </w:rPr>
              <w:t>月</w:t>
            </w:r>
            <w:r>
              <w:rPr>
                <w:rFonts w:ascii="Times New Roman" w:hAnsi="Times New Roman" w:eastAsia="宋体"/>
                <w:color w:val="auto"/>
                <w:sz w:val="24"/>
                <w:szCs w:val="24"/>
              </w:rPr>
              <w:t>29</w:t>
            </w:r>
            <w:r>
              <w:rPr>
                <w:rFonts w:hint="eastAsia" w:ascii="Times New Roman" w:hAnsi="Times New Roman" w:eastAsia="宋体"/>
                <w:color w:val="auto"/>
                <w:sz w:val="24"/>
                <w:szCs w:val="24"/>
              </w:rPr>
              <w:t>日</w:t>
            </w:r>
            <w:r>
              <w:rPr>
                <w:rFonts w:ascii="Times New Roman" w:hAnsi="Times New Roman" w:eastAsia="宋体"/>
                <w:color w:val="auto"/>
                <w:sz w:val="24"/>
                <w:szCs w:val="24"/>
              </w:rPr>
              <w:t>-2024</w:t>
            </w:r>
            <w:r>
              <w:rPr>
                <w:rFonts w:hint="eastAsia" w:ascii="Times New Roman" w:hAnsi="Times New Roman" w:eastAsia="宋体"/>
                <w:color w:val="auto"/>
                <w:sz w:val="24"/>
                <w:szCs w:val="24"/>
              </w:rPr>
              <w:t>年</w:t>
            </w:r>
            <w:r>
              <w:rPr>
                <w:rFonts w:ascii="Times New Roman" w:hAnsi="Times New Roman" w:eastAsia="宋体"/>
                <w:color w:val="auto"/>
                <w:sz w:val="24"/>
                <w:szCs w:val="24"/>
              </w:rPr>
              <w:t>03</w:t>
            </w:r>
            <w:r>
              <w:rPr>
                <w:rFonts w:hint="eastAsia" w:ascii="Times New Roman" w:hAnsi="Times New Roman" w:eastAsia="宋体"/>
                <w:color w:val="auto"/>
                <w:sz w:val="24"/>
                <w:szCs w:val="24"/>
              </w:rPr>
              <w:t>月</w:t>
            </w:r>
            <w:r>
              <w:rPr>
                <w:rFonts w:ascii="Times New Roman" w:hAnsi="Times New Roman" w:eastAsia="宋体"/>
                <w:color w:val="auto"/>
                <w:sz w:val="24"/>
                <w:szCs w:val="24"/>
              </w:rPr>
              <w:t>01</w:t>
            </w:r>
            <w:r>
              <w:rPr>
                <w:rFonts w:hint="eastAsia" w:ascii="Times New Roman" w:hAnsi="Times New Roman" w:eastAsia="宋体"/>
                <w:color w:val="auto"/>
                <w:sz w:val="24"/>
                <w:szCs w:val="24"/>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环评报告表</w:t>
            </w:r>
          </w:p>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审批部门</w:t>
            </w:r>
          </w:p>
        </w:tc>
        <w:tc>
          <w:tcPr>
            <w:tcW w:w="2550"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鹤岗市萝北生态环境局</w:t>
            </w:r>
          </w:p>
        </w:tc>
        <w:tc>
          <w:tcPr>
            <w:tcW w:w="2376"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环评报告表</w:t>
            </w:r>
          </w:p>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编制单位</w:t>
            </w:r>
          </w:p>
        </w:tc>
        <w:tc>
          <w:tcPr>
            <w:tcW w:w="3291" w:type="dxa"/>
            <w:gridSpan w:val="3"/>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哈尔滨国环宏节能环保技术有限责任公司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投资总概算</w:t>
            </w:r>
          </w:p>
        </w:tc>
        <w:tc>
          <w:tcPr>
            <w:tcW w:w="2550"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900</w:t>
            </w:r>
            <w:r>
              <w:rPr>
                <w:rFonts w:ascii="Times New Roman" w:hAnsi="Times New Roman" w:eastAsia="宋体"/>
                <w:color w:val="auto"/>
                <w:sz w:val="24"/>
                <w:szCs w:val="24"/>
              </w:rPr>
              <w:t>万元</w:t>
            </w:r>
          </w:p>
        </w:tc>
        <w:tc>
          <w:tcPr>
            <w:tcW w:w="2376"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环保投资总概算</w:t>
            </w:r>
          </w:p>
        </w:tc>
        <w:tc>
          <w:tcPr>
            <w:tcW w:w="1164"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26</w:t>
            </w:r>
            <w:r>
              <w:rPr>
                <w:rFonts w:ascii="Times New Roman" w:hAnsi="Times New Roman" w:eastAsia="宋体"/>
                <w:color w:val="auto"/>
                <w:sz w:val="24"/>
                <w:szCs w:val="24"/>
              </w:rPr>
              <w:t>万元</w:t>
            </w:r>
          </w:p>
        </w:tc>
        <w:tc>
          <w:tcPr>
            <w:tcW w:w="904"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比例</w:t>
            </w:r>
          </w:p>
        </w:tc>
        <w:tc>
          <w:tcPr>
            <w:tcW w:w="1223"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2.89</w:t>
            </w:r>
            <w:r>
              <w:rPr>
                <w:rFonts w:ascii="Times New Roman" w:hAnsi="Times New Roman" w:eastAsia="宋体"/>
                <w:color w:val="auto"/>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实际总投资</w:t>
            </w:r>
          </w:p>
        </w:tc>
        <w:tc>
          <w:tcPr>
            <w:tcW w:w="2550"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900万元</w:t>
            </w:r>
          </w:p>
        </w:tc>
        <w:tc>
          <w:tcPr>
            <w:tcW w:w="2376"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环保投资</w:t>
            </w:r>
          </w:p>
        </w:tc>
        <w:tc>
          <w:tcPr>
            <w:tcW w:w="1164"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26万元</w:t>
            </w:r>
          </w:p>
        </w:tc>
        <w:tc>
          <w:tcPr>
            <w:tcW w:w="904"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比例</w:t>
            </w:r>
          </w:p>
        </w:tc>
        <w:tc>
          <w:tcPr>
            <w:tcW w:w="1223" w:type="dxa"/>
            <w:vAlign w:val="center"/>
          </w:tcPr>
          <w:p>
            <w:pPr>
              <w:spacing w:after="0"/>
              <w:jc w:val="center"/>
              <w:rPr>
                <w:rFonts w:ascii="Times New Roman" w:hAnsi="Times New Roman" w:eastAsia="宋体"/>
                <w:color w:val="auto"/>
                <w:sz w:val="24"/>
                <w:szCs w:val="24"/>
              </w:rPr>
            </w:pPr>
            <w:r>
              <w:rPr>
                <w:rFonts w:hint="eastAsia" w:ascii="Times New Roman" w:hAnsi="Times New Roman" w:eastAsia="宋体"/>
                <w:color w:val="auto"/>
                <w:sz w:val="24"/>
                <w:szCs w:val="24"/>
              </w:rPr>
              <w:t>2.89%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144" w:hRule="atLeast"/>
          <w:jc w:val="center"/>
        </w:trPr>
        <w:tc>
          <w:tcPr>
            <w:tcW w:w="1843"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验收监测依据</w:t>
            </w:r>
          </w:p>
        </w:tc>
        <w:tc>
          <w:tcPr>
            <w:tcW w:w="8217" w:type="dxa"/>
            <w:gridSpan w:val="5"/>
          </w:tcPr>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1.《建设项目环境保护管理条例》（国务院令第682号，2017.10.1）；</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2.《建设项目竣工环境保护验收暂行办法》（国环规环评〔2017〕4号)；</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3. 《关于印发环境保护部建设项目“三同时”监督检查和竣工环保验收管理规定（试行）的通知》（环发[2009]150号，国家环境保护部，2009.12.17）；</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4. 《关于印发&lt;黑龙江省建设项目竣工环境保护验收管理意见&gt;的通知》（黑环发[2007]18号，黑龙江省环境保护局，2007.4.26）；</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5.《关于进一步加强建设项目竣工环境保护验收工作的通知》（黑龙江省环境保护局黑环办[2003]22号文，2003.2.12）；</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6.《2021年黑龙江省共青农场粮食基地库维修及设备购置建设项目环境影响报告表》（哈尔滨国环宏节能环保技术有限责任公司，202</w:t>
            </w:r>
            <w:r>
              <w:rPr>
                <w:rFonts w:hint="eastAsia" w:ascii="Times New Roman" w:hAnsi="Times New Roman" w:eastAsia="宋体"/>
                <w:color w:val="auto"/>
                <w:sz w:val="24"/>
                <w:szCs w:val="24"/>
              </w:rPr>
              <w:t>2</w:t>
            </w:r>
            <w:r>
              <w:rPr>
                <w:rFonts w:ascii="Times New Roman" w:hAnsi="Times New Roman" w:eastAsia="宋体"/>
                <w:color w:val="auto"/>
                <w:sz w:val="24"/>
                <w:szCs w:val="24"/>
              </w:rPr>
              <w:t>.</w:t>
            </w:r>
            <w:r>
              <w:rPr>
                <w:rFonts w:hint="eastAsia" w:ascii="Times New Roman" w:hAnsi="Times New Roman" w:eastAsia="宋体"/>
                <w:color w:val="auto"/>
                <w:sz w:val="24"/>
                <w:szCs w:val="24"/>
              </w:rPr>
              <w:t>8</w:t>
            </w:r>
            <w:r>
              <w:rPr>
                <w:rFonts w:ascii="Times New Roman" w:hAnsi="Times New Roman" w:eastAsia="宋体"/>
                <w:color w:val="auto"/>
                <w:sz w:val="24"/>
                <w:szCs w:val="24"/>
              </w:rPr>
              <w:t>）；</w:t>
            </w:r>
          </w:p>
          <w:p>
            <w:pPr>
              <w:snapToGrid/>
              <w:spacing w:after="0"/>
              <w:jc w:val="both"/>
              <w:rPr>
                <w:rFonts w:ascii="Times New Roman" w:hAnsi="Times New Roman" w:eastAsia="宋体"/>
                <w:color w:val="auto"/>
                <w:sz w:val="24"/>
                <w:szCs w:val="24"/>
              </w:rPr>
            </w:pPr>
            <w:r>
              <w:rPr>
                <w:rFonts w:ascii="Times New Roman" w:hAnsi="Times New Roman" w:eastAsia="宋体"/>
                <w:color w:val="auto"/>
                <w:sz w:val="24"/>
                <w:szCs w:val="24"/>
              </w:rPr>
              <w:t>7.《2021年黑龙江省共青农场粮食基地库维修及设备购置建设项目环境影响报告表</w:t>
            </w:r>
            <w:r>
              <w:rPr>
                <w:rFonts w:hint="eastAsia" w:ascii="Times New Roman" w:hAnsi="Times New Roman" w:eastAsia="宋体"/>
                <w:color w:val="auto"/>
                <w:sz w:val="24"/>
                <w:szCs w:val="24"/>
              </w:rPr>
              <w:t>审批意见</w:t>
            </w:r>
            <w:r>
              <w:rPr>
                <w:rFonts w:ascii="Times New Roman" w:hAnsi="Times New Roman" w:eastAsia="宋体"/>
                <w:color w:val="auto"/>
                <w:sz w:val="24"/>
                <w:szCs w:val="24"/>
              </w:rPr>
              <w:t>》（</w:t>
            </w:r>
            <w:r>
              <w:rPr>
                <w:rFonts w:hint="eastAsia" w:ascii="Times New Roman" w:hAnsi="Times New Roman" w:eastAsia="宋体"/>
                <w:color w:val="auto"/>
                <w:sz w:val="24"/>
                <w:szCs w:val="24"/>
              </w:rPr>
              <w:t>萝环审</w:t>
            </w:r>
            <w:r>
              <w:rPr>
                <w:rFonts w:ascii="Times New Roman" w:hAnsi="Times New Roman" w:eastAsia="宋体"/>
                <w:color w:val="auto"/>
                <w:sz w:val="24"/>
                <w:szCs w:val="24"/>
              </w:rPr>
              <w:t>[202</w:t>
            </w:r>
            <w:r>
              <w:rPr>
                <w:rFonts w:hint="eastAsia" w:ascii="Times New Roman" w:hAnsi="Times New Roman" w:eastAsia="宋体"/>
                <w:color w:val="auto"/>
                <w:sz w:val="24"/>
                <w:szCs w:val="24"/>
              </w:rPr>
              <w:t>3</w:t>
            </w:r>
            <w:r>
              <w:rPr>
                <w:rFonts w:ascii="Times New Roman" w:hAnsi="Times New Roman" w:eastAsia="宋体"/>
                <w:color w:val="auto"/>
                <w:sz w:val="24"/>
                <w:szCs w:val="24"/>
              </w:rPr>
              <w:t>]</w:t>
            </w:r>
            <w:r>
              <w:rPr>
                <w:rFonts w:hint="eastAsia" w:ascii="Times New Roman" w:hAnsi="Times New Roman" w:eastAsia="宋体"/>
                <w:color w:val="auto"/>
                <w:sz w:val="24"/>
                <w:szCs w:val="24"/>
              </w:rPr>
              <w:t>17</w:t>
            </w:r>
            <w:r>
              <w:rPr>
                <w:rFonts w:ascii="Times New Roman" w:hAnsi="Times New Roman" w:eastAsia="宋体"/>
                <w:color w:val="auto"/>
                <w:sz w:val="24"/>
                <w:szCs w:val="24"/>
              </w:rPr>
              <w:t>号，</w:t>
            </w:r>
            <w:r>
              <w:rPr>
                <w:rFonts w:hint="eastAsia" w:ascii="Times New Roman" w:hAnsi="Times New Roman" w:eastAsia="宋体"/>
                <w:color w:val="auto"/>
                <w:sz w:val="24"/>
                <w:szCs w:val="24"/>
              </w:rPr>
              <w:t>鹤岗市萝北生态环境局</w:t>
            </w:r>
            <w:r>
              <w:rPr>
                <w:rFonts w:ascii="Times New Roman" w:hAnsi="Times New Roman" w:eastAsia="宋体"/>
                <w:color w:val="auto"/>
                <w:sz w:val="24"/>
                <w:szCs w:val="24"/>
              </w:rPr>
              <w:t>，202</w:t>
            </w:r>
            <w:r>
              <w:rPr>
                <w:rFonts w:hint="eastAsia" w:ascii="Times New Roman" w:hAnsi="Times New Roman" w:eastAsia="宋体"/>
                <w:color w:val="auto"/>
                <w:sz w:val="24"/>
                <w:szCs w:val="24"/>
              </w:rPr>
              <w:t>3</w:t>
            </w:r>
            <w:r>
              <w:rPr>
                <w:rFonts w:ascii="Times New Roman" w:hAnsi="Times New Roman" w:eastAsia="宋体"/>
                <w:color w:val="auto"/>
                <w:sz w:val="24"/>
                <w:szCs w:val="24"/>
              </w:rPr>
              <w:t>年</w:t>
            </w:r>
            <w:r>
              <w:rPr>
                <w:rFonts w:hint="eastAsia" w:ascii="Times New Roman" w:hAnsi="Times New Roman" w:eastAsia="宋体"/>
                <w:color w:val="auto"/>
                <w:sz w:val="24"/>
                <w:szCs w:val="24"/>
              </w:rPr>
              <w:t>4</w:t>
            </w:r>
            <w:r>
              <w:rPr>
                <w:rFonts w:ascii="Times New Roman" w:hAnsi="Times New Roman" w:eastAsia="宋体"/>
                <w:color w:val="auto"/>
                <w:sz w:val="24"/>
                <w:szCs w:val="24"/>
              </w:rPr>
              <w:t>月</w:t>
            </w:r>
            <w:r>
              <w:rPr>
                <w:rFonts w:hint="eastAsia" w:ascii="Times New Roman" w:hAnsi="Times New Roman" w:eastAsia="宋体"/>
                <w:color w:val="auto"/>
                <w:sz w:val="24"/>
                <w:szCs w:val="24"/>
              </w:rPr>
              <w:t>3</w:t>
            </w:r>
            <w:r>
              <w:rPr>
                <w:rFonts w:ascii="Times New Roman" w:hAnsi="Times New Roman" w:eastAsia="宋体"/>
                <w:color w:val="auto"/>
                <w:sz w:val="24"/>
                <w:szCs w:val="24"/>
              </w:rPr>
              <w:t>日）；</w:t>
            </w:r>
          </w:p>
          <w:p>
            <w:pPr>
              <w:snapToGrid/>
              <w:spacing w:after="0"/>
              <w:jc w:val="both"/>
              <w:rPr>
                <w:rFonts w:ascii="Times New Roman" w:hAnsi="Times New Roman" w:eastAsia="宋体"/>
                <w:color w:val="auto"/>
                <w:sz w:val="24"/>
                <w:szCs w:val="24"/>
              </w:rPr>
            </w:pPr>
            <w:r>
              <w:rPr>
                <w:rFonts w:hint="eastAsia" w:ascii="Times New Roman" w:hAnsi="Times New Roman" w:eastAsia="宋体"/>
                <w:color w:val="auto"/>
                <w:sz w:val="24"/>
                <w:szCs w:val="24"/>
              </w:rPr>
              <w:t>8</w:t>
            </w:r>
            <w:r>
              <w:rPr>
                <w:rFonts w:ascii="Times New Roman" w:hAnsi="Times New Roman" w:eastAsia="宋体"/>
                <w:color w:val="auto"/>
                <w:sz w:val="24"/>
                <w:szCs w:val="24"/>
              </w:rPr>
              <w:t>.《建设项目竣工环境保护验收技术指南 污染影响类》（生态环境部，2018年第9号，2018.5.15）；</w:t>
            </w:r>
          </w:p>
          <w:p>
            <w:pPr>
              <w:snapToGrid/>
              <w:spacing w:after="0"/>
              <w:jc w:val="both"/>
              <w:rPr>
                <w:rFonts w:ascii="Times New Roman" w:hAnsi="Times New Roman"/>
                <w:color w:val="auto"/>
                <w:sz w:val="24"/>
                <w:szCs w:val="24"/>
              </w:rPr>
            </w:pPr>
            <w:r>
              <w:rPr>
                <w:rFonts w:hint="eastAsia" w:ascii="Times New Roman" w:hAnsi="Times New Roman" w:eastAsia="宋体"/>
                <w:color w:val="auto"/>
                <w:sz w:val="24"/>
                <w:szCs w:val="24"/>
              </w:rPr>
              <w:t>9</w:t>
            </w:r>
            <w:r>
              <w:rPr>
                <w:rFonts w:ascii="Times New Roman" w:hAnsi="Times New Roman" w:eastAsia="宋体"/>
                <w:color w:val="auto"/>
                <w:sz w:val="24"/>
                <w:szCs w:val="24"/>
              </w:rPr>
              <w:t>.《关于印发&lt;污染影响类建设项目重大变动清单（试行）&gt;的通知》（环办环评函[2020]688号，生态环境部，2020.12.13）；</w:t>
            </w:r>
          </w:p>
        </w:tc>
      </w:tr>
    </w:tbl>
    <w:p>
      <w:pPr>
        <w:pStyle w:val="2"/>
        <w:spacing w:before="0" w:after="0" w:line="240" w:lineRule="auto"/>
        <w:rPr>
          <w:rFonts w:ascii="Times New Roman" w:hAnsi="Times New Roman" w:eastAsia="黑体"/>
          <w:b w:val="0"/>
          <w:bCs w:val="0"/>
          <w:color w:val="auto"/>
          <w:sz w:val="28"/>
          <w:szCs w:val="28"/>
        </w:rPr>
      </w:pPr>
      <w:bookmarkStart w:id="1" w:name="_Toc25261"/>
      <w:r>
        <w:rPr>
          <w:rFonts w:ascii="Times New Roman" w:hAnsi="Times New Roman" w:eastAsia="黑体"/>
          <w:b w:val="0"/>
          <w:bCs w:val="0"/>
          <w:color w:val="auto"/>
          <w:sz w:val="28"/>
          <w:szCs w:val="28"/>
        </w:rPr>
        <w:t>续表一</w:t>
      </w:r>
      <w:bookmarkEnd w:id="1"/>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781"/>
        <w:gridCol w:w="81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43" w:hRule="atLeast"/>
          <w:jc w:val="center"/>
        </w:trPr>
        <w:tc>
          <w:tcPr>
            <w:tcW w:w="1781" w:type="dxa"/>
            <w:vAlign w:val="center"/>
          </w:tcPr>
          <w:p>
            <w:pPr>
              <w:spacing w:after="0"/>
              <w:jc w:val="center"/>
              <w:rPr>
                <w:rFonts w:ascii="Times New Roman" w:hAnsi="Times New Roman" w:eastAsia="宋体"/>
                <w:color w:val="auto"/>
                <w:sz w:val="24"/>
                <w:szCs w:val="24"/>
              </w:rPr>
            </w:pPr>
            <w:r>
              <w:rPr>
                <w:rFonts w:ascii="Times New Roman" w:hAnsi="Times New Roman" w:eastAsia="宋体"/>
                <w:color w:val="auto"/>
                <w:sz w:val="24"/>
                <w:szCs w:val="24"/>
              </w:rPr>
              <w:t>验收监测评价标准、标号、级别、限值</w:t>
            </w:r>
          </w:p>
        </w:tc>
        <w:tc>
          <w:tcPr>
            <w:tcW w:w="8181" w:type="dxa"/>
            <w:vAlign w:val="center"/>
          </w:tcPr>
          <w:p>
            <w:pPr>
              <w:snapToGrid/>
              <w:spacing w:after="0" w:line="360" w:lineRule="auto"/>
              <w:rPr>
                <w:rFonts w:ascii="Times New Roman" w:hAnsi="Times New Roman" w:eastAsia="宋体"/>
                <w:b/>
                <w:snapToGrid w:val="0"/>
                <w:color w:val="auto"/>
                <w:sz w:val="24"/>
                <w:szCs w:val="24"/>
              </w:rPr>
            </w:pPr>
            <w:r>
              <w:rPr>
                <w:rFonts w:ascii="Times New Roman" w:hAnsi="Times New Roman" w:eastAsia="宋体"/>
                <w:b/>
                <w:snapToGrid w:val="0"/>
                <w:color w:val="auto"/>
                <w:sz w:val="24"/>
                <w:szCs w:val="24"/>
              </w:rPr>
              <w:t>一、废气</w:t>
            </w:r>
          </w:p>
          <w:p>
            <w:pPr>
              <w:pStyle w:val="57"/>
              <w:adjustRightInd/>
              <w:snapToGrid/>
              <w:ind w:firstLine="480" w:firstLineChars="200"/>
              <w:rPr>
                <w:rFonts w:ascii="Times New Roman" w:hAnsi="Times New Roman"/>
                <w:snapToGrid w:val="0"/>
                <w:color w:val="auto"/>
                <w:kern w:val="0"/>
                <w:szCs w:val="24"/>
              </w:rPr>
            </w:pPr>
            <w:r>
              <w:rPr>
                <w:rFonts w:hint="eastAsia" w:ascii="Times New Roman" w:hAnsi="Times New Roman"/>
                <w:snapToGrid w:val="0"/>
                <w:color w:val="auto"/>
                <w:kern w:val="0"/>
                <w:szCs w:val="24"/>
              </w:rPr>
              <w:t>项目周围外颗粒物执行《大气污染物综合排放标准》（GB16297-1996）中周界外浓度最高点控制浓度；厂区内排气筒废气执行《工业炉窑大气污染物排放标准》（GB9078-1996）中有组织排放标准。</w:t>
            </w:r>
          </w:p>
          <w:p>
            <w:pPr>
              <w:kinsoku w:val="0"/>
              <w:overflowPunct w:val="0"/>
              <w:autoSpaceDE w:val="0"/>
              <w:autoSpaceDN w:val="0"/>
              <w:spacing w:after="0"/>
              <w:jc w:val="center"/>
              <w:rPr>
                <w:rFonts w:ascii="Times New Roman" w:hAnsi="Times New Roman" w:eastAsiaTheme="minorEastAsia"/>
                <w:b/>
                <w:bCs/>
                <w:color w:val="auto"/>
                <w:kern w:val="2"/>
                <w:sz w:val="24"/>
                <w:szCs w:val="24"/>
              </w:rPr>
            </w:pPr>
            <w:r>
              <w:rPr>
                <w:rFonts w:ascii="Times New Roman" w:hAnsi="Times New Roman" w:eastAsiaTheme="minorEastAsia"/>
                <w:b/>
                <w:bCs/>
                <w:color w:val="auto"/>
                <w:kern w:val="2"/>
                <w:sz w:val="24"/>
                <w:szCs w:val="24"/>
              </w:rPr>
              <w:t>表1-1 大气污染物排放标准限值及标准来源</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367"/>
              <w:gridCol w:w="1131"/>
              <w:gridCol w:w="1271"/>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3" w:type="pct"/>
                  <w:gridSpan w:val="2"/>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污染物名称</w:t>
                  </w:r>
                </w:p>
              </w:tc>
              <w:tc>
                <w:tcPr>
                  <w:tcW w:w="711"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标准值</w:t>
                  </w:r>
                </w:p>
              </w:tc>
              <w:tc>
                <w:tcPr>
                  <w:tcW w:w="79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单位</w:t>
                  </w:r>
                </w:p>
              </w:tc>
              <w:tc>
                <w:tcPr>
                  <w:tcW w:w="1915"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restar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大气污染物</w:t>
                  </w:r>
                </w:p>
              </w:tc>
              <w:tc>
                <w:tcPr>
                  <w:tcW w:w="859" w:type="pct"/>
                  <w:vMerge w:val="restar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颗粒物</w:t>
                  </w:r>
                </w:p>
              </w:tc>
              <w:tc>
                <w:tcPr>
                  <w:tcW w:w="711"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1.0</w:t>
                  </w:r>
                </w:p>
              </w:tc>
              <w:tc>
                <w:tcPr>
                  <w:tcW w:w="79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mg/m</w:t>
                  </w:r>
                  <w:r>
                    <w:rPr>
                      <w:rFonts w:ascii="Times New Roman" w:hAnsi="Times New Roman" w:eastAsiaTheme="minorEastAsia"/>
                      <w:color w:val="auto"/>
                      <w:kern w:val="2"/>
                      <w:sz w:val="21"/>
                      <w:szCs w:val="21"/>
                      <w:vertAlign w:val="superscript"/>
                    </w:rPr>
                    <w:t>3</w:t>
                  </w:r>
                </w:p>
              </w:tc>
              <w:tc>
                <w:tcPr>
                  <w:tcW w:w="1915"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《大气污染物综合排放标准》（GB16297-1996）无组织排放限值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c>
                <w:tcPr>
                  <w:tcW w:w="859"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c>
                <w:tcPr>
                  <w:tcW w:w="711"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200</w:t>
                  </w:r>
                </w:p>
              </w:tc>
              <w:tc>
                <w:tcPr>
                  <w:tcW w:w="79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mg/m</w:t>
                  </w:r>
                  <w:r>
                    <w:rPr>
                      <w:rFonts w:ascii="Times New Roman" w:hAnsi="Times New Roman" w:eastAsiaTheme="minorEastAsia"/>
                      <w:color w:val="auto"/>
                      <w:kern w:val="2"/>
                      <w:sz w:val="21"/>
                      <w:szCs w:val="21"/>
                      <w:vertAlign w:val="superscript"/>
                    </w:rPr>
                    <w:t>3</w:t>
                  </w:r>
                </w:p>
              </w:tc>
              <w:tc>
                <w:tcPr>
                  <w:tcW w:w="1915" w:type="pct"/>
                  <w:vMerge w:val="restar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《工业炉窑大气污染物排放标准》（GB9078-1996）二级标准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c>
                <w:tcPr>
                  <w:tcW w:w="85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SO</w:t>
                  </w:r>
                  <w:r>
                    <w:rPr>
                      <w:rFonts w:ascii="Times New Roman" w:hAnsi="Times New Roman" w:eastAsiaTheme="minorEastAsia"/>
                      <w:color w:val="auto"/>
                      <w:kern w:val="2"/>
                      <w:sz w:val="21"/>
                      <w:szCs w:val="21"/>
                      <w:vertAlign w:val="subscript"/>
                    </w:rPr>
                    <w:t>2</w:t>
                  </w:r>
                </w:p>
              </w:tc>
              <w:tc>
                <w:tcPr>
                  <w:tcW w:w="711" w:type="pct"/>
                  <w:vAlign w:val="center"/>
                </w:tcPr>
                <w:p>
                  <w:pPr>
                    <w:tabs>
                      <w:tab w:val="left" w:pos="6480"/>
                    </w:tabs>
                    <w:spacing w:after="0"/>
                    <w:jc w:val="center"/>
                    <w:rPr>
                      <w:rFonts w:ascii="Times New Roman" w:hAnsi="Times New Roman" w:eastAsiaTheme="minorEastAsia"/>
                      <w:color w:val="auto"/>
                      <w:kern w:val="2"/>
                      <w:sz w:val="21"/>
                      <w:szCs w:val="21"/>
                    </w:rPr>
                  </w:pPr>
                  <w:r>
                    <w:rPr>
                      <w:rFonts w:ascii="Times New Roman" w:hAnsi="Times New Roman" w:eastAsia="宋体"/>
                      <w:color w:val="auto"/>
                      <w:kern w:val="2"/>
                      <w:sz w:val="21"/>
                      <w:szCs w:val="21"/>
                    </w:rPr>
                    <w:t>850</w:t>
                  </w:r>
                </w:p>
              </w:tc>
              <w:tc>
                <w:tcPr>
                  <w:tcW w:w="79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mg/m</w:t>
                  </w:r>
                  <w:r>
                    <w:rPr>
                      <w:rFonts w:ascii="Times New Roman" w:hAnsi="Times New Roman" w:eastAsiaTheme="minorEastAsia"/>
                      <w:color w:val="auto"/>
                      <w:kern w:val="2"/>
                      <w:sz w:val="21"/>
                      <w:szCs w:val="21"/>
                      <w:vertAlign w:val="superscript"/>
                    </w:rPr>
                    <w:t>3</w:t>
                  </w:r>
                </w:p>
              </w:tc>
              <w:tc>
                <w:tcPr>
                  <w:tcW w:w="1915"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c>
                <w:tcPr>
                  <w:tcW w:w="85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烟气黑度</w:t>
                  </w:r>
                </w:p>
              </w:tc>
              <w:tc>
                <w:tcPr>
                  <w:tcW w:w="711" w:type="pct"/>
                  <w:vAlign w:val="center"/>
                </w:tcPr>
                <w:p>
                  <w:pPr>
                    <w:tabs>
                      <w:tab w:val="left" w:pos="6480"/>
                    </w:tabs>
                    <w:spacing w:after="0"/>
                    <w:jc w:val="center"/>
                    <w:rPr>
                      <w:rFonts w:ascii="Times New Roman" w:hAnsi="Times New Roman" w:eastAsiaTheme="minorEastAsia"/>
                      <w:color w:val="auto"/>
                      <w:kern w:val="2"/>
                      <w:sz w:val="21"/>
                      <w:szCs w:val="21"/>
                    </w:rPr>
                  </w:pPr>
                  <w:r>
                    <w:rPr>
                      <w:rFonts w:hint="eastAsia"/>
                      <w:color w:val="auto"/>
                      <w:kern w:val="2"/>
                      <w:sz w:val="21"/>
                      <w:szCs w:val="21"/>
                    </w:rPr>
                    <w:t>1</w:t>
                  </w:r>
                </w:p>
              </w:tc>
              <w:tc>
                <w:tcPr>
                  <w:tcW w:w="799" w:type="pct"/>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mg/m</w:t>
                  </w:r>
                  <w:r>
                    <w:rPr>
                      <w:rFonts w:ascii="Times New Roman" w:hAnsi="Times New Roman" w:eastAsiaTheme="minorEastAsia"/>
                      <w:color w:val="auto"/>
                      <w:kern w:val="2"/>
                      <w:sz w:val="21"/>
                      <w:szCs w:val="21"/>
                      <w:vertAlign w:val="superscript"/>
                    </w:rPr>
                    <w:t>3</w:t>
                  </w:r>
                </w:p>
              </w:tc>
              <w:tc>
                <w:tcPr>
                  <w:tcW w:w="1915" w:type="pct"/>
                  <w:vMerge w:val="continue"/>
                  <w:vAlign w:val="center"/>
                </w:tcPr>
                <w:p>
                  <w:pPr>
                    <w:kinsoku w:val="0"/>
                    <w:overflowPunct w:val="0"/>
                    <w:autoSpaceDE w:val="0"/>
                    <w:autoSpaceDN w:val="0"/>
                    <w:spacing w:after="0"/>
                    <w:jc w:val="center"/>
                    <w:rPr>
                      <w:rFonts w:ascii="Times New Roman" w:hAnsi="Times New Roman" w:eastAsiaTheme="minorEastAsia"/>
                      <w:color w:val="auto"/>
                      <w:kern w:val="2"/>
                      <w:sz w:val="21"/>
                      <w:szCs w:val="21"/>
                    </w:rPr>
                  </w:pPr>
                </w:p>
              </w:tc>
            </w:tr>
          </w:tbl>
          <w:p>
            <w:pPr>
              <w:snapToGrid/>
              <w:spacing w:after="0" w:line="360" w:lineRule="auto"/>
              <w:rPr>
                <w:rFonts w:ascii="Times New Roman" w:hAnsi="Times New Roman" w:eastAsia="宋体"/>
                <w:b/>
                <w:snapToGrid w:val="0"/>
                <w:color w:val="auto"/>
                <w:sz w:val="24"/>
                <w:szCs w:val="24"/>
              </w:rPr>
            </w:pPr>
            <w:r>
              <w:rPr>
                <w:rFonts w:hint="eastAsia" w:ascii="Times New Roman" w:hAnsi="Times New Roman" w:eastAsia="宋体"/>
                <w:b/>
                <w:snapToGrid w:val="0"/>
                <w:color w:val="auto"/>
                <w:sz w:val="24"/>
                <w:szCs w:val="24"/>
              </w:rPr>
              <w:t>二</w:t>
            </w:r>
            <w:r>
              <w:rPr>
                <w:rFonts w:ascii="Times New Roman" w:hAnsi="Times New Roman" w:eastAsia="宋体"/>
                <w:b/>
                <w:snapToGrid w:val="0"/>
                <w:color w:val="auto"/>
                <w:sz w:val="24"/>
                <w:szCs w:val="24"/>
              </w:rPr>
              <w:t>、噪声</w:t>
            </w:r>
          </w:p>
          <w:p>
            <w:pPr>
              <w:adjustRightInd/>
              <w:snapToGrid/>
              <w:spacing w:after="0" w:line="360" w:lineRule="auto"/>
              <w:ind w:firstLine="480" w:firstLineChars="200"/>
              <w:jc w:val="both"/>
              <w:rPr>
                <w:rFonts w:ascii="Times New Roman" w:hAnsi="Times New Roman" w:eastAsia="宋体"/>
                <w:snapToGrid w:val="0"/>
                <w:color w:val="auto"/>
                <w:sz w:val="24"/>
                <w:szCs w:val="24"/>
              </w:rPr>
            </w:pPr>
            <w:r>
              <w:rPr>
                <w:rFonts w:ascii="Times New Roman" w:hAnsi="Times New Roman" w:eastAsia="宋体"/>
                <w:snapToGrid w:val="0"/>
                <w:color w:val="auto"/>
                <w:sz w:val="24"/>
                <w:szCs w:val="24"/>
              </w:rPr>
              <w:t>本项目运营期执行《工业企业厂界环境噪声排放标准》（GB12348-2008）</w:t>
            </w:r>
            <w:r>
              <w:rPr>
                <w:rFonts w:hint="eastAsia" w:ascii="Times New Roman" w:hAnsi="Times New Roman" w:eastAsia="宋体"/>
                <w:snapToGrid w:val="0"/>
                <w:color w:val="auto"/>
                <w:sz w:val="24"/>
                <w:szCs w:val="24"/>
              </w:rPr>
              <w:t>2</w:t>
            </w:r>
            <w:r>
              <w:rPr>
                <w:rFonts w:ascii="Times New Roman" w:hAnsi="Times New Roman" w:eastAsia="宋体"/>
                <w:snapToGrid w:val="0"/>
                <w:color w:val="auto"/>
                <w:sz w:val="24"/>
                <w:szCs w:val="24"/>
              </w:rPr>
              <w:t>类标准。具体排放限值如下：</w:t>
            </w:r>
          </w:p>
          <w:p>
            <w:pPr>
              <w:spacing w:after="0"/>
              <w:jc w:val="center"/>
              <w:rPr>
                <w:rFonts w:ascii="Times New Roman" w:hAnsi="Times New Roman" w:eastAsia="宋体"/>
                <w:b/>
                <w:bCs/>
                <w:color w:val="auto"/>
                <w:kern w:val="2"/>
                <w:sz w:val="24"/>
                <w:szCs w:val="24"/>
              </w:rPr>
            </w:pPr>
            <w:r>
              <w:rPr>
                <w:rFonts w:ascii="Times New Roman" w:hAnsi="Times New Roman" w:eastAsia="宋体"/>
                <w:b/>
                <w:bCs/>
                <w:color w:val="auto"/>
                <w:kern w:val="2"/>
                <w:sz w:val="24"/>
                <w:szCs w:val="24"/>
              </w:rPr>
              <w:t>表1-3   工业企业厂界环境噪声排放标准限值</w:t>
            </w:r>
          </w:p>
          <w:tbl>
            <w:tblPr>
              <w:tblStyle w:val="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2"/>
              <w:gridCol w:w="2289"/>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69" w:type="pct"/>
                  <w:vAlign w:val="center"/>
                </w:tcPr>
                <w:p>
                  <w:pPr>
                    <w:spacing w:after="0"/>
                    <w:jc w:val="center"/>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厂界外声环境功能区类别</w:t>
                  </w:r>
                </w:p>
                <w:p>
                  <w:pPr>
                    <w:spacing w:after="0"/>
                    <w:jc w:val="center"/>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时段</w:t>
                  </w:r>
                </w:p>
              </w:tc>
              <w:tc>
                <w:tcPr>
                  <w:tcW w:w="1439" w:type="pct"/>
                  <w:vAlign w:val="center"/>
                </w:tcPr>
                <w:p>
                  <w:pPr>
                    <w:spacing w:after="0"/>
                    <w:jc w:val="center"/>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昼 间</w:t>
                  </w:r>
                </w:p>
              </w:tc>
              <w:tc>
                <w:tcPr>
                  <w:tcW w:w="1491" w:type="pct"/>
                  <w:vAlign w:val="center"/>
                </w:tcPr>
                <w:p>
                  <w:pPr>
                    <w:spacing w:after="0"/>
                    <w:jc w:val="center"/>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夜 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69" w:type="pct"/>
                  <w:vAlign w:val="center"/>
                </w:tcPr>
                <w:p>
                  <w:pPr>
                    <w:spacing w:after="0"/>
                    <w:jc w:val="center"/>
                    <w:rPr>
                      <w:rFonts w:ascii="Times New Roman" w:hAnsi="Times New Roman" w:eastAsia="宋体"/>
                      <w:snapToGrid w:val="0"/>
                      <w:color w:val="auto"/>
                      <w:sz w:val="21"/>
                      <w:szCs w:val="21"/>
                    </w:rPr>
                  </w:pPr>
                  <w:r>
                    <w:rPr>
                      <w:rFonts w:hint="eastAsia" w:ascii="Times New Roman" w:hAnsi="Times New Roman" w:eastAsia="宋体"/>
                      <w:snapToGrid w:val="0"/>
                      <w:color w:val="auto"/>
                      <w:sz w:val="21"/>
                      <w:szCs w:val="21"/>
                    </w:rPr>
                    <w:t>2</w:t>
                  </w:r>
                  <w:r>
                    <w:rPr>
                      <w:rFonts w:ascii="Times New Roman" w:hAnsi="Times New Roman" w:eastAsia="宋体"/>
                      <w:snapToGrid w:val="0"/>
                      <w:color w:val="auto"/>
                      <w:sz w:val="21"/>
                      <w:szCs w:val="21"/>
                    </w:rPr>
                    <w:t>类</w:t>
                  </w:r>
                </w:p>
              </w:tc>
              <w:tc>
                <w:tcPr>
                  <w:tcW w:w="1439" w:type="pct"/>
                  <w:vAlign w:val="center"/>
                </w:tcPr>
                <w:p>
                  <w:pPr>
                    <w:spacing w:after="0"/>
                    <w:jc w:val="center"/>
                    <w:rPr>
                      <w:rFonts w:ascii="Times New Roman" w:hAnsi="Times New Roman" w:eastAsia="宋体"/>
                      <w:snapToGrid w:val="0"/>
                      <w:color w:val="auto"/>
                      <w:sz w:val="21"/>
                      <w:szCs w:val="21"/>
                    </w:rPr>
                  </w:pPr>
                  <w:r>
                    <w:rPr>
                      <w:rFonts w:hint="eastAsia" w:ascii="Times New Roman" w:hAnsi="Times New Roman" w:eastAsia="宋体"/>
                      <w:snapToGrid w:val="0"/>
                      <w:color w:val="auto"/>
                      <w:sz w:val="21"/>
                      <w:szCs w:val="21"/>
                    </w:rPr>
                    <w:t>60</w:t>
                  </w:r>
                  <w:r>
                    <w:rPr>
                      <w:rFonts w:ascii="Times New Roman" w:hAnsi="Times New Roman" w:eastAsia="宋体"/>
                      <w:snapToGrid w:val="0"/>
                      <w:color w:val="auto"/>
                      <w:sz w:val="21"/>
                      <w:szCs w:val="21"/>
                    </w:rPr>
                    <w:t>dB(A)</w:t>
                  </w:r>
                </w:p>
              </w:tc>
              <w:tc>
                <w:tcPr>
                  <w:tcW w:w="1491" w:type="pct"/>
                  <w:vAlign w:val="center"/>
                </w:tcPr>
                <w:p>
                  <w:pPr>
                    <w:spacing w:after="0"/>
                    <w:jc w:val="center"/>
                    <w:rPr>
                      <w:rFonts w:ascii="Times New Roman" w:hAnsi="Times New Roman" w:eastAsia="宋体"/>
                      <w:snapToGrid w:val="0"/>
                      <w:color w:val="auto"/>
                      <w:sz w:val="21"/>
                      <w:szCs w:val="21"/>
                    </w:rPr>
                  </w:pPr>
                  <w:r>
                    <w:rPr>
                      <w:rFonts w:hint="eastAsia" w:ascii="Times New Roman" w:hAnsi="Times New Roman" w:eastAsia="宋体"/>
                      <w:snapToGrid w:val="0"/>
                      <w:color w:val="auto"/>
                      <w:sz w:val="21"/>
                      <w:szCs w:val="21"/>
                    </w:rPr>
                    <w:t>50</w:t>
                  </w:r>
                  <w:r>
                    <w:rPr>
                      <w:rFonts w:ascii="Times New Roman" w:hAnsi="Times New Roman" w:eastAsia="宋体"/>
                      <w:snapToGrid w:val="0"/>
                      <w:color w:val="auto"/>
                      <w:sz w:val="21"/>
                      <w:szCs w:val="21"/>
                    </w:rPr>
                    <w:t>dB(A)</w:t>
                  </w:r>
                </w:p>
              </w:tc>
            </w:tr>
          </w:tbl>
          <w:p>
            <w:pPr>
              <w:snapToGrid/>
              <w:spacing w:after="0" w:line="360" w:lineRule="auto"/>
              <w:rPr>
                <w:rFonts w:ascii="Times New Roman" w:hAnsi="Times New Roman" w:eastAsia="宋体"/>
                <w:b/>
                <w:snapToGrid w:val="0"/>
                <w:color w:val="auto"/>
                <w:sz w:val="24"/>
                <w:szCs w:val="24"/>
              </w:rPr>
            </w:pPr>
            <w:bookmarkStart w:id="2" w:name="_Toc16372"/>
            <w:bookmarkStart w:id="3" w:name="_Toc19781"/>
            <w:bookmarkStart w:id="4" w:name="_Toc21953"/>
            <w:bookmarkStart w:id="5" w:name="_Toc17679"/>
            <w:r>
              <w:rPr>
                <w:rFonts w:hint="eastAsia" w:ascii="Times New Roman" w:hAnsi="Times New Roman" w:eastAsia="宋体"/>
                <w:b/>
                <w:snapToGrid w:val="0"/>
                <w:color w:val="auto"/>
                <w:sz w:val="24"/>
                <w:szCs w:val="24"/>
              </w:rPr>
              <w:t>三</w:t>
            </w:r>
            <w:r>
              <w:rPr>
                <w:rFonts w:ascii="Times New Roman" w:hAnsi="Times New Roman" w:eastAsia="宋体"/>
                <w:b/>
                <w:snapToGrid w:val="0"/>
                <w:color w:val="auto"/>
                <w:sz w:val="24"/>
                <w:szCs w:val="24"/>
              </w:rPr>
              <w:t>、固废</w:t>
            </w:r>
            <w:bookmarkEnd w:id="2"/>
            <w:bookmarkEnd w:id="3"/>
            <w:bookmarkEnd w:id="4"/>
            <w:bookmarkEnd w:id="5"/>
          </w:p>
          <w:p>
            <w:pPr>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一般固体废物，执行《一般工业固体废物贮存和填埋污染控制标准》(GB18599-2020)（实施日期2021年7月1日）要求。</w:t>
            </w:r>
          </w:p>
          <w:p>
            <w:pPr>
              <w:pStyle w:val="33"/>
              <w:rPr>
                <w:rFonts w:ascii="Times New Roman" w:hAnsi="Times New Roman" w:cs="Times New Roman"/>
                <w:color w:val="auto"/>
              </w:rPr>
            </w:pPr>
          </w:p>
        </w:tc>
      </w:tr>
    </w:tbl>
    <w:p>
      <w:pPr>
        <w:pStyle w:val="5"/>
        <w:spacing w:before="0" w:after="0" w:line="240" w:lineRule="auto"/>
        <w:rPr>
          <w:rFonts w:ascii="Times New Roman" w:hAnsi="Times New Roman" w:eastAsia="仿宋_GB2312"/>
          <w:color w:val="auto"/>
          <w:szCs w:val="28"/>
        </w:rPr>
        <w:sectPr>
          <w:footerReference r:id="rId8" w:type="default"/>
          <w:pgSz w:w="11906" w:h="16838"/>
          <w:pgMar w:top="1440" w:right="1080" w:bottom="1440" w:left="1080" w:header="708" w:footer="708" w:gutter="0"/>
          <w:pgNumType w:start="1"/>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6" w:name="_Toc19057"/>
      <w:r>
        <w:rPr>
          <w:rFonts w:ascii="Times New Roman" w:hAnsi="Times New Roman" w:eastAsia="黑体"/>
          <w:b w:val="0"/>
          <w:bCs w:val="0"/>
          <w:color w:val="auto"/>
          <w:sz w:val="28"/>
          <w:szCs w:val="28"/>
        </w:rPr>
        <w:t>表二</w:t>
      </w:r>
      <w:bookmarkEnd w:id="6"/>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3" w:hRule="atLeast"/>
        </w:trPr>
        <w:tc>
          <w:tcPr>
            <w:tcW w:w="5000" w:type="pct"/>
          </w:tcPr>
          <w:p>
            <w:pPr>
              <w:adjustRightInd/>
              <w:snapToGrid/>
              <w:spacing w:after="0" w:line="360" w:lineRule="auto"/>
              <w:rPr>
                <w:rFonts w:ascii="Times New Roman" w:hAnsi="Times New Roman" w:eastAsia="宋体"/>
                <w:color w:val="auto"/>
                <w:sz w:val="24"/>
                <w:szCs w:val="24"/>
              </w:rPr>
            </w:pPr>
            <w:r>
              <w:rPr>
                <w:rFonts w:ascii="Times New Roman" w:hAnsi="Times New Roman" w:eastAsia="宋体"/>
                <w:color w:val="auto"/>
                <w:sz w:val="24"/>
                <w:szCs w:val="24"/>
              </w:rPr>
              <w:t>工程建设内容：</w:t>
            </w:r>
          </w:p>
          <w:p>
            <w:pPr>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项目名称：2021年黑龙江省共青农场粮食基地库维修及设备购置建设项目</w:t>
            </w:r>
          </w:p>
          <w:p>
            <w:pPr>
              <w:adjustRightInd/>
              <w:snapToGrid/>
              <w:spacing w:after="0" w:line="360" w:lineRule="auto"/>
              <w:ind w:firstLine="480" w:firstLineChars="200"/>
              <w:jc w:val="both"/>
              <w:rPr>
                <w:rFonts w:hint="eastAsia" w:ascii="Times New Roman" w:hAnsi="Times New Roman" w:eastAsia="微软雅黑"/>
                <w:color w:val="auto"/>
                <w:sz w:val="24"/>
                <w:szCs w:val="24"/>
                <w:lang w:eastAsia="zh-CN"/>
              </w:rPr>
            </w:pPr>
            <w:r>
              <w:rPr>
                <w:rFonts w:ascii="Times New Roman" w:hAnsi="Times New Roman" w:eastAsia="宋体"/>
                <w:color w:val="auto"/>
                <w:sz w:val="24"/>
                <w:szCs w:val="24"/>
              </w:rPr>
              <w:t>建设性质：新建</w:t>
            </w:r>
            <w:r>
              <w:rPr>
                <w:rFonts w:hint="eastAsia" w:ascii="Times New Roman" w:hAnsi="Times New Roman" w:eastAsia="宋体" w:cs="Times New Roman"/>
                <w:color w:val="auto"/>
                <w:sz w:val="24"/>
                <w:szCs w:val="24"/>
                <w:lang w:val="zh-CN" w:eastAsia="zh-CN"/>
              </w:rPr>
              <w:t>（未批先建）</w:t>
            </w:r>
          </w:p>
          <w:p>
            <w:pPr>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建设单位：</w:t>
            </w:r>
            <w:r>
              <w:rPr>
                <w:rFonts w:ascii="Times New Roman" w:hAnsi="Times New Roman" w:eastAsia="宋体"/>
                <w:color w:val="auto"/>
                <w:sz w:val="24"/>
                <w:szCs w:val="24"/>
                <w:lang w:val="zh-CN"/>
              </w:rPr>
              <w:t>北大荒集团黑龙江共青农场粮贸中心</w:t>
            </w:r>
          </w:p>
          <w:p>
            <w:pPr>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建设地点：黑龙江省萝北县共青农场场部。</w:t>
            </w:r>
          </w:p>
          <w:p>
            <w:pPr>
              <w:adjustRightInd/>
              <w:snapToGrid/>
              <w:spacing w:after="0" w:line="360" w:lineRule="auto"/>
              <w:ind w:firstLine="480" w:firstLineChars="200"/>
              <w:jc w:val="both"/>
              <w:rPr>
                <w:rFonts w:ascii="Times New Roman" w:hAnsi="Times New Roman" w:eastAsia="宋体"/>
                <w:b/>
                <w:bCs/>
                <w:color w:val="auto"/>
                <w:sz w:val="24"/>
                <w:szCs w:val="24"/>
              </w:rPr>
            </w:pPr>
            <w:r>
              <w:rPr>
                <w:rFonts w:ascii="Times New Roman" w:hAnsi="Times New Roman" w:eastAsia="宋体"/>
                <w:color w:val="auto"/>
                <w:sz w:val="24"/>
                <w:szCs w:val="24"/>
              </w:rPr>
              <w:t>规模：项目建设1座500t/d烘干塔并配套建设1台10t/h热风炉，燃用生物质燃料，年烘干玉米30000t。</w:t>
            </w:r>
          </w:p>
          <w:p>
            <w:pPr>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项目组成主要包括主体工程、储运工程、辅助工程、公用工程及环保工程，本项目主要建设烘干塔、锅炉房、晾晒维修、金属仓等。本项目环境影响报告表及其审批部门审批决定建设内容与实际建设内容一览表见表2-1。</w:t>
            </w:r>
          </w:p>
          <w:p>
            <w:pPr>
              <w:spacing w:after="0"/>
              <w:jc w:val="center"/>
              <w:rPr>
                <w:rFonts w:ascii="Times New Roman" w:hAnsi="Times New Roman" w:eastAsia="宋体"/>
                <w:color w:val="auto"/>
                <w:sz w:val="24"/>
                <w:szCs w:val="24"/>
              </w:rPr>
            </w:pPr>
            <w:r>
              <w:rPr>
                <w:rFonts w:ascii="Times New Roman" w:hAnsi="Times New Roman" w:eastAsia="宋体"/>
                <w:b/>
                <w:bCs/>
                <w:color w:val="auto"/>
                <w:sz w:val="24"/>
                <w:szCs w:val="24"/>
              </w:rPr>
              <w:t>表2-1  环境影响报告表及其审批部门审批决定建设内容与实际建设内容一览表</w:t>
            </w:r>
          </w:p>
          <w:tbl>
            <w:tblPr>
              <w:tblStyle w:val="27"/>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699"/>
              <w:gridCol w:w="3238"/>
              <w:gridCol w:w="3244"/>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工程</w:t>
                  </w:r>
                </w:p>
              </w:tc>
              <w:tc>
                <w:tcPr>
                  <w:tcW w:w="6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建设内容</w:t>
                  </w:r>
                </w:p>
              </w:tc>
              <w:tc>
                <w:tcPr>
                  <w:tcW w:w="3238"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环境影响报告表设计内容</w:t>
                  </w:r>
                </w:p>
              </w:tc>
              <w:tc>
                <w:tcPr>
                  <w:tcW w:w="3244"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实际建设内容</w:t>
                  </w:r>
                </w:p>
              </w:tc>
              <w:tc>
                <w:tcPr>
                  <w:tcW w:w="1299" w:type="dxa"/>
                  <w:vAlign w:val="center"/>
                </w:tcPr>
                <w:p>
                  <w:pPr>
                    <w:adjustRightInd/>
                    <w:snapToGrid/>
                    <w:spacing w:after="0"/>
                    <w:jc w:val="center"/>
                    <w:rPr>
                      <w:rFonts w:ascii="Times New Roman" w:hAnsi="Times New Roman" w:eastAsia="宋体"/>
                      <w:color w:val="auto"/>
                      <w:sz w:val="21"/>
                      <w:szCs w:val="21"/>
                    </w:rPr>
                  </w:pPr>
                  <w:r>
                    <w:rPr>
                      <w:rFonts w:ascii="Times New Roman" w:hAnsi="Times New Roman" w:eastAsiaTheme="minorEastAsia"/>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pStyle w:val="55"/>
                    <w:widowControl/>
                    <w:tabs>
                      <w:tab w:val="left" w:pos="6480"/>
                    </w:tabs>
                    <w:rPr>
                      <w:rFonts w:cs="Times New Roman"/>
                      <w:snapToGrid w:val="0"/>
                      <w:color w:val="auto"/>
                      <w:sz w:val="21"/>
                      <w:szCs w:val="21"/>
                    </w:rPr>
                  </w:pPr>
                  <w:r>
                    <w:rPr>
                      <w:rFonts w:cs="Times New Roman" w:eastAsiaTheme="minorEastAsia"/>
                      <w:color w:val="auto"/>
                      <w:sz w:val="21"/>
                      <w:szCs w:val="21"/>
                    </w:rPr>
                    <w:t>主体工程</w:t>
                  </w:r>
                </w:p>
              </w:tc>
              <w:tc>
                <w:tcPr>
                  <w:tcW w:w="699" w:type="dxa"/>
                  <w:vAlign w:val="center"/>
                </w:tcPr>
                <w:p>
                  <w:pPr>
                    <w:adjustRightInd/>
                    <w:snapToGrid/>
                    <w:spacing w:after="0"/>
                    <w:jc w:val="center"/>
                    <w:rPr>
                      <w:rFonts w:ascii="Times New Roman" w:hAnsi="Times New Roman" w:eastAsia="宋体"/>
                      <w:snapToGrid w:val="0"/>
                      <w:color w:val="auto"/>
                      <w:sz w:val="21"/>
                      <w:szCs w:val="21"/>
                    </w:rPr>
                  </w:pPr>
                  <w:r>
                    <w:rPr>
                      <w:rFonts w:hint="eastAsia" w:ascii="Times New Roman" w:hAnsi="Times New Roman" w:eastAsia="宋体"/>
                      <w:snapToGrid w:val="0"/>
                      <w:color w:val="auto"/>
                      <w:sz w:val="21"/>
                      <w:szCs w:val="21"/>
                    </w:rPr>
                    <w:t>烘干塔及热风炉</w:t>
                  </w: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Theme="minorEastAsia"/>
                      <w:bCs/>
                      <w:color w:val="auto"/>
                      <w:sz w:val="21"/>
                      <w:szCs w:val="21"/>
                    </w:rPr>
                    <w:t>新建日烘干能力500</w:t>
                  </w:r>
                  <w:r>
                    <w:rPr>
                      <w:rFonts w:hint="eastAsia" w:ascii="Times New Roman" w:hAnsi="Times New Roman" w:eastAsiaTheme="minorEastAsia"/>
                      <w:bCs/>
                      <w:color w:val="auto"/>
                      <w:sz w:val="21"/>
                      <w:szCs w:val="21"/>
                      <w:lang w:val="en-US" w:eastAsia="zh-CN"/>
                    </w:rPr>
                    <w:t>t</w:t>
                  </w:r>
                  <w:r>
                    <w:rPr>
                      <w:rFonts w:ascii="Times New Roman" w:hAnsi="Times New Roman" w:eastAsiaTheme="minorEastAsia"/>
                      <w:bCs/>
                      <w:color w:val="auto"/>
                      <w:sz w:val="21"/>
                      <w:szCs w:val="21"/>
                    </w:rPr>
                    <w:t>/d粮食烘干塔一座，年烘干玉米30000吨。配套一台10t/h热风炉，采用生物质成型燃料。</w:t>
                  </w:r>
                </w:p>
              </w:tc>
              <w:tc>
                <w:tcPr>
                  <w:tcW w:w="3244"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新建日烘干能力500</w:t>
                  </w:r>
                  <w:r>
                    <w:rPr>
                      <w:rFonts w:hint="eastAsia" w:ascii="Times New Roman" w:hAnsi="Times New Roman" w:eastAsia="宋体"/>
                      <w:snapToGrid w:val="0"/>
                      <w:color w:val="auto"/>
                      <w:sz w:val="21"/>
                      <w:szCs w:val="21"/>
                      <w:lang w:val="en-US" w:eastAsia="zh-CN"/>
                    </w:rPr>
                    <w:t>t</w:t>
                  </w:r>
                  <w:r>
                    <w:rPr>
                      <w:rFonts w:ascii="Times New Roman" w:hAnsi="Times New Roman" w:eastAsia="宋体"/>
                      <w:snapToGrid w:val="0"/>
                      <w:color w:val="auto"/>
                      <w:sz w:val="21"/>
                      <w:szCs w:val="21"/>
                    </w:rPr>
                    <w:t>/d粮食烘干塔一座，年烘干玉米30000吨。配套一台10t/h热风炉，采用生物质成型燃料。</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hint="eastAsia" w:ascii="Times New Roman" w:hAnsi="Times New Roman" w:eastAsia="宋体"/>
                      <w:snapToGrid w:val="0"/>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8" w:type="dxa"/>
                  <w:vMerge w:val="restart"/>
                  <w:vAlign w:val="center"/>
                </w:tcPr>
                <w:p>
                  <w:pPr>
                    <w:pStyle w:val="55"/>
                    <w:widowControl/>
                    <w:tabs>
                      <w:tab w:val="left" w:pos="6480"/>
                    </w:tabs>
                    <w:rPr>
                      <w:rFonts w:cs="Times New Roman" w:eastAsiaTheme="minorEastAsia"/>
                      <w:color w:val="auto"/>
                      <w:sz w:val="21"/>
                      <w:szCs w:val="21"/>
                    </w:rPr>
                  </w:pPr>
                  <w:r>
                    <w:rPr>
                      <w:rFonts w:hint="eastAsia" w:cs="Times New Roman" w:eastAsiaTheme="minorEastAsia"/>
                      <w:color w:val="auto"/>
                      <w:sz w:val="21"/>
                      <w:szCs w:val="21"/>
                    </w:rPr>
                    <w:t>储运工程</w:t>
                  </w:r>
                </w:p>
              </w:tc>
              <w:tc>
                <w:tcPr>
                  <w:tcW w:w="699" w:type="dxa"/>
                  <w:vAlign w:val="center"/>
                </w:tcPr>
                <w:p>
                  <w:pPr>
                    <w:pStyle w:val="55"/>
                    <w:widowControl/>
                    <w:tabs>
                      <w:tab w:val="left" w:pos="6480"/>
                    </w:tabs>
                    <w:rPr>
                      <w:rFonts w:cs="Times New Roman" w:eastAsiaTheme="minorEastAsia"/>
                      <w:color w:val="auto"/>
                      <w:sz w:val="21"/>
                      <w:szCs w:val="21"/>
                    </w:rPr>
                  </w:pPr>
                  <w:r>
                    <w:rPr>
                      <w:rFonts w:cs="Times New Roman" w:eastAsiaTheme="minorEastAsia"/>
                      <w:color w:val="auto"/>
                      <w:sz w:val="21"/>
                      <w:szCs w:val="21"/>
                    </w:rPr>
                    <w:t>金属仓</w:t>
                  </w: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本项目东侧6座1000t金属仓，2座2500t金属仓共8个用于存储烘干后的商品粮金属仓，维修晒场3500m</w:t>
                  </w:r>
                  <w:r>
                    <w:rPr>
                      <w:rFonts w:ascii="Times New Roman" w:hAnsi="Times New Roman" w:eastAsia="宋体"/>
                      <w:snapToGrid w:val="0"/>
                      <w:color w:val="auto"/>
                      <w:sz w:val="21"/>
                      <w:szCs w:val="21"/>
                      <w:vertAlign w:val="superscript"/>
                    </w:rPr>
                    <w:t>2</w:t>
                  </w:r>
                  <w:r>
                    <w:rPr>
                      <w:rFonts w:ascii="Times New Roman" w:hAnsi="Times New Roman" w:eastAsia="宋体"/>
                      <w:snapToGrid w:val="0"/>
                      <w:color w:val="auto"/>
                      <w:sz w:val="21"/>
                      <w:szCs w:val="21"/>
                    </w:rPr>
                    <w:t>，原料晒场加盖苫布。</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宋体"/>
                      <w:snapToGrid w:val="0"/>
                      <w:color w:val="auto"/>
                      <w:sz w:val="21"/>
                      <w:szCs w:val="21"/>
                    </w:rPr>
                    <w:t>本项目东侧6座1000t金属仓，2座2500t金属仓共8个用于存储烘干后的商品粮金属仓，维修晒场3500m</w:t>
                  </w:r>
                  <w:r>
                    <w:rPr>
                      <w:rFonts w:ascii="Times New Roman" w:hAnsi="Times New Roman" w:eastAsia="宋体"/>
                      <w:snapToGrid w:val="0"/>
                      <w:color w:val="auto"/>
                      <w:sz w:val="21"/>
                      <w:szCs w:val="21"/>
                      <w:vertAlign w:val="superscript"/>
                    </w:rPr>
                    <w:t>2</w:t>
                  </w:r>
                  <w:r>
                    <w:rPr>
                      <w:rFonts w:ascii="Times New Roman" w:hAnsi="Times New Roman" w:eastAsia="宋体"/>
                      <w:snapToGrid w:val="0"/>
                      <w:color w:val="auto"/>
                      <w:sz w:val="21"/>
                      <w:szCs w:val="21"/>
                    </w:rPr>
                    <w:t>，原料晒场加盖苫布。</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8" w:type="dxa"/>
                  <w:vMerge w:val="continue"/>
                  <w:vAlign w:val="center"/>
                </w:tcPr>
                <w:p>
                  <w:pPr>
                    <w:pStyle w:val="55"/>
                    <w:widowControl/>
                    <w:tabs>
                      <w:tab w:val="left" w:pos="6480"/>
                    </w:tabs>
                    <w:rPr>
                      <w:rFonts w:cs="Times New Roman" w:eastAsiaTheme="minorEastAsia"/>
                      <w:color w:val="auto"/>
                      <w:sz w:val="21"/>
                      <w:szCs w:val="21"/>
                    </w:rPr>
                  </w:pPr>
                </w:p>
              </w:tc>
              <w:tc>
                <w:tcPr>
                  <w:tcW w:w="699" w:type="dxa"/>
                  <w:vAlign w:val="center"/>
                </w:tcPr>
                <w:p>
                  <w:pPr>
                    <w:pStyle w:val="55"/>
                    <w:widowControl/>
                    <w:tabs>
                      <w:tab w:val="left" w:pos="6480"/>
                    </w:tabs>
                    <w:rPr>
                      <w:rFonts w:cs="Times New Roman" w:eastAsiaTheme="minorEastAsia"/>
                      <w:color w:val="auto"/>
                      <w:sz w:val="21"/>
                      <w:szCs w:val="21"/>
                    </w:rPr>
                  </w:pPr>
                  <w:r>
                    <w:rPr>
                      <w:rFonts w:hint="eastAsia" w:cs="Times New Roman" w:eastAsiaTheme="minorEastAsia"/>
                      <w:color w:val="auto"/>
                      <w:sz w:val="21"/>
                      <w:szCs w:val="21"/>
                    </w:rPr>
                    <w:t>燃料及灰渣存储</w:t>
                  </w:r>
                </w:p>
              </w:tc>
              <w:tc>
                <w:tcPr>
                  <w:tcW w:w="3238" w:type="dxa"/>
                  <w:vAlign w:val="center"/>
                </w:tcPr>
                <w:p>
                  <w:pPr>
                    <w:pStyle w:val="55"/>
                    <w:widowControl/>
                    <w:tabs>
                      <w:tab w:val="left" w:pos="6480"/>
                    </w:tabs>
                    <w:rPr>
                      <w:rFonts w:cs="Times New Roman" w:eastAsiaTheme="minorEastAsia"/>
                      <w:color w:val="auto"/>
                      <w:sz w:val="21"/>
                      <w:szCs w:val="21"/>
                    </w:rPr>
                  </w:pPr>
                  <w:r>
                    <w:rPr>
                      <w:rFonts w:hint="eastAsia" w:cs="Times New Roman" w:eastAsiaTheme="minorEastAsia"/>
                      <w:color w:val="auto"/>
                      <w:sz w:val="21"/>
                      <w:szCs w:val="21"/>
                    </w:rPr>
                    <w:t>厂区南侧建有建筑面积190m</w:t>
                  </w:r>
                  <w:r>
                    <w:rPr>
                      <w:rFonts w:hint="eastAsia" w:cs="Times New Roman" w:eastAsiaTheme="minorEastAsia"/>
                      <w:color w:val="auto"/>
                      <w:sz w:val="21"/>
                      <w:szCs w:val="21"/>
                      <w:vertAlign w:val="superscript"/>
                    </w:rPr>
                    <w:t>2</w:t>
                  </w:r>
                  <w:r>
                    <w:rPr>
                      <w:rFonts w:hint="eastAsia" w:cs="Times New Roman" w:eastAsiaTheme="minorEastAsia"/>
                      <w:color w:val="auto"/>
                      <w:sz w:val="21"/>
                      <w:szCs w:val="21"/>
                    </w:rPr>
                    <w:t>的锅炉房，本项目对原有锅炉房和库房进行维修，燃料及灰渣存储于锅炉房内。</w:t>
                  </w:r>
                </w:p>
              </w:tc>
              <w:tc>
                <w:tcPr>
                  <w:tcW w:w="3244" w:type="dxa"/>
                  <w:vAlign w:val="center"/>
                </w:tcPr>
                <w:p>
                  <w:pPr>
                    <w:pStyle w:val="55"/>
                    <w:widowControl/>
                    <w:tabs>
                      <w:tab w:val="left" w:pos="6480"/>
                    </w:tabs>
                    <w:rPr>
                      <w:rFonts w:cs="Times New Roman" w:eastAsiaTheme="minorEastAsia"/>
                      <w:color w:val="auto"/>
                      <w:sz w:val="21"/>
                      <w:szCs w:val="21"/>
                    </w:rPr>
                  </w:pPr>
                  <w:r>
                    <w:rPr>
                      <w:rFonts w:hint="eastAsia" w:cs="Times New Roman" w:eastAsiaTheme="minorEastAsia"/>
                      <w:color w:val="auto"/>
                      <w:sz w:val="21"/>
                      <w:szCs w:val="21"/>
                    </w:rPr>
                    <w:t>厂区南侧建有建筑面积190m</w:t>
                  </w:r>
                  <w:r>
                    <w:rPr>
                      <w:rFonts w:hint="eastAsia" w:cs="Times New Roman" w:eastAsiaTheme="minorEastAsia"/>
                      <w:color w:val="auto"/>
                      <w:sz w:val="21"/>
                      <w:szCs w:val="21"/>
                      <w:vertAlign w:val="superscript"/>
                    </w:rPr>
                    <w:t>2</w:t>
                  </w:r>
                  <w:r>
                    <w:rPr>
                      <w:rFonts w:hint="eastAsia" w:cs="Times New Roman" w:eastAsiaTheme="minorEastAsia"/>
                      <w:color w:val="auto"/>
                      <w:sz w:val="21"/>
                      <w:szCs w:val="21"/>
                    </w:rPr>
                    <w:t>的锅炉房，本项目对原有锅炉房和库房进行维修，燃料及灰渣存储于锅炉房内。</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8" w:type="dxa"/>
                  <w:vAlign w:val="center"/>
                </w:tcPr>
                <w:p>
                  <w:pPr>
                    <w:pStyle w:val="55"/>
                    <w:widowControl/>
                    <w:tabs>
                      <w:tab w:val="left" w:pos="6480"/>
                    </w:tabs>
                    <w:rPr>
                      <w:rFonts w:cs="Times New Roman" w:eastAsiaTheme="minorEastAsia"/>
                      <w:color w:val="auto"/>
                      <w:sz w:val="21"/>
                      <w:szCs w:val="21"/>
                    </w:rPr>
                  </w:pPr>
                  <w:r>
                    <w:rPr>
                      <w:rFonts w:hint="eastAsia" w:cs="Times New Roman" w:eastAsiaTheme="minorEastAsia"/>
                      <w:color w:val="auto"/>
                      <w:sz w:val="21"/>
                      <w:szCs w:val="21"/>
                    </w:rPr>
                    <w:t>辅助工程</w:t>
                  </w:r>
                </w:p>
              </w:tc>
              <w:tc>
                <w:tcPr>
                  <w:tcW w:w="699" w:type="dxa"/>
                  <w:vAlign w:val="center"/>
                </w:tcPr>
                <w:p>
                  <w:pPr>
                    <w:spacing w:after="0"/>
                    <w:jc w:val="center"/>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办公室、检验室、门卫</w:t>
                  </w:r>
                </w:p>
              </w:tc>
              <w:tc>
                <w:tcPr>
                  <w:tcW w:w="3238" w:type="dxa"/>
                  <w:vAlign w:val="center"/>
                </w:tcPr>
                <w:p>
                  <w:pPr>
                    <w:spacing w:after="0"/>
                    <w:jc w:val="both"/>
                    <w:rPr>
                      <w:rFonts w:ascii="Times New Roman" w:hAnsi="Times New Roman" w:eastAsiaTheme="minorEastAsia"/>
                      <w:color w:val="auto"/>
                      <w:kern w:val="2"/>
                      <w:sz w:val="21"/>
                      <w:szCs w:val="21"/>
                    </w:rPr>
                  </w:pPr>
                  <w:r>
                    <w:rPr>
                      <w:rFonts w:hint="eastAsia" w:ascii="Times New Roman" w:hAnsi="Times New Roman" w:eastAsiaTheme="minorEastAsia"/>
                      <w:color w:val="auto"/>
                      <w:kern w:val="2"/>
                      <w:sz w:val="21"/>
                      <w:szCs w:val="21"/>
                    </w:rPr>
                    <w:t>利用办公室、检验室（粮食水分的检测）、门卫，建筑面积187m</w:t>
                  </w:r>
                  <w:r>
                    <w:rPr>
                      <w:rFonts w:hint="eastAsia" w:ascii="Times New Roman" w:hAnsi="Times New Roman" w:eastAsiaTheme="minorEastAsia"/>
                      <w:color w:val="auto"/>
                      <w:kern w:val="2"/>
                      <w:sz w:val="21"/>
                      <w:szCs w:val="21"/>
                      <w:vertAlign w:val="superscript"/>
                    </w:rPr>
                    <w:t>2</w:t>
                  </w:r>
                  <w:r>
                    <w:rPr>
                      <w:rFonts w:hint="eastAsia" w:ascii="Times New Roman" w:hAnsi="Times New Roman" w:eastAsiaTheme="minorEastAsia"/>
                      <w:color w:val="auto"/>
                      <w:kern w:val="2"/>
                      <w:sz w:val="21"/>
                      <w:szCs w:val="21"/>
                    </w:rPr>
                    <w:t>，不设置食堂和宿舍。</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利用办公室、检验室（粮食水分的检测）、门卫，建筑面积187m</w:t>
                  </w:r>
                  <w:r>
                    <w:rPr>
                      <w:rFonts w:hint="eastAsia" w:ascii="Times New Roman" w:hAnsi="Times New Roman" w:eastAsiaTheme="minorEastAsia"/>
                      <w:color w:val="auto"/>
                      <w:sz w:val="21"/>
                      <w:szCs w:val="21"/>
                      <w:vertAlign w:val="superscript"/>
                    </w:rPr>
                    <w:t>2</w:t>
                  </w:r>
                  <w:r>
                    <w:rPr>
                      <w:rFonts w:hint="eastAsia" w:ascii="Times New Roman" w:hAnsi="Times New Roman" w:eastAsiaTheme="minorEastAsia"/>
                      <w:color w:val="auto"/>
                      <w:sz w:val="21"/>
                      <w:szCs w:val="21"/>
                    </w:rPr>
                    <w:t>，不设置食堂和宿舍。</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8" w:type="dxa"/>
                  <w:vMerge w:val="restart"/>
                  <w:vAlign w:val="center"/>
                </w:tcPr>
                <w:p>
                  <w:pPr>
                    <w:pStyle w:val="55"/>
                    <w:widowControl/>
                    <w:tabs>
                      <w:tab w:val="left" w:pos="6480"/>
                    </w:tabs>
                    <w:rPr>
                      <w:rFonts w:cs="Times New Roman"/>
                      <w:snapToGrid w:val="0"/>
                      <w:color w:val="auto"/>
                      <w:sz w:val="21"/>
                      <w:szCs w:val="21"/>
                    </w:rPr>
                  </w:pPr>
                  <w:r>
                    <w:rPr>
                      <w:rFonts w:cs="Times New Roman" w:eastAsiaTheme="minorEastAsia"/>
                      <w:color w:val="auto"/>
                      <w:sz w:val="21"/>
                      <w:szCs w:val="21"/>
                    </w:rPr>
                    <w:t>公用工程</w:t>
                  </w:r>
                </w:p>
              </w:tc>
              <w:tc>
                <w:tcPr>
                  <w:tcW w:w="699"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供水</w:t>
                  </w:r>
                </w:p>
              </w:tc>
              <w:tc>
                <w:tcPr>
                  <w:tcW w:w="3238"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本项目建设完成后生产不用水，项目职工生活用水由</w:t>
                  </w:r>
                  <w:r>
                    <w:rPr>
                      <w:rFonts w:hint="eastAsia" w:ascii="Times New Roman" w:hAnsi="Times New Roman" w:eastAsiaTheme="minorEastAsia"/>
                      <w:color w:val="auto"/>
                      <w:kern w:val="2"/>
                      <w:sz w:val="21"/>
                      <w:szCs w:val="21"/>
                    </w:rPr>
                    <w:t>厂区内集中供水供水</w:t>
                  </w:r>
                  <w:r>
                    <w:rPr>
                      <w:rFonts w:ascii="Times New Roman" w:hAnsi="Times New Roman" w:eastAsiaTheme="minorEastAsia"/>
                      <w:color w:val="auto"/>
                      <w:kern w:val="2"/>
                      <w:sz w:val="21"/>
                      <w:szCs w:val="21"/>
                    </w:rPr>
                    <w:t>，</w:t>
                  </w:r>
                  <w:r>
                    <w:rPr>
                      <w:rFonts w:ascii="Times New Roman" w:hAnsi="Times New Roman" w:eastAsiaTheme="minorEastAsia"/>
                      <w:color w:val="auto"/>
                      <w:kern w:val="2"/>
                      <w:sz w:val="21"/>
                      <w:szCs w:val="21"/>
                      <w:lang w:val="zh-CN"/>
                    </w:rPr>
                    <w:t>本项目总用水量为</w:t>
                  </w:r>
                  <w:r>
                    <w:rPr>
                      <w:rFonts w:hint="eastAsia" w:ascii="Times New Roman" w:hAnsi="Times New Roman" w:eastAsiaTheme="minorEastAsia"/>
                      <w:color w:val="auto"/>
                      <w:kern w:val="2"/>
                      <w:sz w:val="21"/>
                      <w:szCs w:val="21"/>
                    </w:rPr>
                    <w:t>28.8</w:t>
                  </w:r>
                  <w:r>
                    <w:rPr>
                      <w:rFonts w:ascii="Times New Roman" w:hAnsi="Times New Roman" w:eastAsiaTheme="minorEastAsia"/>
                      <w:color w:val="auto"/>
                      <w:kern w:val="2"/>
                      <w:sz w:val="21"/>
                      <w:szCs w:val="21"/>
                      <w:lang w:val="zh-CN"/>
                    </w:rPr>
                    <w:t>m</w:t>
                  </w:r>
                  <w:r>
                    <w:rPr>
                      <w:rFonts w:ascii="Times New Roman" w:hAnsi="Times New Roman" w:eastAsiaTheme="minorEastAsia"/>
                      <w:color w:val="auto"/>
                      <w:kern w:val="2"/>
                      <w:sz w:val="21"/>
                      <w:szCs w:val="21"/>
                      <w:vertAlign w:val="superscript"/>
                      <w:lang w:val="zh-CN"/>
                    </w:rPr>
                    <w:t>3</w:t>
                  </w:r>
                  <w:r>
                    <w:rPr>
                      <w:rFonts w:ascii="Times New Roman" w:hAnsi="Times New Roman" w:eastAsiaTheme="minorEastAsia"/>
                      <w:color w:val="auto"/>
                      <w:kern w:val="2"/>
                      <w:sz w:val="21"/>
                      <w:szCs w:val="21"/>
                      <w:lang w:val="zh-CN"/>
                    </w:rPr>
                    <w:t>/a。</w:t>
                  </w:r>
                </w:p>
              </w:tc>
              <w:tc>
                <w:tcPr>
                  <w:tcW w:w="3244" w:type="dxa"/>
                  <w:vAlign w:val="center"/>
                </w:tcPr>
                <w:p>
                  <w:pPr>
                    <w:spacing w:after="0"/>
                    <w:jc w:val="both"/>
                    <w:rPr>
                      <w:rFonts w:ascii="Times New Roman" w:hAnsi="Times New Roman" w:eastAsia="宋体"/>
                      <w:bCs/>
                      <w:color w:val="auto"/>
                      <w:sz w:val="21"/>
                      <w:szCs w:val="21"/>
                    </w:rPr>
                  </w:pPr>
                  <w:r>
                    <w:rPr>
                      <w:rFonts w:ascii="Times New Roman" w:hAnsi="Times New Roman" w:eastAsiaTheme="minorEastAsia"/>
                      <w:color w:val="auto"/>
                      <w:kern w:val="2"/>
                      <w:sz w:val="21"/>
                      <w:szCs w:val="21"/>
                    </w:rPr>
                    <w:t>本项目建设完成后生产不用水，项目职工生活用水由</w:t>
                  </w:r>
                  <w:r>
                    <w:rPr>
                      <w:rFonts w:hint="eastAsia" w:ascii="Times New Roman" w:hAnsi="Times New Roman" w:eastAsiaTheme="minorEastAsia"/>
                      <w:color w:val="auto"/>
                      <w:kern w:val="2"/>
                      <w:sz w:val="21"/>
                      <w:szCs w:val="21"/>
                    </w:rPr>
                    <w:t>厂区内集中供水供水</w:t>
                  </w:r>
                  <w:r>
                    <w:rPr>
                      <w:rFonts w:ascii="Times New Roman" w:hAnsi="Times New Roman" w:eastAsiaTheme="minorEastAsia"/>
                      <w:color w:val="auto"/>
                      <w:kern w:val="2"/>
                      <w:sz w:val="21"/>
                      <w:szCs w:val="21"/>
                    </w:rPr>
                    <w:t>，</w:t>
                  </w:r>
                  <w:r>
                    <w:rPr>
                      <w:rFonts w:ascii="Times New Roman" w:hAnsi="Times New Roman" w:eastAsiaTheme="minorEastAsia"/>
                      <w:color w:val="auto"/>
                      <w:kern w:val="2"/>
                      <w:sz w:val="21"/>
                      <w:szCs w:val="21"/>
                      <w:lang w:val="zh-CN"/>
                    </w:rPr>
                    <w:t>本项目总用水量为</w:t>
                  </w:r>
                  <w:r>
                    <w:rPr>
                      <w:rFonts w:hint="eastAsia" w:ascii="Times New Roman" w:hAnsi="Times New Roman" w:eastAsiaTheme="minorEastAsia"/>
                      <w:color w:val="auto"/>
                      <w:kern w:val="2"/>
                      <w:sz w:val="21"/>
                      <w:szCs w:val="21"/>
                    </w:rPr>
                    <w:t>28.8</w:t>
                  </w:r>
                  <w:r>
                    <w:rPr>
                      <w:rFonts w:ascii="Times New Roman" w:hAnsi="Times New Roman" w:eastAsiaTheme="minorEastAsia"/>
                      <w:color w:val="auto"/>
                      <w:kern w:val="2"/>
                      <w:sz w:val="21"/>
                      <w:szCs w:val="21"/>
                      <w:lang w:val="zh-CN"/>
                    </w:rPr>
                    <w:t>m</w:t>
                  </w:r>
                  <w:r>
                    <w:rPr>
                      <w:rFonts w:ascii="Times New Roman" w:hAnsi="Times New Roman" w:eastAsiaTheme="minorEastAsia"/>
                      <w:color w:val="auto"/>
                      <w:kern w:val="2"/>
                      <w:sz w:val="21"/>
                      <w:szCs w:val="21"/>
                      <w:vertAlign w:val="superscript"/>
                      <w:lang w:val="zh-CN"/>
                    </w:rPr>
                    <w:t>3</w:t>
                  </w:r>
                  <w:r>
                    <w:rPr>
                      <w:rFonts w:ascii="Times New Roman" w:hAnsi="Times New Roman" w:eastAsiaTheme="minorEastAsia"/>
                      <w:color w:val="auto"/>
                      <w:kern w:val="2"/>
                      <w:sz w:val="21"/>
                      <w:szCs w:val="21"/>
                      <w:lang w:val="zh-CN"/>
                    </w:rPr>
                    <w:t>/a。</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58" w:type="dxa"/>
                  <w:vMerge w:val="continue"/>
                  <w:vAlign w:val="center"/>
                </w:tcPr>
                <w:p>
                  <w:pPr>
                    <w:pStyle w:val="55"/>
                    <w:widowControl/>
                    <w:tabs>
                      <w:tab w:val="left" w:pos="6480"/>
                    </w:tabs>
                    <w:rPr>
                      <w:rFonts w:cs="Times New Roman"/>
                      <w:snapToGrid w:val="0"/>
                      <w:color w:val="auto"/>
                      <w:sz w:val="21"/>
                      <w:szCs w:val="21"/>
                    </w:rPr>
                  </w:pPr>
                </w:p>
              </w:tc>
              <w:tc>
                <w:tcPr>
                  <w:tcW w:w="699"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排水</w:t>
                  </w:r>
                </w:p>
              </w:tc>
              <w:tc>
                <w:tcPr>
                  <w:tcW w:w="3238"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本项目建设完成后无生产废水，生活污水排入</w:t>
                  </w:r>
                  <w:r>
                    <w:rPr>
                      <w:rFonts w:hint="eastAsia" w:ascii="Times New Roman" w:hAnsi="Times New Roman" w:eastAsiaTheme="minorEastAsia"/>
                      <w:color w:val="auto"/>
                      <w:kern w:val="2"/>
                      <w:sz w:val="21"/>
                      <w:szCs w:val="21"/>
                    </w:rPr>
                    <w:t>防渗旱厕</w:t>
                  </w:r>
                  <w:r>
                    <w:rPr>
                      <w:rFonts w:ascii="Times New Roman" w:hAnsi="Times New Roman" w:eastAsiaTheme="minorEastAsia"/>
                      <w:color w:val="auto"/>
                      <w:kern w:val="2"/>
                      <w:sz w:val="21"/>
                      <w:szCs w:val="21"/>
                    </w:rPr>
                    <w:t>，定期清掏，外运堆肥。生活污水排水量为</w:t>
                  </w:r>
                  <w:r>
                    <w:rPr>
                      <w:rFonts w:hint="eastAsia" w:ascii="Times New Roman" w:hAnsi="Times New Roman" w:eastAsiaTheme="minorEastAsia"/>
                      <w:color w:val="auto"/>
                      <w:kern w:val="2"/>
                      <w:sz w:val="21"/>
                      <w:szCs w:val="21"/>
                    </w:rPr>
                    <w:t>23.04</w:t>
                  </w:r>
                  <w:r>
                    <w:rPr>
                      <w:rFonts w:ascii="Times New Roman" w:hAnsi="Times New Roman" w:eastAsiaTheme="minorEastAsia"/>
                      <w:color w:val="auto"/>
                      <w:kern w:val="2"/>
                      <w:sz w:val="21"/>
                      <w:szCs w:val="21"/>
                    </w:rPr>
                    <w:t>m</w:t>
                  </w:r>
                  <w:r>
                    <w:rPr>
                      <w:rFonts w:ascii="Times New Roman" w:hAnsi="Times New Roman" w:eastAsiaTheme="minorEastAsia"/>
                      <w:color w:val="auto"/>
                      <w:kern w:val="2"/>
                      <w:sz w:val="21"/>
                      <w:szCs w:val="21"/>
                      <w:vertAlign w:val="superscript"/>
                    </w:rPr>
                    <w:t>3</w:t>
                  </w:r>
                  <w:r>
                    <w:rPr>
                      <w:rFonts w:ascii="Times New Roman" w:hAnsi="Times New Roman" w:eastAsiaTheme="minorEastAsia"/>
                      <w:color w:val="auto"/>
                      <w:kern w:val="2"/>
                      <w:sz w:val="21"/>
                      <w:szCs w:val="21"/>
                    </w:rPr>
                    <w:t>/a。</w:t>
                  </w:r>
                </w:p>
              </w:tc>
              <w:tc>
                <w:tcPr>
                  <w:tcW w:w="3244" w:type="dxa"/>
                  <w:vAlign w:val="center"/>
                </w:tcPr>
                <w:p>
                  <w:pPr>
                    <w:spacing w:after="0"/>
                    <w:jc w:val="both"/>
                    <w:rPr>
                      <w:rFonts w:ascii="Times New Roman" w:hAnsi="Times New Roman" w:eastAsia="宋体"/>
                      <w:bCs/>
                      <w:color w:val="auto"/>
                      <w:sz w:val="21"/>
                      <w:szCs w:val="21"/>
                    </w:rPr>
                  </w:pPr>
                  <w:r>
                    <w:rPr>
                      <w:rFonts w:ascii="Times New Roman" w:hAnsi="Times New Roman" w:eastAsiaTheme="minorEastAsia"/>
                      <w:color w:val="auto"/>
                      <w:kern w:val="2"/>
                      <w:sz w:val="21"/>
                      <w:szCs w:val="21"/>
                    </w:rPr>
                    <w:t>本项目建设完成后无生产废水，生活污水排入</w:t>
                  </w:r>
                  <w:r>
                    <w:rPr>
                      <w:rFonts w:hint="eastAsia" w:ascii="Times New Roman" w:hAnsi="Times New Roman" w:eastAsiaTheme="minorEastAsia"/>
                      <w:color w:val="auto"/>
                      <w:kern w:val="2"/>
                      <w:sz w:val="21"/>
                      <w:szCs w:val="21"/>
                    </w:rPr>
                    <w:t>防渗旱厕</w:t>
                  </w:r>
                  <w:r>
                    <w:rPr>
                      <w:rFonts w:ascii="Times New Roman" w:hAnsi="Times New Roman" w:eastAsiaTheme="minorEastAsia"/>
                      <w:color w:val="auto"/>
                      <w:kern w:val="2"/>
                      <w:sz w:val="21"/>
                      <w:szCs w:val="21"/>
                    </w:rPr>
                    <w:t>，定期清掏，外运堆肥。生活污水排水量为</w:t>
                  </w:r>
                  <w:r>
                    <w:rPr>
                      <w:rFonts w:hint="eastAsia" w:ascii="Times New Roman" w:hAnsi="Times New Roman" w:eastAsiaTheme="minorEastAsia"/>
                      <w:color w:val="auto"/>
                      <w:kern w:val="2"/>
                      <w:sz w:val="21"/>
                      <w:szCs w:val="21"/>
                    </w:rPr>
                    <w:t>23.04</w:t>
                  </w:r>
                  <w:r>
                    <w:rPr>
                      <w:rFonts w:ascii="Times New Roman" w:hAnsi="Times New Roman" w:eastAsiaTheme="minorEastAsia"/>
                      <w:color w:val="auto"/>
                      <w:kern w:val="2"/>
                      <w:sz w:val="21"/>
                      <w:szCs w:val="21"/>
                    </w:rPr>
                    <w:t>m</w:t>
                  </w:r>
                  <w:r>
                    <w:rPr>
                      <w:rFonts w:ascii="Times New Roman" w:hAnsi="Times New Roman" w:eastAsiaTheme="minorEastAsia"/>
                      <w:color w:val="auto"/>
                      <w:kern w:val="2"/>
                      <w:sz w:val="21"/>
                      <w:szCs w:val="21"/>
                      <w:vertAlign w:val="superscript"/>
                    </w:rPr>
                    <w:t>3</w:t>
                  </w:r>
                  <w:r>
                    <w:rPr>
                      <w:rFonts w:ascii="Times New Roman" w:hAnsi="Times New Roman" w:eastAsiaTheme="minorEastAsia"/>
                      <w:color w:val="auto"/>
                      <w:kern w:val="2"/>
                      <w:sz w:val="21"/>
                      <w:szCs w:val="21"/>
                    </w:rPr>
                    <w:t>/a。</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Merge w:val="continue"/>
                  <w:vAlign w:val="center"/>
                </w:tcPr>
                <w:p>
                  <w:pPr>
                    <w:pStyle w:val="55"/>
                    <w:widowControl/>
                    <w:tabs>
                      <w:tab w:val="left" w:pos="6480"/>
                    </w:tabs>
                    <w:rPr>
                      <w:rFonts w:cs="Times New Roman"/>
                      <w:snapToGrid w:val="0"/>
                      <w:color w:val="auto"/>
                      <w:sz w:val="21"/>
                      <w:szCs w:val="21"/>
                    </w:rPr>
                  </w:pPr>
                </w:p>
              </w:tc>
              <w:tc>
                <w:tcPr>
                  <w:tcW w:w="699"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供暖</w:t>
                  </w:r>
                </w:p>
              </w:tc>
              <w:tc>
                <w:tcPr>
                  <w:tcW w:w="3238"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本项目</w:t>
                  </w:r>
                  <w:r>
                    <w:rPr>
                      <w:rFonts w:hint="eastAsia" w:ascii="Times New Roman" w:hAnsi="Times New Roman" w:eastAsiaTheme="minorEastAsia"/>
                      <w:color w:val="auto"/>
                      <w:kern w:val="2"/>
                      <w:sz w:val="21"/>
                      <w:szCs w:val="21"/>
                    </w:rPr>
                    <w:t>办公采用电采暖</w:t>
                  </w:r>
                  <w:r>
                    <w:rPr>
                      <w:rFonts w:ascii="Times New Roman" w:hAnsi="Times New Roman" w:eastAsiaTheme="minorEastAsia"/>
                      <w:color w:val="auto"/>
                      <w:kern w:val="2"/>
                      <w:sz w:val="21"/>
                      <w:szCs w:val="21"/>
                    </w:rPr>
                    <w:t>。</w:t>
                  </w:r>
                </w:p>
              </w:tc>
              <w:tc>
                <w:tcPr>
                  <w:tcW w:w="3244" w:type="dxa"/>
                  <w:vAlign w:val="center"/>
                </w:tcPr>
                <w:p>
                  <w:pPr>
                    <w:spacing w:after="0"/>
                    <w:jc w:val="both"/>
                    <w:rPr>
                      <w:rFonts w:ascii="Times New Roman" w:hAnsi="Times New Roman"/>
                      <w:bCs/>
                      <w:color w:val="auto"/>
                      <w:sz w:val="21"/>
                      <w:szCs w:val="21"/>
                    </w:rPr>
                  </w:pPr>
                  <w:r>
                    <w:rPr>
                      <w:rFonts w:ascii="Times New Roman" w:hAnsi="Times New Roman" w:eastAsiaTheme="minorEastAsia"/>
                      <w:color w:val="auto"/>
                      <w:kern w:val="2"/>
                      <w:sz w:val="21"/>
                      <w:szCs w:val="21"/>
                    </w:rPr>
                    <w:t>本项目</w:t>
                  </w:r>
                  <w:r>
                    <w:rPr>
                      <w:rFonts w:hint="eastAsia" w:ascii="Times New Roman" w:hAnsi="Times New Roman" w:eastAsiaTheme="minorEastAsia"/>
                      <w:color w:val="auto"/>
                      <w:kern w:val="2"/>
                      <w:sz w:val="21"/>
                      <w:szCs w:val="21"/>
                    </w:rPr>
                    <w:t>办公采用电采暖</w:t>
                  </w:r>
                  <w:r>
                    <w:rPr>
                      <w:rFonts w:ascii="Times New Roman" w:hAnsi="Times New Roman" w:eastAsiaTheme="minorEastAsia"/>
                      <w:color w:val="auto"/>
                      <w:kern w:val="2"/>
                      <w:sz w:val="21"/>
                      <w:szCs w:val="21"/>
                    </w:rPr>
                    <w:t>。</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758" w:type="dxa"/>
                  <w:vMerge w:val="continue"/>
                  <w:vAlign w:val="center"/>
                </w:tcPr>
                <w:p>
                  <w:pPr>
                    <w:pStyle w:val="55"/>
                    <w:widowControl/>
                    <w:tabs>
                      <w:tab w:val="left" w:pos="6480"/>
                    </w:tabs>
                    <w:rPr>
                      <w:rFonts w:cs="Times New Roman"/>
                      <w:bCs/>
                      <w:color w:val="auto"/>
                      <w:sz w:val="21"/>
                      <w:szCs w:val="21"/>
                    </w:rPr>
                  </w:pPr>
                </w:p>
              </w:tc>
              <w:tc>
                <w:tcPr>
                  <w:tcW w:w="699"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供电</w:t>
                  </w:r>
                </w:p>
              </w:tc>
              <w:tc>
                <w:tcPr>
                  <w:tcW w:w="3238" w:type="dxa"/>
                  <w:vAlign w:val="center"/>
                </w:tcPr>
                <w:p>
                  <w:pPr>
                    <w:spacing w:after="0"/>
                    <w:jc w:val="both"/>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项目用电由当地市政电网提供，能够满足本项目用电。</w:t>
                  </w:r>
                </w:p>
              </w:tc>
              <w:tc>
                <w:tcPr>
                  <w:tcW w:w="3244" w:type="dxa"/>
                  <w:vAlign w:val="center"/>
                </w:tcPr>
                <w:p>
                  <w:pPr>
                    <w:spacing w:after="0"/>
                    <w:jc w:val="both"/>
                    <w:rPr>
                      <w:rFonts w:ascii="Times New Roman" w:hAnsi="Times New Roman" w:eastAsia="宋体"/>
                      <w:bCs/>
                      <w:color w:val="auto"/>
                      <w:sz w:val="21"/>
                      <w:szCs w:val="21"/>
                    </w:rPr>
                  </w:pPr>
                  <w:r>
                    <w:rPr>
                      <w:rFonts w:ascii="Times New Roman" w:hAnsi="Times New Roman" w:eastAsiaTheme="minorEastAsia"/>
                      <w:color w:val="auto"/>
                      <w:kern w:val="2"/>
                      <w:sz w:val="21"/>
                      <w:szCs w:val="21"/>
                    </w:rPr>
                    <w:t>项目用电由当地市政电网提供，能够满足本项目用电。</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restart"/>
                  <w:vAlign w:val="center"/>
                </w:tcPr>
                <w:p>
                  <w:pPr>
                    <w:pStyle w:val="55"/>
                    <w:widowControl/>
                    <w:tabs>
                      <w:tab w:val="left" w:pos="6480"/>
                    </w:tabs>
                    <w:rPr>
                      <w:rFonts w:cs="Times New Roman"/>
                      <w:snapToGrid w:val="0"/>
                      <w:color w:val="auto"/>
                    </w:rPr>
                  </w:pPr>
                  <w:r>
                    <w:rPr>
                      <w:rFonts w:cs="Times New Roman" w:eastAsiaTheme="minorEastAsia"/>
                      <w:color w:val="auto"/>
                      <w:sz w:val="21"/>
                      <w:szCs w:val="21"/>
                    </w:rPr>
                    <w:t>环保工程</w:t>
                  </w:r>
                </w:p>
              </w:tc>
              <w:tc>
                <w:tcPr>
                  <w:tcW w:w="699" w:type="dxa"/>
                  <w:vMerge w:val="restart"/>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废气</w:t>
                  </w: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建设1台10t/h热风炉，燃用生物质成型燃料，烟气经布袋除尘器处理（除尘效率为99%），达到《工业炉窑大气污染物排放标准》（GB9078-1996）中相关标准（烟尘200mg/m</w:t>
                  </w:r>
                  <w:r>
                    <w:rPr>
                      <w:rFonts w:ascii="Times New Roman" w:hAnsi="Times New Roman" w:eastAsia="宋体"/>
                      <w:snapToGrid w:val="0"/>
                      <w:color w:val="auto"/>
                      <w:sz w:val="21"/>
                      <w:szCs w:val="21"/>
                      <w:vertAlign w:val="superscript"/>
                    </w:rPr>
                    <w:t>3</w:t>
                  </w:r>
                  <w:r>
                    <w:rPr>
                      <w:rFonts w:ascii="Times New Roman" w:hAnsi="Times New Roman" w:eastAsia="宋体"/>
                      <w:snapToGrid w:val="0"/>
                      <w:color w:val="auto"/>
                      <w:sz w:val="21"/>
                      <w:szCs w:val="21"/>
                    </w:rPr>
                    <w:t>、SO2850mg/m</w:t>
                  </w:r>
                  <w:r>
                    <w:rPr>
                      <w:rFonts w:ascii="Times New Roman" w:hAnsi="Times New Roman" w:eastAsia="宋体"/>
                      <w:snapToGrid w:val="0"/>
                      <w:color w:val="auto"/>
                      <w:sz w:val="21"/>
                      <w:szCs w:val="21"/>
                      <w:vertAlign w:val="superscript"/>
                    </w:rPr>
                    <w:t>3</w:t>
                  </w:r>
                  <w:r>
                    <w:rPr>
                      <w:rFonts w:ascii="Times New Roman" w:hAnsi="Times New Roman" w:eastAsia="宋体"/>
                      <w:snapToGrid w:val="0"/>
                      <w:color w:val="auto"/>
                      <w:sz w:val="21"/>
                      <w:szCs w:val="21"/>
                    </w:rPr>
                    <w:t>），由高15m高排气筒排放。</w:t>
                  </w:r>
                </w:p>
              </w:tc>
              <w:tc>
                <w:tcPr>
                  <w:tcW w:w="3244" w:type="dxa"/>
                  <w:vAlign w:val="center"/>
                </w:tcPr>
                <w:p>
                  <w:pPr>
                    <w:adjustRightInd/>
                    <w:snapToGrid/>
                    <w:spacing w:after="0"/>
                    <w:jc w:val="both"/>
                    <w:rPr>
                      <w:rFonts w:ascii="Times New Roman" w:hAnsi="Times New Roman" w:eastAsia="宋体"/>
                      <w:bCs/>
                      <w:color w:val="auto"/>
                      <w:sz w:val="21"/>
                      <w:szCs w:val="21"/>
                    </w:rPr>
                  </w:pPr>
                  <w:r>
                    <w:rPr>
                      <w:rFonts w:ascii="Times New Roman" w:hAnsi="Times New Roman" w:eastAsia="宋体"/>
                      <w:snapToGrid w:val="0"/>
                      <w:color w:val="auto"/>
                      <w:sz w:val="21"/>
                      <w:szCs w:val="21"/>
                    </w:rPr>
                    <w:t>建设1台10t/h热风炉，燃用生物质成型燃料，烟气经布袋除尘器（除尘效率为99%），达到《工业炉窑大气污染物排放标准》（GB9078-1996）中相关标准（烟尘200mg/m</w:t>
                  </w:r>
                  <w:r>
                    <w:rPr>
                      <w:rFonts w:ascii="Times New Roman" w:hAnsi="Times New Roman" w:eastAsia="宋体"/>
                      <w:snapToGrid w:val="0"/>
                      <w:color w:val="auto"/>
                      <w:sz w:val="21"/>
                      <w:szCs w:val="21"/>
                      <w:vertAlign w:val="superscript"/>
                    </w:rPr>
                    <w:t>3</w:t>
                  </w:r>
                  <w:r>
                    <w:rPr>
                      <w:rFonts w:ascii="Times New Roman" w:hAnsi="Times New Roman" w:eastAsia="宋体"/>
                      <w:snapToGrid w:val="0"/>
                      <w:color w:val="auto"/>
                      <w:sz w:val="21"/>
                      <w:szCs w:val="21"/>
                    </w:rPr>
                    <w:t>、SO</w:t>
                  </w:r>
                  <w:r>
                    <w:rPr>
                      <w:rFonts w:ascii="Times New Roman" w:hAnsi="Times New Roman" w:eastAsia="宋体"/>
                      <w:snapToGrid w:val="0"/>
                      <w:color w:val="auto"/>
                      <w:sz w:val="21"/>
                      <w:szCs w:val="21"/>
                      <w:vertAlign w:val="subscript"/>
                    </w:rPr>
                    <w:t>2</w:t>
                  </w:r>
                  <w:r>
                    <w:rPr>
                      <w:rFonts w:ascii="Times New Roman" w:hAnsi="Times New Roman" w:eastAsia="宋体"/>
                      <w:snapToGrid w:val="0"/>
                      <w:color w:val="auto"/>
                      <w:sz w:val="21"/>
                      <w:szCs w:val="21"/>
                    </w:rPr>
                    <w:t>850mg/m</w:t>
                  </w:r>
                  <w:r>
                    <w:rPr>
                      <w:rFonts w:ascii="Times New Roman" w:hAnsi="Times New Roman" w:eastAsia="宋体"/>
                      <w:snapToGrid w:val="0"/>
                      <w:color w:val="auto"/>
                      <w:sz w:val="21"/>
                      <w:szCs w:val="21"/>
                      <w:vertAlign w:val="superscript"/>
                    </w:rPr>
                    <w:t>3</w:t>
                  </w:r>
                  <w:r>
                    <w:rPr>
                      <w:rFonts w:ascii="Times New Roman" w:hAnsi="Times New Roman" w:eastAsia="宋体"/>
                      <w:snapToGrid w:val="0"/>
                      <w:color w:val="auto"/>
                      <w:sz w:val="21"/>
                      <w:szCs w:val="21"/>
                    </w:rPr>
                    <w:t>），由高15m高排气筒排放。</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hint="eastAsia"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continue"/>
                  <w:vAlign w:val="center"/>
                </w:tcPr>
                <w:p>
                  <w:pPr>
                    <w:pStyle w:val="55"/>
                    <w:widowControl/>
                    <w:tabs>
                      <w:tab w:val="left" w:pos="6480"/>
                    </w:tabs>
                    <w:rPr>
                      <w:rFonts w:cs="Times New Roman" w:eastAsiaTheme="minorEastAsia"/>
                      <w:color w:val="auto"/>
                      <w:sz w:val="21"/>
                      <w:szCs w:val="21"/>
                    </w:rPr>
                  </w:pPr>
                </w:p>
              </w:tc>
              <w:tc>
                <w:tcPr>
                  <w:tcW w:w="699" w:type="dxa"/>
                  <w:vMerge w:val="continue"/>
                  <w:vAlign w:val="center"/>
                </w:tcPr>
                <w:p>
                  <w:pPr>
                    <w:adjustRightInd/>
                    <w:snapToGrid/>
                    <w:spacing w:after="0"/>
                    <w:jc w:val="center"/>
                    <w:rPr>
                      <w:rFonts w:ascii="Times New Roman" w:hAnsi="Times New Roman" w:eastAsiaTheme="minorEastAsia"/>
                      <w:color w:val="auto"/>
                      <w:sz w:val="21"/>
                      <w:szCs w:val="21"/>
                    </w:rPr>
                  </w:pP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宋体"/>
                      <w:snapToGrid w:val="0"/>
                      <w:color w:val="auto"/>
                      <w:sz w:val="21"/>
                      <w:szCs w:val="21"/>
                    </w:rPr>
                    <w:t>清理、烘干、运输、输送等工序产生的无组织粉尘通过选用密闭性良好的设备，烘干塔产生的粉尘，经烘干塔自带的盖板式除尘以及对烘干塔加设底部围挡盖板，盖板的作用是阻止粉尘直接排放，粉尘沿着挡板下行，通过重力沉降落入塔底，落地的粉尘及时清理。厂界颗粒物排放浓度符合《大气污染物综合排放标准》表2无组织排放浓度限值要求。</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宋体"/>
                      <w:snapToGrid w:val="0"/>
                      <w:color w:val="auto"/>
                      <w:sz w:val="21"/>
                      <w:szCs w:val="21"/>
                    </w:rPr>
                    <w:t>清理、烘干、运输、输送等工序产生的无组织粉尘通过选用密闭性良好的设备，烘干塔产生的粉尘，经烘干塔自带的盖板式除尘以及对烘干塔加设底部围挡盖板，盖板的作用是阻止粉尘直接排放，粉尘沿着挡板下行，通过重力沉降落入塔底，落地的粉尘及时清理。厂界颗粒物排放浓度符合《大气污染物综合排放标准》表2无组织排放浓度限值要求。</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Align w:val="center"/>
                </w:tcPr>
                <w:p>
                  <w:pPr>
                    <w:pStyle w:val="55"/>
                    <w:widowControl/>
                    <w:tabs>
                      <w:tab w:val="left" w:pos="6480"/>
                    </w:tabs>
                    <w:rPr>
                      <w:rFonts w:cs="Times New Roman"/>
                      <w:snapToGrid w:val="0"/>
                      <w:color w:val="auto"/>
                      <w:sz w:val="21"/>
                      <w:szCs w:val="21"/>
                    </w:rPr>
                  </w:pPr>
                  <w:r>
                    <w:rPr>
                      <w:rFonts w:cs="Times New Roman" w:eastAsiaTheme="minorEastAsia"/>
                      <w:color w:val="auto"/>
                      <w:sz w:val="21"/>
                      <w:szCs w:val="21"/>
                    </w:rPr>
                    <w:t>废水</w:t>
                  </w: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Theme="minorEastAsia"/>
                      <w:color w:val="auto"/>
                      <w:sz w:val="21"/>
                      <w:szCs w:val="21"/>
                    </w:rPr>
                    <w:t>本项目建设完成后无生产废水，生活污水排入防渗旱厕，定期清掏，外运堆肥。</w:t>
                  </w:r>
                </w:p>
              </w:tc>
              <w:tc>
                <w:tcPr>
                  <w:tcW w:w="3244" w:type="dxa"/>
                  <w:vAlign w:val="center"/>
                </w:tcPr>
                <w:p>
                  <w:pPr>
                    <w:pStyle w:val="41"/>
                    <w:spacing w:before="0" w:after="0"/>
                    <w:jc w:val="both"/>
                    <w:rPr>
                      <w:rFonts w:ascii="Times New Roman" w:hAnsi="Times New Roman" w:cs="Times New Roman"/>
                      <w:bCs/>
                      <w:color w:val="auto"/>
                      <w:sz w:val="21"/>
                      <w:szCs w:val="21"/>
                    </w:rPr>
                  </w:pPr>
                  <w:r>
                    <w:rPr>
                      <w:rFonts w:ascii="Times New Roman" w:hAnsi="Times New Roman" w:cs="Times New Roman" w:eastAsiaTheme="minorEastAsia"/>
                      <w:color w:val="auto"/>
                      <w:sz w:val="21"/>
                      <w:szCs w:val="21"/>
                    </w:rPr>
                    <w:t>本项目建设完成后无生产废水，生活污水排入防渗旱厕，定期清掏，外运堆肥。</w:t>
                  </w:r>
                </w:p>
              </w:tc>
              <w:tc>
                <w:tcPr>
                  <w:tcW w:w="1299" w:type="dxa"/>
                  <w:vAlign w:val="center"/>
                </w:tcPr>
                <w:p>
                  <w:pPr>
                    <w:adjustRightInd/>
                    <w:snapToGrid/>
                    <w:spacing w:after="0"/>
                    <w:jc w:val="center"/>
                    <w:rPr>
                      <w:rFonts w:ascii="Times New Roman" w:hAnsi="Times New Roman" w:eastAsia="宋体"/>
                      <w:snapToGrid w:val="0"/>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Align w:val="center"/>
                </w:tcPr>
                <w:p>
                  <w:pPr>
                    <w:pStyle w:val="55"/>
                    <w:widowControl/>
                    <w:tabs>
                      <w:tab w:val="left" w:pos="6480"/>
                    </w:tabs>
                    <w:rPr>
                      <w:rFonts w:cs="Times New Roman"/>
                      <w:snapToGrid w:val="0"/>
                      <w:color w:val="auto"/>
                      <w:sz w:val="21"/>
                      <w:szCs w:val="21"/>
                    </w:rPr>
                  </w:pPr>
                  <w:r>
                    <w:rPr>
                      <w:rFonts w:cs="Times New Roman" w:eastAsiaTheme="minorEastAsia"/>
                      <w:color w:val="auto"/>
                      <w:sz w:val="21"/>
                      <w:szCs w:val="21"/>
                    </w:rPr>
                    <w:t>噪声</w:t>
                  </w:r>
                </w:p>
              </w:tc>
              <w:tc>
                <w:tcPr>
                  <w:tcW w:w="3238" w:type="dxa"/>
                  <w:vAlign w:val="center"/>
                </w:tcPr>
                <w:p>
                  <w:pPr>
                    <w:adjustRightInd/>
                    <w:snapToGrid/>
                    <w:spacing w:after="0"/>
                    <w:jc w:val="both"/>
                    <w:rPr>
                      <w:rFonts w:ascii="Times New Roman" w:hAnsi="Times New Roman" w:eastAsia="宋体"/>
                      <w:snapToGrid w:val="0"/>
                      <w:color w:val="auto"/>
                      <w:sz w:val="21"/>
                      <w:szCs w:val="21"/>
                    </w:rPr>
                  </w:pPr>
                  <w:r>
                    <w:rPr>
                      <w:rFonts w:ascii="Times New Roman" w:hAnsi="Times New Roman" w:eastAsiaTheme="minorEastAsia"/>
                      <w:color w:val="auto"/>
                      <w:sz w:val="21"/>
                      <w:szCs w:val="21"/>
                    </w:rPr>
                    <w:t>选用低噪声设备，安装基础减振措施，达到《工业企业厂界环境噪声排放标准》（GB12348-2008）2类标准。</w:t>
                  </w:r>
                </w:p>
              </w:tc>
              <w:tc>
                <w:tcPr>
                  <w:tcW w:w="3244" w:type="dxa"/>
                  <w:vAlign w:val="center"/>
                </w:tcPr>
                <w:p>
                  <w:pPr>
                    <w:pStyle w:val="41"/>
                    <w:spacing w:before="0" w:after="0"/>
                    <w:jc w:val="both"/>
                    <w:rPr>
                      <w:rFonts w:ascii="Times New Roman" w:hAnsi="Times New Roman" w:cs="Times New Roman"/>
                      <w:bCs/>
                      <w:color w:val="auto"/>
                      <w:sz w:val="21"/>
                      <w:szCs w:val="21"/>
                    </w:rPr>
                  </w:pPr>
                  <w:r>
                    <w:rPr>
                      <w:rFonts w:ascii="Times New Roman" w:hAnsi="Times New Roman" w:cs="Times New Roman" w:eastAsiaTheme="minorEastAsia"/>
                      <w:color w:val="auto"/>
                      <w:sz w:val="21"/>
                      <w:szCs w:val="21"/>
                    </w:rPr>
                    <w:t>选用低噪声设备，安装基础减振措施，达到《工业企业厂界环境噪声排放标准》（GB12348-2008）2类标准。</w:t>
                  </w:r>
                </w:p>
              </w:tc>
              <w:tc>
                <w:tcPr>
                  <w:tcW w:w="1299" w:type="dxa"/>
                  <w:vAlign w:val="center"/>
                </w:tcPr>
                <w:p>
                  <w:pPr>
                    <w:pStyle w:val="41"/>
                    <w:spacing w:before="0" w:after="0"/>
                    <w:jc w:val="center"/>
                    <w:rPr>
                      <w:rFonts w:ascii="Times New Roman" w:hAnsi="Times New Roman" w:cs="Times New Roman"/>
                      <w:snapToGrid w:val="0"/>
                      <w:color w:val="auto"/>
                      <w:sz w:val="21"/>
                      <w:szCs w:val="21"/>
                    </w:rPr>
                  </w:pPr>
                  <w:r>
                    <w:rPr>
                      <w:rFonts w:ascii="Times New Roman" w:hAnsi="Times New Roman" w:cs="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Merge w:val="restar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固废</w:t>
                  </w:r>
                </w:p>
              </w:tc>
              <w:tc>
                <w:tcPr>
                  <w:tcW w:w="3238"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生活垃圾集中收集，市政部门统一清运。</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生活垃圾集中收集，市政部门统一清运。</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Merge w:val="continue"/>
                  <w:vAlign w:val="center"/>
                </w:tcPr>
                <w:p>
                  <w:pPr>
                    <w:adjustRightInd/>
                    <w:snapToGrid/>
                    <w:spacing w:after="0"/>
                    <w:jc w:val="center"/>
                    <w:rPr>
                      <w:rFonts w:ascii="Times New Roman" w:hAnsi="Times New Roman" w:eastAsiaTheme="minorEastAsia"/>
                      <w:color w:val="auto"/>
                      <w:sz w:val="21"/>
                      <w:szCs w:val="21"/>
                    </w:rPr>
                  </w:pPr>
                </w:p>
              </w:tc>
              <w:tc>
                <w:tcPr>
                  <w:tcW w:w="3238"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清选工序产生的砂砾、土块等原料夹杂质</w:t>
                  </w:r>
                  <w:r>
                    <w:rPr>
                      <w:rFonts w:hint="eastAsia" w:ascii="Times New Roman" w:hAnsi="Times New Roman" w:eastAsiaTheme="minorEastAsia"/>
                      <w:color w:val="auto"/>
                      <w:sz w:val="21"/>
                      <w:szCs w:val="21"/>
                    </w:rPr>
                    <w:t>及烘干塔沉降废弃物</w:t>
                  </w:r>
                  <w:r>
                    <w:rPr>
                      <w:rFonts w:ascii="Times New Roman" w:hAnsi="Times New Roman" w:eastAsiaTheme="minorEastAsia"/>
                      <w:color w:val="auto"/>
                      <w:sz w:val="21"/>
                      <w:szCs w:val="21"/>
                    </w:rPr>
                    <w:t>，集中收集后由市政部门统一处理。</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清选工序产生的砂砾、土块等原料夹杂质</w:t>
                  </w:r>
                  <w:r>
                    <w:rPr>
                      <w:rFonts w:hint="eastAsia" w:ascii="Times New Roman" w:hAnsi="Times New Roman" w:eastAsiaTheme="minorEastAsia"/>
                      <w:color w:val="auto"/>
                      <w:sz w:val="21"/>
                      <w:szCs w:val="21"/>
                    </w:rPr>
                    <w:t>及烘干塔沉降废弃物</w:t>
                  </w:r>
                  <w:r>
                    <w:rPr>
                      <w:rFonts w:ascii="Times New Roman" w:hAnsi="Times New Roman" w:eastAsiaTheme="minorEastAsia"/>
                      <w:color w:val="auto"/>
                      <w:sz w:val="21"/>
                      <w:szCs w:val="21"/>
                    </w:rPr>
                    <w:t>，集中收集后由市政部门统一处理。</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Merge w:val="continue"/>
                  <w:vAlign w:val="center"/>
                </w:tcPr>
                <w:p>
                  <w:pPr>
                    <w:adjustRightInd/>
                    <w:snapToGrid/>
                    <w:spacing w:after="0"/>
                    <w:jc w:val="center"/>
                    <w:rPr>
                      <w:rFonts w:ascii="Times New Roman" w:hAnsi="Times New Roman" w:eastAsiaTheme="minorEastAsia"/>
                      <w:color w:val="auto"/>
                      <w:sz w:val="21"/>
                      <w:szCs w:val="21"/>
                    </w:rPr>
                  </w:pPr>
                </w:p>
              </w:tc>
              <w:tc>
                <w:tcPr>
                  <w:tcW w:w="3238"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热风炉布袋除尘器收集粉尘，集中收集后由市政部门统一处理。</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热风炉布袋除尘器收集粉尘，集中收集后由市政部门统一处理。</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58" w:type="dxa"/>
                  <w:vMerge w:val="continue"/>
                  <w:vAlign w:val="center"/>
                </w:tcPr>
                <w:p>
                  <w:pPr>
                    <w:pStyle w:val="55"/>
                    <w:widowControl/>
                    <w:tabs>
                      <w:tab w:val="left" w:pos="6480"/>
                    </w:tabs>
                    <w:rPr>
                      <w:rFonts w:cs="Times New Roman"/>
                      <w:snapToGrid w:val="0"/>
                      <w:color w:val="auto"/>
                    </w:rPr>
                  </w:pPr>
                </w:p>
              </w:tc>
              <w:tc>
                <w:tcPr>
                  <w:tcW w:w="699" w:type="dxa"/>
                  <w:vMerge w:val="continue"/>
                  <w:vAlign w:val="center"/>
                </w:tcPr>
                <w:p>
                  <w:pPr>
                    <w:adjustRightInd/>
                    <w:snapToGrid/>
                    <w:spacing w:after="0"/>
                    <w:jc w:val="center"/>
                    <w:rPr>
                      <w:rFonts w:ascii="Times New Roman" w:hAnsi="Times New Roman" w:eastAsiaTheme="minorEastAsia"/>
                      <w:color w:val="auto"/>
                      <w:sz w:val="21"/>
                      <w:szCs w:val="21"/>
                    </w:rPr>
                  </w:pPr>
                </w:p>
              </w:tc>
              <w:tc>
                <w:tcPr>
                  <w:tcW w:w="3238"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热风炉产生的</w:t>
                  </w:r>
                  <w:r>
                    <w:rPr>
                      <w:rFonts w:hint="eastAsia" w:ascii="Times New Roman" w:hAnsi="Times New Roman" w:eastAsiaTheme="minorEastAsia"/>
                      <w:color w:val="auto"/>
                      <w:sz w:val="21"/>
                      <w:szCs w:val="21"/>
                    </w:rPr>
                    <w:t>灰渣外售综合利用</w:t>
                  </w:r>
                </w:p>
              </w:tc>
              <w:tc>
                <w:tcPr>
                  <w:tcW w:w="3244" w:type="dxa"/>
                  <w:vAlign w:val="center"/>
                </w:tcPr>
                <w:p>
                  <w:pPr>
                    <w:adjustRightInd/>
                    <w:snapToGrid/>
                    <w:spacing w:after="0"/>
                    <w:jc w:val="both"/>
                    <w:rPr>
                      <w:rFonts w:ascii="Times New Roman" w:hAnsi="Times New Roman" w:eastAsiaTheme="minorEastAsia"/>
                      <w:color w:val="auto"/>
                      <w:sz w:val="21"/>
                      <w:szCs w:val="21"/>
                    </w:rPr>
                  </w:pPr>
                  <w:r>
                    <w:rPr>
                      <w:rFonts w:ascii="Times New Roman" w:hAnsi="Times New Roman" w:eastAsiaTheme="minorEastAsia"/>
                      <w:color w:val="auto"/>
                      <w:sz w:val="21"/>
                      <w:szCs w:val="21"/>
                    </w:rPr>
                    <w:t>热风炉产生的</w:t>
                  </w:r>
                  <w:r>
                    <w:rPr>
                      <w:rFonts w:hint="eastAsia" w:ascii="Times New Roman" w:hAnsi="Times New Roman" w:eastAsiaTheme="minorEastAsia"/>
                      <w:color w:val="auto"/>
                      <w:sz w:val="21"/>
                      <w:szCs w:val="21"/>
                    </w:rPr>
                    <w:t>灰渣外售综合利用</w:t>
                  </w:r>
                </w:p>
              </w:tc>
              <w:tc>
                <w:tcPr>
                  <w:tcW w:w="1299" w:type="dxa"/>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符合一致</w:t>
                  </w:r>
                </w:p>
              </w:tc>
            </w:tr>
          </w:tbl>
          <w:p>
            <w:pPr>
              <w:pStyle w:val="33"/>
              <w:adjustRightInd/>
              <w:snapToGrid/>
              <w:spacing w:line="360" w:lineRule="auto"/>
              <w:rPr>
                <w:rFonts w:ascii="Times New Roman" w:hAnsi="Times New Roman" w:cs="Times New Roman"/>
                <w:color w:val="auto"/>
              </w:rPr>
            </w:pPr>
            <w:r>
              <w:rPr>
                <w:rFonts w:ascii="Times New Roman" w:hAnsi="Times New Roman" w:cs="Times New Roman"/>
                <w:color w:val="auto"/>
              </w:rPr>
              <w:t>项目变动情况：</w:t>
            </w:r>
          </w:p>
          <w:p>
            <w:pPr>
              <w:pStyle w:val="33"/>
              <w:adjustRightInd/>
              <w:snapToGrid/>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根据环办环评函[2020]688号《关于印发《污染影响类建设项目重大变动清单（试行）》的通知》，根据《环境影响评价法》和《建设项目环境保护管理条例》有关规定，本项目</w:t>
            </w:r>
            <w:r>
              <w:rPr>
                <w:rFonts w:hint="eastAsia" w:ascii="Times New Roman" w:hAnsi="Times New Roman" w:cs="Times New Roman"/>
                <w:color w:val="auto"/>
              </w:rPr>
              <w:t>未</w:t>
            </w:r>
            <w:r>
              <w:rPr>
                <w:rFonts w:ascii="Times New Roman" w:hAnsi="Times New Roman" w:cs="Times New Roman"/>
                <w:color w:val="auto"/>
              </w:rPr>
              <w:t>涉及重大变动</w:t>
            </w:r>
            <w:r>
              <w:rPr>
                <w:rFonts w:hint="eastAsia" w:ascii="Times New Roman" w:hAnsi="Times New Roman" w:cs="Times New Roman"/>
                <w:color w:val="auto"/>
              </w:rPr>
              <w:t>，</w:t>
            </w:r>
            <w:r>
              <w:rPr>
                <w:rFonts w:ascii="Times New Roman" w:hAnsi="Times New Roman" w:cs="Times New Roman"/>
                <w:color w:val="auto"/>
              </w:rPr>
              <w:t>本次验收根据实际建设内容进行验收</w:t>
            </w:r>
            <w:r>
              <w:rPr>
                <w:rFonts w:hint="eastAsia" w:ascii="Times New Roman" w:hAnsi="Times New Roman" w:cs="Times New Roman"/>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tcPr>
          <w:p>
            <w:pPr>
              <w:adjustRightInd/>
              <w:snapToGrid/>
              <w:spacing w:after="0" w:line="360" w:lineRule="auto"/>
              <w:jc w:val="both"/>
              <w:rPr>
                <w:rFonts w:ascii="Times New Roman" w:hAnsi="Times New Roman" w:eastAsia="宋体"/>
                <w:color w:val="auto"/>
                <w:sz w:val="24"/>
                <w:szCs w:val="24"/>
              </w:rPr>
            </w:pPr>
            <w:r>
              <w:rPr>
                <w:rFonts w:ascii="Times New Roman" w:hAnsi="Times New Roman" w:eastAsia="宋体"/>
                <w:color w:val="auto"/>
                <w:sz w:val="24"/>
                <w:szCs w:val="24"/>
              </w:rPr>
              <w:t>原辅材料消耗：</w:t>
            </w:r>
          </w:p>
          <w:p>
            <w:pPr>
              <w:widowControl w:val="0"/>
              <w:autoSpaceDE w:val="0"/>
              <w:autoSpaceDN w:val="0"/>
              <w:snapToGrid/>
              <w:spacing w:line="360" w:lineRule="auto"/>
              <w:ind w:firstLine="480" w:firstLineChars="200"/>
              <w:rPr>
                <w:rFonts w:ascii="Times New Roman" w:hAnsi="Times New Roman" w:eastAsia="宋体"/>
                <w:color w:val="auto"/>
                <w:sz w:val="24"/>
                <w:szCs w:val="20"/>
              </w:rPr>
            </w:pPr>
            <w:r>
              <w:rPr>
                <w:rFonts w:ascii="Times New Roman" w:hAnsi="Times New Roman" w:eastAsia="宋体"/>
                <w:color w:val="auto"/>
                <w:sz w:val="24"/>
                <w:szCs w:val="20"/>
              </w:rPr>
              <w:t>项目主要原辅材料用量及来源见表2-2。</w:t>
            </w:r>
          </w:p>
          <w:p>
            <w:pPr>
              <w:widowControl w:val="0"/>
              <w:snapToGrid/>
              <w:spacing w:after="0"/>
              <w:jc w:val="center"/>
              <w:rPr>
                <w:rFonts w:ascii="Times New Roman" w:hAnsi="Times New Roman" w:eastAsia="黑体"/>
                <w:color w:val="auto"/>
                <w:sz w:val="24"/>
                <w:szCs w:val="20"/>
              </w:rPr>
            </w:pPr>
            <w:r>
              <w:rPr>
                <w:rFonts w:ascii="Times New Roman" w:hAnsi="Times New Roman" w:eastAsia="黑体"/>
                <w:bCs/>
                <w:color w:val="auto"/>
                <w:sz w:val="24"/>
                <w:szCs w:val="20"/>
              </w:rPr>
              <w:t>表2-2  主要原辅材料用量及来源一览表</w:t>
            </w:r>
          </w:p>
          <w:tbl>
            <w:tblPr>
              <w:tblStyle w:val="28"/>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0"/>
              <w:gridCol w:w="2807"/>
              <w:gridCol w:w="2419"/>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8"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序号</w:t>
                  </w:r>
                </w:p>
              </w:tc>
              <w:tc>
                <w:tcPr>
                  <w:tcW w:w="1490"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主要原辅材料</w:t>
                  </w:r>
                </w:p>
              </w:tc>
              <w:tc>
                <w:tcPr>
                  <w:tcW w:w="1284"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年消耗量</w:t>
                  </w:r>
                </w:p>
              </w:tc>
              <w:tc>
                <w:tcPr>
                  <w:tcW w:w="1056"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8"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1</w:t>
                  </w:r>
                </w:p>
              </w:tc>
              <w:tc>
                <w:tcPr>
                  <w:tcW w:w="1490" w:type="pct"/>
                  <w:tcBorders>
                    <w:tl2br w:val="nil"/>
                    <w:tr2bl w:val="nil"/>
                  </w:tcBorders>
                  <w:vAlign w:val="center"/>
                </w:tcPr>
                <w:p>
                  <w:pPr>
                    <w:spacing w:after="0"/>
                    <w:jc w:val="center"/>
                    <w:rPr>
                      <w:rFonts w:ascii="Times New Roman" w:hAnsi="Times New Roman" w:eastAsia="宋体"/>
                      <w:color w:val="auto"/>
                      <w:sz w:val="21"/>
                      <w:szCs w:val="21"/>
                    </w:rPr>
                  </w:pPr>
                  <w:r>
                    <w:rPr>
                      <w:rFonts w:hint="eastAsia" w:ascii="Times New Roman" w:hAnsi="Times New Roman" w:eastAsia="宋体"/>
                      <w:bCs/>
                      <w:color w:val="auto"/>
                      <w:sz w:val="21"/>
                      <w:szCs w:val="21"/>
                    </w:rPr>
                    <w:t>玉米</w:t>
                  </w:r>
                  <w:r>
                    <w:rPr>
                      <w:rFonts w:ascii="Times New Roman" w:hAnsi="Times New Roman" w:eastAsia="宋体"/>
                      <w:bCs/>
                      <w:color w:val="auto"/>
                      <w:sz w:val="21"/>
                      <w:szCs w:val="21"/>
                      <w:lang w:val="fr-FR"/>
                    </w:rPr>
                    <w:t>（</w:t>
                  </w:r>
                  <w:r>
                    <w:rPr>
                      <w:rFonts w:ascii="Times New Roman" w:hAnsi="Times New Roman" w:eastAsia="宋体"/>
                      <w:bCs/>
                      <w:color w:val="auto"/>
                      <w:sz w:val="21"/>
                      <w:szCs w:val="21"/>
                    </w:rPr>
                    <w:t>含水率</w:t>
                  </w:r>
                  <w:r>
                    <w:rPr>
                      <w:rFonts w:hint="eastAsia" w:ascii="Times New Roman" w:hAnsi="Times New Roman" w:eastAsia="宋体"/>
                      <w:bCs/>
                      <w:color w:val="auto"/>
                      <w:sz w:val="21"/>
                      <w:szCs w:val="21"/>
                    </w:rPr>
                    <w:t>约30</w:t>
                  </w:r>
                  <w:r>
                    <w:rPr>
                      <w:rFonts w:ascii="Times New Roman" w:hAnsi="Times New Roman" w:eastAsia="宋体"/>
                      <w:bCs/>
                      <w:color w:val="auto"/>
                      <w:sz w:val="21"/>
                      <w:szCs w:val="21"/>
                    </w:rPr>
                    <w:t>%</w:t>
                  </w:r>
                  <w:r>
                    <w:rPr>
                      <w:rFonts w:ascii="Times New Roman" w:hAnsi="Times New Roman" w:eastAsia="宋体"/>
                      <w:bCs/>
                      <w:color w:val="auto"/>
                      <w:sz w:val="21"/>
                      <w:szCs w:val="21"/>
                      <w:lang w:val="fr-FR"/>
                    </w:rPr>
                    <w:t>）</w:t>
                  </w:r>
                </w:p>
              </w:tc>
              <w:tc>
                <w:tcPr>
                  <w:tcW w:w="1284"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30000t/a</w:t>
                  </w:r>
                </w:p>
              </w:tc>
              <w:tc>
                <w:tcPr>
                  <w:tcW w:w="1056"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8"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2</w:t>
                  </w:r>
                </w:p>
              </w:tc>
              <w:tc>
                <w:tcPr>
                  <w:tcW w:w="1490" w:type="pct"/>
                  <w:tcBorders>
                    <w:tl2br w:val="nil"/>
                    <w:tr2bl w:val="nil"/>
                  </w:tcBorders>
                  <w:vAlign w:val="center"/>
                </w:tcPr>
                <w:p>
                  <w:pPr>
                    <w:spacing w:after="0"/>
                    <w:jc w:val="center"/>
                    <w:rPr>
                      <w:rFonts w:ascii="Times New Roman" w:hAnsi="Times New Roman" w:eastAsia="宋体"/>
                      <w:color w:val="auto"/>
                      <w:sz w:val="21"/>
                      <w:szCs w:val="21"/>
                    </w:rPr>
                  </w:pPr>
                  <w:r>
                    <w:rPr>
                      <w:rFonts w:hint="eastAsia" w:ascii="Times New Roman" w:hAnsi="Times New Roman" w:eastAsia="宋体"/>
                      <w:bCs/>
                      <w:color w:val="auto"/>
                      <w:sz w:val="21"/>
                      <w:szCs w:val="21"/>
                    </w:rPr>
                    <w:t>生物质成型燃料</w:t>
                  </w:r>
                </w:p>
              </w:tc>
              <w:tc>
                <w:tcPr>
                  <w:tcW w:w="1284"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3409.9t/a</w:t>
                  </w:r>
                </w:p>
              </w:tc>
              <w:tc>
                <w:tcPr>
                  <w:tcW w:w="1056" w:type="pct"/>
                  <w:tcBorders>
                    <w:tl2br w:val="nil"/>
                    <w:tr2bl w:val="nil"/>
                  </w:tcBorders>
                </w:tcPr>
                <w:p>
                  <w:pPr>
                    <w:adjustRightInd/>
                    <w:snapToGrid/>
                    <w:spacing w:after="0"/>
                    <w:jc w:val="center"/>
                    <w:rPr>
                      <w:rFonts w:ascii="Times New Roman" w:hAnsi="Times New Roman" w:eastAsia="宋体"/>
                      <w:color w:val="auto"/>
                      <w:sz w:val="21"/>
                      <w:szCs w:val="21"/>
                    </w:rPr>
                  </w:pPr>
                  <w:r>
                    <w:rPr>
                      <w:rFonts w:hint="eastAsia" w:ascii="Times New Roman" w:hAnsi="Times New Roman" w:eastAsia="宋体"/>
                      <w:color w:val="auto"/>
                      <w:sz w:val="21"/>
                      <w:szCs w:val="21"/>
                    </w:rPr>
                    <w:t>外购</w:t>
                  </w:r>
                </w:p>
              </w:tc>
            </w:tr>
          </w:tbl>
          <w:p>
            <w:pPr>
              <w:adjustRightInd/>
              <w:snapToGrid/>
              <w:spacing w:after="0" w:line="360" w:lineRule="auto"/>
              <w:ind w:firstLine="440" w:firstLineChars="200"/>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3" w:hRule="atLeast"/>
        </w:trPr>
        <w:tc>
          <w:tcPr>
            <w:tcW w:w="5000" w:type="pct"/>
          </w:tcPr>
          <w:p>
            <w:pPr>
              <w:pStyle w:val="6"/>
              <w:snapToGrid/>
              <w:spacing w:before="0" w:after="0" w:line="400" w:lineRule="atLeast"/>
              <w:ind w:firstLine="0"/>
              <w:rPr>
                <w:rFonts w:ascii="Times New Roman" w:hAnsi="Times New Roman"/>
                <w:color w:val="auto"/>
                <w:sz w:val="24"/>
                <w:szCs w:val="24"/>
              </w:rPr>
            </w:pPr>
            <w:r>
              <w:rPr>
                <w:rFonts w:ascii="Times New Roman" w:hAnsi="Times New Roman"/>
                <w:color w:val="auto"/>
                <w:sz w:val="24"/>
                <w:szCs w:val="24"/>
              </w:rPr>
              <w:t>主要工艺流程及产污环节（附处理工艺流程图，标出产污节点）：</w:t>
            </w:r>
          </w:p>
          <w:p>
            <w:pPr>
              <w:pStyle w:val="6"/>
              <w:spacing w:line="240" w:lineRule="auto"/>
              <w:ind w:firstLine="0"/>
              <w:jc w:val="both"/>
              <w:rPr>
                <w:rFonts w:ascii="Times New Roman" w:hAnsi="Times New Roman"/>
                <w:color w:val="auto"/>
                <w:sz w:val="24"/>
                <w:szCs w:val="24"/>
              </w:rPr>
            </w:pPr>
            <w:r>
              <w:rPr>
                <w:rFonts w:ascii="Times New Roman" w:hAnsi="Times New Roman"/>
                <w:color w:val="auto"/>
                <w:sz w:val="24"/>
                <w:szCs w:val="24"/>
              </w:rPr>
              <w:t>运营期工艺流程及产污节点见图2-</w:t>
            </w:r>
            <w:r>
              <w:rPr>
                <w:rFonts w:hint="eastAsia" w:ascii="Times New Roman" w:hAnsi="Times New Roman"/>
                <w:color w:val="auto"/>
                <w:sz w:val="24"/>
                <w:szCs w:val="24"/>
              </w:rPr>
              <w:t>1和2-2</w:t>
            </w:r>
            <w:r>
              <w:rPr>
                <w:rFonts w:ascii="Times New Roman" w:hAnsi="Times New Roman"/>
                <w:color w:val="auto"/>
                <w:sz w:val="24"/>
                <w:szCs w:val="24"/>
              </w:rPr>
              <w:t>。</w:t>
            </w:r>
          </w:p>
          <w:p>
            <w:pPr>
              <w:jc w:val="center"/>
              <w:rPr>
                <w:bCs/>
                <w:color w:val="auto"/>
                <w:sz w:val="24"/>
              </w:rPr>
            </w:pP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1595755</wp:posOffset>
                      </wp:positionH>
                      <wp:positionV relativeFrom="paragraph">
                        <wp:posOffset>1644650</wp:posOffset>
                      </wp:positionV>
                      <wp:extent cx="334010" cy="12700"/>
                      <wp:effectExtent l="0" t="45720" r="1270" b="48260"/>
                      <wp:wrapNone/>
                      <wp:docPr id="25" name="直接箭头连接符 25"/>
                      <wp:cNvGraphicFramePr/>
                      <a:graphic xmlns:a="http://schemas.openxmlformats.org/drawingml/2006/main">
                        <a:graphicData uri="http://schemas.microsoft.com/office/word/2010/wordprocessingShape">
                          <wps:wsp>
                            <wps:cNvCnPr/>
                            <wps:spPr>
                              <a:xfrm flipH="1" flipV="1">
                                <a:off x="0" y="0"/>
                                <a:ext cx="334010" cy="12700"/>
                              </a:xfrm>
                              <a:prstGeom prst="straightConnector1">
                                <a:avLst/>
                              </a:prstGeom>
                              <a:ln>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25.65pt;margin-top:129.5pt;height:1pt;width:26.3pt;z-index:251669504;mso-width-relative:page;mso-height-relative:page;" filled="f" stroked="t" coordsize="21600,21600" o:gfxdata="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C/R99cAAAALAQAADwAAAAAAAAABACAAAAAiAAAA&#10;ZHJzL2Rvd25yZXYueG1sUEsBAhQAFAAAAAgAh07iQCHRMSMIAgAA4AMAAA4AAAAAAAAAAQAgAAAA&#10;JgEAAGRycy9lMm9Eb2MueG1sUEsFBgAAAAAGAAYAWQEAAKAFAAAAAA==&#10;">
                      <v:fill on="f" focussize="0,0"/>
                      <v:stroke color="#0070C0 [3204]" joinstyle="round" endarrow="open"/>
                      <v:imagedata o:title=""/>
                      <o:lock v:ext="edit" aspectratio="f"/>
                    </v:shape>
                  </w:pict>
                </mc:Fallback>
              </mc:AlternateContent>
            </w:r>
            <w:r>
              <w:rPr>
                <w:color w:val="auto"/>
                <w:sz w:val="24"/>
              </w:rPr>
              <w:drawing>
                <wp:inline distT="0" distB="0" distL="114300" distR="114300">
                  <wp:extent cx="5006975" cy="3162935"/>
                  <wp:effectExtent l="0" t="0" r="6985" b="6985"/>
                  <wp:docPr id="7" name="图片 7" descr="5069c0dffb22962584d6f927c03e3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069c0dffb22962584d6f927c03e3b9"/>
                          <pic:cNvPicPr>
                            <a:picLocks noChangeAspect="1"/>
                          </pic:cNvPicPr>
                        </pic:nvPicPr>
                        <pic:blipFill>
                          <a:blip r:embed="rId14"/>
                          <a:stretch>
                            <a:fillRect/>
                          </a:stretch>
                        </pic:blipFill>
                        <pic:spPr>
                          <a:xfrm>
                            <a:off x="0" y="0"/>
                            <a:ext cx="5006975" cy="3162935"/>
                          </a:xfrm>
                          <a:prstGeom prst="rect">
                            <a:avLst/>
                          </a:prstGeom>
                        </pic:spPr>
                      </pic:pic>
                    </a:graphicData>
                  </a:graphic>
                </wp:inline>
              </w:drawing>
            </w:r>
          </w:p>
          <w:p>
            <w:pPr>
              <w:pStyle w:val="6"/>
              <w:spacing w:line="240" w:lineRule="auto"/>
              <w:ind w:firstLine="0"/>
              <w:jc w:val="center"/>
              <w:rPr>
                <w:rFonts w:ascii="Times New Roman" w:hAnsi="Times New Roman" w:eastAsia="黑体"/>
                <w:color w:val="auto"/>
                <w:sz w:val="24"/>
                <w:szCs w:val="24"/>
              </w:rPr>
            </w:pPr>
            <w:r>
              <w:rPr>
                <w:rFonts w:hint="eastAsia" w:ascii="Times New Roman" w:hAnsi="Times New Roman" w:eastAsia="黑体"/>
                <w:color w:val="auto"/>
                <w:sz w:val="24"/>
                <w:szCs w:val="24"/>
              </w:rPr>
              <w:t>图2-1   本项目烘干工艺流程及排污节点图</w:t>
            </w:r>
          </w:p>
          <w:p>
            <w:pPr>
              <w:pStyle w:val="6"/>
              <w:adjustRightInd/>
              <w:snapToGrid/>
              <w:spacing w:before="0" w:after="0" w:line="360" w:lineRule="auto"/>
              <w:ind w:firstLine="480" w:firstLineChars="200"/>
              <w:jc w:val="both"/>
              <w:rPr>
                <w:rFonts w:ascii="Times New Roman" w:hAnsi="Times New Roman"/>
                <w:color w:val="auto"/>
                <w:sz w:val="24"/>
                <w:szCs w:val="24"/>
              </w:rPr>
            </w:pPr>
            <w:r>
              <w:rPr>
                <w:rFonts w:hint="eastAsia" w:ascii="Times New Roman" w:hAnsi="Times New Roman"/>
                <w:color w:val="auto"/>
                <w:sz w:val="24"/>
                <w:szCs w:val="24"/>
              </w:rPr>
              <w:t>（一）烘干工艺流程：</w:t>
            </w:r>
          </w:p>
          <w:p>
            <w:pPr>
              <w:pStyle w:val="6"/>
              <w:adjustRightInd/>
              <w:snapToGrid/>
              <w:spacing w:before="0" w:after="0" w:line="360" w:lineRule="auto"/>
              <w:ind w:firstLine="480" w:firstLineChars="200"/>
              <w:jc w:val="both"/>
              <w:rPr>
                <w:rFonts w:ascii="Times New Roman" w:hAnsi="Times New Roman"/>
                <w:color w:val="auto"/>
                <w:sz w:val="24"/>
                <w:szCs w:val="24"/>
              </w:rPr>
            </w:pPr>
            <w:r>
              <w:rPr>
                <w:rFonts w:hint="eastAsia" w:ascii="Times New Roman" w:hAnsi="Times New Roman"/>
                <w:color w:val="auto"/>
                <w:sz w:val="24"/>
                <w:szCs w:val="24"/>
              </w:rPr>
              <w:t>汽运潮粮经过提升机进入清理机，除去其中的大部分大杂和小杂，确保清理后的潮粮满足烘干塔对原料品质的需求，同时降低杂质可提高烘干效果，本项目清筛过程清理湿粮食，为全封闭滚筒筛清理；经清理后的潮粮从潮粮仓出来经输送机和提升机进入粮食烘干塔进行烘干降水加工，烘后粮经出塔输送机和提升机进入干粮仓，烘后粮既可作为粮食加工原料，可直接外运仓库储藏保管。</w:t>
            </w:r>
          </w:p>
          <w:p>
            <w:pPr>
              <w:pStyle w:val="6"/>
              <w:adjustRightInd/>
              <w:snapToGrid/>
              <w:spacing w:before="0" w:after="0" w:line="360" w:lineRule="auto"/>
              <w:ind w:firstLine="480" w:firstLineChars="200"/>
              <w:jc w:val="both"/>
              <w:rPr>
                <w:rFonts w:ascii="Times New Roman" w:hAnsi="Times New Roman"/>
                <w:color w:val="auto"/>
              </w:rPr>
            </w:pPr>
            <w:r>
              <w:rPr>
                <w:rFonts w:hint="eastAsia" w:ascii="Times New Roman" w:hAnsi="Times New Roman"/>
                <w:color w:val="auto"/>
                <w:sz w:val="24"/>
                <w:szCs w:val="24"/>
              </w:rPr>
              <w:t>注：烘干过程中不添加熏蒸剂等化学试剂。</w:t>
            </w:r>
          </w:p>
        </w:tc>
      </w:tr>
    </w:tbl>
    <w:p>
      <w:pPr>
        <w:pStyle w:val="5"/>
        <w:rPr>
          <w:rFonts w:ascii="Times New Roman" w:hAnsi="Times New Roman" w:eastAsia="仿宋_GB2312"/>
          <w:color w:val="auto"/>
          <w:szCs w:val="28"/>
        </w:rPr>
        <w:sectPr>
          <w:footerReference r:id="rId9" w:type="default"/>
          <w:pgSz w:w="11906" w:h="16838"/>
          <w:pgMar w:top="1440" w:right="1080" w:bottom="1440" w:left="1080" w:header="708" w:footer="708" w:gutter="0"/>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7" w:name="_Toc20428"/>
      <w:r>
        <w:rPr>
          <w:rFonts w:ascii="Times New Roman" w:hAnsi="Times New Roman" w:eastAsia="黑体"/>
          <w:b w:val="0"/>
          <w:bCs w:val="0"/>
          <w:color w:val="auto"/>
          <w:sz w:val="28"/>
          <w:szCs w:val="28"/>
        </w:rPr>
        <w:t>表三</w:t>
      </w:r>
      <w:bookmarkEnd w:id="7"/>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3" w:hRule="atLeast"/>
        </w:trPr>
        <w:tc>
          <w:tcPr>
            <w:tcW w:w="9962" w:type="dxa"/>
          </w:tcPr>
          <w:p>
            <w:pPr>
              <w:spacing w:after="0" w:line="400" w:lineRule="atLeast"/>
              <w:jc w:val="both"/>
              <w:rPr>
                <w:rFonts w:ascii="Times New Roman" w:hAnsi="Times New Roman" w:eastAsia="宋体"/>
                <w:color w:val="auto"/>
                <w:sz w:val="24"/>
                <w:szCs w:val="24"/>
              </w:rPr>
            </w:pPr>
            <w:r>
              <w:rPr>
                <w:rFonts w:ascii="Times New Roman" w:hAnsi="Times New Roman" w:eastAsia="宋体"/>
                <w:color w:val="auto"/>
                <w:sz w:val="24"/>
                <w:szCs w:val="24"/>
              </w:rPr>
              <w:t>主要污染源、污染物处理和排放（附处理流程示意图，标出废水、废气、厂界噪声监测点位）</w:t>
            </w:r>
          </w:p>
          <w:p>
            <w:pPr>
              <w:spacing w:after="0" w:line="400" w:lineRule="atLeast"/>
              <w:jc w:val="center"/>
              <w:rPr>
                <w:rFonts w:ascii="Times New Roman" w:hAnsi="Times New Roman" w:eastAsia="宋体"/>
                <w:color w:val="auto"/>
                <w:sz w:val="24"/>
                <w:szCs w:val="24"/>
              </w:rPr>
            </w:pPr>
            <w:r>
              <w:rPr>
                <w:rFonts w:ascii="Times New Roman" w:hAnsi="Times New Roman" w:eastAsia="宋体"/>
                <w:color w:val="auto"/>
                <w:sz w:val="24"/>
                <w:szCs w:val="24"/>
              </w:rPr>
              <w:t>表3-1  污染物处理排放一览表</w:t>
            </w:r>
          </w:p>
          <w:tbl>
            <w:tblPr>
              <w:tblStyle w:val="28"/>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2"/>
              <w:gridCol w:w="1376"/>
              <w:gridCol w:w="1789"/>
              <w:gridCol w:w="1721"/>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pct"/>
                  <w:gridSpan w:val="2"/>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污染源</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污染物名称</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排放方式</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水污染物</w:t>
                  </w:r>
                </w:p>
              </w:tc>
              <w:tc>
                <w:tcPr>
                  <w:tcW w:w="707"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生活污水</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COD</w:t>
                  </w:r>
                </w:p>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氨氮</w:t>
                  </w:r>
                </w:p>
                <w:p>
                  <w:pPr>
                    <w:pStyle w:val="17"/>
                    <w:adjustRightInd/>
                    <w:snapToGrid/>
                    <w:spacing w:after="0" w:line="240" w:lineRule="auto"/>
                    <w:ind w:left="0" w:leftChars="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SS</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间断</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生活污水排入防渗旱厕，定期清掏，外运堆肥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Align w:val="center"/>
                </w:tcPr>
                <w:p>
                  <w:pPr>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废气</w:t>
                  </w:r>
                </w:p>
              </w:tc>
              <w:tc>
                <w:tcPr>
                  <w:tcW w:w="707" w:type="pct"/>
                  <w:vAlign w:val="center"/>
                </w:tcPr>
                <w:p>
                  <w:pPr>
                    <w:widowControl w:val="0"/>
                    <w:tabs>
                      <w:tab w:val="left" w:pos="1848"/>
                      <w:tab w:val="left" w:pos="6061"/>
                      <w:tab w:val="left" w:pos="8665"/>
                    </w:tabs>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热风炉</w:t>
                  </w:r>
                </w:p>
              </w:tc>
              <w:tc>
                <w:tcPr>
                  <w:tcW w:w="920" w:type="pct"/>
                  <w:vAlign w:val="center"/>
                </w:tcPr>
                <w:p>
                  <w:pPr>
                    <w:widowControl w:val="0"/>
                    <w:adjustRightInd/>
                    <w:snapToGrid/>
                    <w:spacing w:after="0"/>
                    <w:jc w:val="center"/>
                    <w:rPr>
                      <w:rFonts w:ascii="Times New Roman" w:hAnsi="Times New Roman" w:eastAsiaTheme="minorEastAsia"/>
                      <w:snapToGrid w:val="0"/>
                      <w:color w:val="auto"/>
                      <w:sz w:val="21"/>
                      <w:szCs w:val="21"/>
                    </w:rPr>
                  </w:pPr>
                  <w:r>
                    <w:rPr>
                      <w:rFonts w:hint="eastAsia" w:ascii="Times New Roman" w:hAnsi="Times New Roman" w:eastAsiaTheme="minorEastAsia"/>
                      <w:color w:val="auto"/>
                      <w:sz w:val="21"/>
                      <w:szCs w:val="21"/>
                    </w:rPr>
                    <w:t>颗粒物、烟气黑度、SO</w:t>
                  </w:r>
                  <w:r>
                    <w:rPr>
                      <w:rFonts w:hint="eastAsia" w:ascii="Times New Roman" w:hAnsi="Times New Roman" w:eastAsiaTheme="minorEastAsia"/>
                      <w:color w:val="auto"/>
                      <w:sz w:val="21"/>
                      <w:szCs w:val="21"/>
                      <w:vertAlign w:val="subscript"/>
                    </w:rPr>
                    <w:t>2</w:t>
                  </w:r>
                  <w:r>
                    <w:rPr>
                      <w:rFonts w:hint="eastAsia" w:ascii="Times New Roman" w:hAnsi="Times New Roman" w:eastAsiaTheme="minorEastAsia"/>
                      <w:color w:val="auto"/>
                      <w:sz w:val="21"/>
                      <w:szCs w:val="21"/>
                    </w:rPr>
                    <w:t>、NO</w:t>
                  </w:r>
                  <w:r>
                    <w:rPr>
                      <w:rFonts w:hint="eastAsia" w:ascii="Times New Roman" w:hAnsi="Times New Roman" w:eastAsiaTheme="minorEastAsia"/>
                      <w:color w:val="auto"/>
                      <w:sz w:val="21"/>
                      <w:szCs w:val="21"/>
                      <w:vertAlign w:val="subscript"/>
                    </w:rPr>
                    <w:t>X</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少量</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烟气经布袋除尘器（除尘效率为99%），达到《工业炉窑大气污染物排放标准》（GB9078-1996）中相关标准由高15m高排气筒排放。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噪声</w:t>
                  </w:r>
                </w:p>
              </w:tc>
              <w:tc>
                <w:tcPr>
                  <w:tcW w:w="707"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设备运行</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噪声</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间断</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低噪声设备，安装基础减振措施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Merge w:val="restart"/>
                  <w:vAlign w:val="center"/>
                </w:tcPr>
                <w:p>
                  <w:pPr>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固体废物</w:t>
                  </w:r>
                </w:p>
              </w:tc>
              <w:tc>
                <w:tcPr>
                  <w:tcW w:w="707" w:type="pct"/>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清选</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原料夹杂质及烘干塔沉降废弃物</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间断</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集中收集后由市政部门统一处理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Merge w:val="continue"/>
                  <w:vAlign w:val="center"/>
                </w:tcPr>
                <w:p>
                  <w:pPr>
                    <w:adjustRightInd/>
                    <w:snapToGrid/>
                    <w:spacing w:after="0"/>
                    <w:jc w:val="center"/>
                    <w:rPr>
                      <w:rFonts w:ascii="Times New Roman" w:hAnsi="Times New Roman" w:eastAsiaTheme="minorEastAsia"/>
                      <w:color w:val="auto"/>
                      <w:sz w:val="21"/>
                      <w:szCs w:val="21"/>
                    </w:rPr>
                  </w:pPr>
                </w:p>
              </w:tc>
              <w:tc>
                <w:tcPr>
                  <w:tcW w:w="707"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工作人员</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生活垃圾</w:t>
                  </w:r>
                </w:p>
              </w:tc>
              <w:tc>
                <w:tcPr>
                  <w:tcW w:w="885"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间断</w:t>
                  </w: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市政部门统一处理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vMerge w:val="continue"/>
                  <w:vAlign w:val="center"/>
                </w:tcPr>
                <w:p>
                  <w:pPr>
                    <w:adjustRightInd/>
                    <w:snapToGrid/>
                    <w:spacing w:after="0"/>
                    <w:jc w:val="center"/>
                    <w:rPr>
                      <w:rFonts w:ascii="Times New Roman" w:hAnsi="Times New Roman" w:eastAsiaTheme="minorEastAsia"/>
                      <w:color w:val="auto"/>
                      <w:sz w:val="21"/>
                      <w:szCs w:val="21"/>
                    </w:rPr>
                  </w:pPr>
                </w:p>
              </w:tc>
              <w:tc>
                <w:tcPr>
                  <w:tcW w:w="707" w:type="pct"/>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热风炉</w:t>
                  </w:r>
                </w:p>
              </w:tc>
              <w:tc>
                <w:tcPr>
                  <w:tcW w:w="920"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灰渣</w:t>
                  </w:r>
                </w:p>
              </w:tc>
              <w:tc>
                <w:tcPr>
                  <w:tcW w:w="885" w:type="pct"/>
                  <w:vAlign w:val="center"/>
                </w:tcPr>
                <w:p>
                  <w:pPr>
                    <w:adjustRightInd/>
                    <w:snapToGrid/>
                    <w:spacing w:after="0"/>
                    <w:jc w:val="center"/>
                    <w:rPr>
                      <w:rFonts w:ascii="Times New Roman" w:hAnsi="Times New Roman" w:eastAsiaTheme="minorEastAsia"/>
                      <w:color w:val="auto"/>
                      <w:sz w:val="21"/>
                      <w:szCs w:val="21"/>
                    </w:rPr>
                  </w:pPr>
                </w:p>
              </w:tc>
              <w:tc>
                <w:tcPr>
                  <w:tcW w:w="1666" w:type="pct"/>
                  <w:vAlign w:val="center"/>
                </w:tcPr>
                <w:p>
                  <w:pPr>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外售综合利用</w:t>
                  </w:r>
                </w:p>
              </w:tc>
            </w:tr>
          </w:tbl>
          <w:p>
            <w:pPr>
              <w:adjustRightInd/>
              <w:snapToGrid/>
              <w:spacing w:after="0"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处理排放流程：</w:t>
            </w:r>
          </w:p>
          <w:p>
            <w:pPr>
              <w:adjustRightInd/>
              <w:snapToGrid/>
              <w:spacing w:after="0" w:line="360" w:lineRule="auto"/>
              <w:rPr>
                <w:rFonts w:hint="eastAsia" w:ascii="Times New Roman" w:hAnsi="Times New Roman" w:eastAsia="宋体"/>
                <w:bCs/>
                <w:color w:val="auto"/>
                <w:sz w:val="24"/>
                <w:szCs w:val="24"/>
                <w:lang w:eastAsia="zh-CN"/>
              </w:rPr>
            </w:pPr>
            <w:r>
              <w:rPr>
                <w:rFonts w:hint="eastAsia" w:ascii="Times New Roman" w:hAnsi="Times New Roman" w:eastAsia="宋体"/>
                <w:bCs/>
                <w:color w:val="auto"/>
                <w:sz w:val="24"/>
                <w:szCs w:val="24"/>
                <w:lang w:eastAsia="zh-CN"/>
              </w:rPr>
              <w:t>（</w:t>
            </w:r>
            <w:r>
              <w:rPr>
                <w:rFonts w:hint="eastAsia" w:ascii="Times New Roman" w:hAnsi="Times New Roman" w:eastAsia="宋体"/>
                <w:bCs/>
                <w:color w:val="auto"/>
                <w:sz w:val="24"/>
                <w:szCs w:val="24"/>
                <w:lang w:val="en-US" w:eastAsia="zh-CN"/>
              </w:rPr>
              <w:t>1</w:t>
            </w:r>
            <w:r>
              <w:rPr>
                <w:rFonts w:hint="eastAsia" w:ascii="Times New Roman" w:hAnsi="Times New Roman" w:eastAsia="宋体"/>
                <w:bCs/>
                <w:color w:val="auto"/>
                <w:sz w:val="24"/>
                <w:szCs w:val="24"/>
                <w:lang w:eastAsia="zh-CN"/>
              </w:rPr>
              <w:t>）</w:t>
            </w:r>
            <w:r>
              <w:rPr>
                <w:rFonts w:ascii="Times New Roman" w:hAnsi="Times New Roman" w:eastAsia="宋体"/>
                <w:bCs/>
                <w:color w:val="auto"/>
                <w:sz w:val="24"/>
                <w:szCs w:val="24"/>
              </w:rPr>
              <w:t>生活污水排入防渗旱厕，定期清掏，外运堆肥</w:t>
            </w:r>
            <w:r>
              <w:rPr>
                <w:rFonts w:hint="eastAsia" w:ascii="Times New Roman" w:hAnsi="Times New Roman" w:eastAsia="宋体"/>
                <w:bCs/>
                <w:color w:val="auto"/>
                <w:sz w:val="24"/>
                <w:szCs w:val="24"/>
                <w:lang w:eastAsia="zh-CN"/>
              </w:rPr>
              <w:t>；</w:t>
            </w:r>
          </w:p>
          <w:p>
            <w:pPr>
              <w:adjustRightInd/>
              <w:snapToGrid/>
              <w:spacing w:after="0" w:line="360" w:lineRule="auto"/>
              <w:rPr>
                <w:rFonts w:ascii="Times New Roman" w:hAnsi="Times New Roman" w:eastAsia="宋体"/>
                <w:bCs/>
                <w:color w:val="auto"/>
                <w:sz w:val="24"/>
                <w:szCs w:val="24"/>
              </w:rPr>
            </w:pPr>
            <w:r>
              <w:rPr>
                <w:rFonts w:hint="eastAsia" w:ascii="Times New Roman" w:hAnsi="Times New Roman" w:eastAsia="宋体"/>
                <w:bCs/>
                <w:color w:val="auto"/>
                <w:sz w:val="24"/>
                <w:szCs w:val="24"/>
                <w:lang w:eastAsia="zh-CN"/>
              </w:rPr>
              <w:t>（</w:t>
            </w:r>
            <w:r>
              <w:rPr>
                <w:rFonts w:hint="eastAsia" w:ascii="Times New Roman" w:hAnsi="Times New Roman" w:eastAsia="宋体"/>
                <w:bCs/>
                <w:color w:val="auto"/>
                <w:sz w:val="24"/>
                <w:szCs w:val="24"/>
                <w:lang w:val="en-US" w:eastAsia="zh-CN"/>
              </w:rPr>
              <w:t>2</w:t>
            </w:r>
            <w:r>
              <w:rPr>
                <w:rFonts w:hint="eastAsia" w:ascii="Times New Roman" w:hAnsi="Times New Roman" w:eastAsia="宋体"/>
                <w:bCs/>
                <w:color w:val="auto"/>
                <w:sz w:val="24"/>
                <w:szCs w:val="24"/>
                <w:lang w:eastAsia="zh-CN"/>
              </w:rPr>
              <w:t>）</w:t>
            </w:r>
            <w:r>
              <w:rPr>
                <w:rFonts w:ascii="Times New Roman" w:hAnsi="Times New Roman" w:eastAsia="宋体"/>
                <w:bCs/>
                <w:color w:val="auto"/>
                <w:sz w:val="24"/>
                <w:szCs w:val="24"/>
              </w:rPr>
              <w:t>颗粒物、烟气黑度、SO</w:t>
            </w:r>
            <w:r>
              <w:rPr>
                <w:rFonts w:ascii="Times New Roman" w:hAnsi="Times New Roman" w:eastAsia="宋体"/>
                <w:bCs/>
                <w:color w:val="auto"/>
                <w:sz w:val="24"/>
                <w:szCs w:val="24"/>
                <w:vertAlign w:val="subscript"/>
              </w:rPr>
              <w:t>2</w:t>
            </w:r>
            <w:r>
              <w:rPr>
                <w:rFonts w:ascii="Times New Roman" w:hAnsi="Times New Roman" w:eastAsia="宋体"/>
                <w:bCs/>
                <w:color w:val="auto"/>
                <w:sz w:val="24"/>
                <w:szCs w:val="24"/>
              </w:rPr>
              <w:t>、NO</w:t>
            </w:r>
            <w:r>
              <w:rPr>
                <w:rFonts w:ascii="Times New Roman" w:hAnsi="Times New Roman" w:eastAsia="宋体"/>
                <w:bCs/>
                <w:color w:val="auto"/>
                <w:sz w:val="24"/>
                <w:szCs w:val="24"/>
                <w:vertAlign w:val="subscript"/>
              </w:rPr>
              <w:t>X</w:t>
            </w:r>
            <w:r>
              <w:rPr>
                <w:rFonts w:hint="eastAsia" w:ascii="Times New Roman" w:hAnsi="Times New Roman" w:eastAsia="宋体"/>
                <w:bCs/>
                <w:color w:val="auto"/>
                <w:sz w:val="24"/>
                <w:szCs w:val="24"/>
                <w:lang w:eastAsia="zh-CN"/>
              </w:rPr>
              <w:t>经</w:t>
            </w:r>
            <w:r>
              <w:rPr>
                <w:rFonts w:ascii="Times New Roman" w:hAnsi="Times New Roman" w:eastAsia="宋体"/>
                <w:bCs/>
                <w:color w:val="auto"/>
                <w:sz w:val="24"/>
                <w:szCs w:val="24"/>
              </w:rPr>
              <w:t>烟气经布袋除尘器（除尘效率为99%），达到《工业炉窑大气污染物排放标准》（GB9078-1996）中相关标准由高15m高排气筒排放。</w:t>
            </w:r>
          </w:p>
          <w:p>
            <w:pPr>
              <w:adjustRightInd/>
              <w:snapToGrid/>
              <w:spacing w:after="0" w:line="360" w:lineRule="auto"/>
              <w:rPr>
                <w:rFonts w:ascii="Times New Roman" w:hAnsi="Times New Roman"/>
                <w:color w:val="auto"/>
              </w:rPr>
            </w:pPr>
            <w:r>
              <w:rPr>
                <w:rFonts w:hint="eastAsia" w:ascii="Times New Roman" w:hAnsi="Times New Roman" w:eastAsia="宋体"/>
                <w:bCs/>
                <w:color w:val="auto"/>
                <w:sz w:val="24"/>
                <w:szCs w:val="24"/>
                <w:lang w:eastAsia="zh-CN"/>
              </w:rPr>
              <w:t>（</w:t>
            </w:r>
            <w:r>
              <w:rPr>
                <w:rFonts w:hint="eastAsia" w:ascii="Times New Roman" w:hAnsi="Times New Roman" w:eastAsia="宋体"/>
                <w:bCs/>
                <w:color w:val="auto"/>
                <w:sz w:val="24"/>
                <w:szCs w:val="24"/>
                <w:lang w:val="en-US" w:eastAsia="zh-CN"/>
              </w:rPr>
              <w:t>3</w:t>
            </w:r>
            <w:r>
              <w:rPr>
                <w:rFonts w:hint="eastAsia" w:ascii="Times New Roman" w:hAnsi="Times New Roman" w:eastAsia="宋体"/>
                <w:bCs/>
                <w:color w:val="auto"/>
                <w:sz w:val="24"/>
                <w:szCs w:val="24"/>
                <w:lang w:eastAsia="zh-CN"/>
              </w:rPr>
              <w:t>）使用</w:t>
            </w:r>
            <w:r>
              <w:rPr>
                <w:rFonts w:ascii="Times New Roman" w:hAnsi="Times New Roman" w:eastAsia="宋体"/>
                <w:bCs/>
                <w:color w:val="auto"/>
                <w:sz w:val="24"/>
                <w:szCs w:val="24"/>
              </w:rPr>
              <w:t>低噪声设备，安装基础减振措施</w:t>
            </w:r>
          </w:p>
          <w:p>
            <w:pPr>
              <w:adjustRightInd/>
              <w:snapToGrid/>
              <w:spacing w:after="0" w:line="360" w:lineRule="auto"/>
              <w:rPr>
                <w:rFonts w:ascii="Times New Roman" w:hAnsi="Times New Roman" w:eastAsia="宋体"/>
                <w:bCs/>
                <w:color w:val="auto"/>
                <w:sz w:val="24"/>
                <w:szCs w:val="24"/>
              </w:rPr>
            </w:pPr>
            <w:r>
              <w:rPr>
                <w:rFonts w:hint="eastAsia" w:ascii="Times New Roman" w:hAnsi="Times New Roman" w:eastAsia="宋体"/>
                <w:bCs/>
                <w:color w:val="auto"/>
                <w:sz w:val="24"/>
                <w:szCs w:val="24"/>
                <w:lang w:eastAsia="zh-CN"/>
              </w:rPr>
              <w:t>（</w:t>
            </w:r>
            <w:r>
              <w:rPr>
                <w:rFonts w:hint="eastAsia" w:ascii="Times New Roman" w:hAnsi="Times New Roman" w:eastAsia="宋体"/>
                <w:bCs/>
                <w:color w:val="auto"/>
                <w:sz w:val="24"/>
                <w:szCs w:val="24"/>
                <w:lang w:val="en-US" w:eastAsia="zh-CN"/>
              </w:rPr>
              <w:t>4</w:t>
            </w:r>
            <w:r>
              <w:rPr>
                <w:rFonts w:hint="eastAsia" w:ascii="Times New Roman" w:hAnsi="Times New Roman" w:eastAsia="宋体"/>
                <w:bCs/>
                <w:color w:val="auto"/>
                <w:sz w:val="24"/>
                <w:szCs w:val="24"/>
                <w:lang w:eastAsia="zh-CN"/>
              </w:rPr>
              <w:t>）</w:t>
            </w:r>
            <w:r>
              <w:rPr>
                <w:rFonts w:ascii="Times New Roman" w:hAnsi="Times New Roman" w:eastAsia="宋体"/>
                <w:bCs/>
                <w:color w:val="auto"/>
                <w:sz w:val="24"/>
                <w:szCs w:val="24"/>
              </w:rPr>
              <w:t>原料夹杂质及烘干塔沉降废弃物集中收集后由市政部门统一处理</w:t>
            </w:r>
            <w:r>
              <w:rPr>
                <w:rFonts w:hint="eastAsia" w:ascii="Times New Roman" w:hAnsi="Times New Roman" w:eastAsia="宋体"/>
                <w:bCs/>
                <w:color w:val="auto"/>
                <w:sz w:val="24"/>
                <w:szCs w:val="24"/>
                <w:lang w:eastAsia="zh-CN"/>
              </w:rPr>
              <w:t>；生活垃圾由市政部门统一处理；灰渣外售综合利用。</w:t>
            </w:r>
          </w:p>
          <w:p>
            <w:pPr>
              <w:pStyle w:val="33"/>
              <w:adjustRightInd/>
              <w:snapToGrid/>
              <w:spacing w:line="360" w:lineRule="auto"/>
              <w:rPr>
                <w:rFonts w:ascii="Times New Roman" w:hAnsi="Times New Roman" w:cs="Times New Roman"/>
                <w:b/>
                <w:color w:val="auto"/>
                <w:kern w:val="2"/>
              </w:rPr>
            </w:pPr>
            <w:r>
              <w:rPr>
                <w:rFonts w:ascii="Times New Roman" w:hAnsi="Times New Roman" w:cs="Times New Roman"/>
                <w:b/>
                <w:color w:val="auto"/>
                <w:kern w:val="2"/>
              </w:rPr>
              <w:t>2、废气检测点位示意图</w:t>
            </w:r>
          </w:p>
          <w:p>
            <w:pPr>
              <w:widowControl w:val="0"/>
              <w:adjustRightInd/>
              <w:snapToGrid/>
              <w:spacing w:after="0" w:line="360" w:lineRule="auto"/>
              <w:rPr>
                <w:rFonts w:ascii="Times New Roman" w:hAnsi="Times New Roman"/>
                <w:color w:val="auto"/>
              </w:rPr>
            </w:pPr>
            <w:r>
              <w:rPr>
                <w:rFonts w:hint="eastAsia" w:ascii="Times New Roman" w:hAnsi="Times New Roman"/>
                <w:color w:val="auto"/>
              </w:rPr>
              <w:t>（1）</w:t>
            </w:r>
            <w:r>
              <w:rPr>
                <w:rFonts w:ascii="Times New Roman" w:hAnsi="Times New Roman"/>
                <w:color w:val="auto"/>
              </w:rPr>
              <w:t>、</w:t>
            </w:r>
            <w:r>
              <w:rPr>
                <w:rFonts w:hint="eastAsia" w:ascii="Times New Roman" w:hAnsi="Times New Roman"/>
                <w:color w:val="auto"/>
              </w:rPr>
              <w:t>无组织</w:t>
            </w:r>
            <w:r>
              <w:rPr>
                <w:rFonts w:ascii="Times New Roman" w:hAnsi="Times New Roman"/>
                <w:color w:val="auto"/>
              </w:rPr>
              <w:t>废气检测点位示意图</w:t>
            </w:r>
          </w:p>
          <w:p>
            <w:pPr>
              <w:widowControl w:val="0"/>
              <w:adjustRightInd/>
              <w:snapToGrid/>
              <w:spacing w:after="0" w:line="360" w:lineRule="auto"/>
              <w:jc w:val="center"/>
              <w:rPr>
                <w:rFonts w:ascii="Times New Roman" w:hAnsi="Times New Roman"/>
                <w:color w:val="auto"/>
              </w:rPr>
            </w:pPr>
            <w:r>
              <w:rPr>
                <w:rFonts w:ascii="Times New Roman" w:hAnsi="Times New Roman"/>
                <w:color w:val="auto"/>
              </w:rPr>
              <w:drawing>
                <wp:inline distT="0" distB="0" distL="114300" distR="114300">
                  <wp:extent cx="6184900" cy="2155825"/>
                  <wp:effectExtent l="0" t="0" r="2540" b="8255"/>
                  <wp:docPr id="12" name="图片 12" descr="8eee6902f865f742ba4ea5db43b95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eee6902f865f742ba4ea5db43b952c"/>
                          <pic:cNvPicPr>
                            <a:picLocks noChangeAspect="1"/>
                          </pic:cNvPicPr>
                        </pic:nvPicPr>
                        <pic:blipFill>
                          <a:blip r:embed="rId15"/>
                          <a:stretch>
                            <a:fillRect/>
                          </a:stretch>
                        </pic:blipFill>
                        <pic:spPr>
                          <a:xfrm>
                            <a:off x="0" y="0"/>
                            <a:ext cx="6184900" cy="2155825"/>
                          </a:xfrm>
                          <a:prstGeom prst="rect">
                            <a:avLst/>
                          </a:prstGeom>
                        </pic:spPr>
                      </pic:pic>
                    </a:graphicData>
                  </a:graphic>
                </wp:inline>
              </w:drawing>
            </w:r>
          </w:p>
          <w:p>
            <w:pPr>
              <w:widowControl w:val="0"/>
              <w:adjustRightInd/>
              <w:snapToGrid/>
              <w:spacing w:after="0" w:line="360" w:lineRule="auto"/>
              <w:rPr>
                <w:rFonts w:ascii="Times New Roman" w:hAnsi="Times New Roman"/>
                <w:color w:val="auto"/>
              </w:rPr>
            </w:pPr>
            <w:r>
              <w:rPr>
                <w:rFonts w:hint="eastAsia" w:ascii="Times New Roman" w:hAnsi="Times New Roman"/>
                <w:color w:val="auto"/>
              </w:rPr>
              <w:t>（2）、有组织废气检测点位示意图</w:t>
            </w:r>
          </w:p>
          <w:p>
            <w:pPr>
              <w:rPr>
                <w:color w:val="auto"/>
              </w:rPr>
            </w:pPr>
            <w:r>
              <w:rPr>
                <w:rFonts w:hint="eastAsia"/>
                <w:color w:val="auto"/>
              </w:rPr>
              <w:drawing>
                <wp:inline distT="0" distB="0" distL="114300" distR="114300">
                  <wp:extent cx="6111240" cy="1676400"/>
                  <wp:effectExtent l="0" t="0" r="0" b="0"/>
                  <wp:docPr id="24" name="图片 24" descr="d99536431547de53dc9c45d6ad1b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d99536431547de53dc9c45d6ad1b596"/>
                          <pic:cNvPicPr>
                            <a:picLocks noChangeAspect="1"/>
                          </pic:cNvPicPr>
                        </pic:nvPicPr>
                        <pic:blipFill>
                          <a:blip r:embed="rId16"/>
                          <a:stretch>
                            <a:fillRect/>
                          </a:stretch>
                        </pic:blipFill>
                        <pic:spPr>
                          <a:xfrm>
                            <a:off x="0" y="0"/>
                            <a:ext cx="6111240" cy="1676400"/>
                          </a:xfrm>
                          <a:prstGeom prst="rect">
                            <a:avLst/>
                          </a:prstGeom>
                        </pic:spPr>
                      </pic:pic>
                    </a:graphicData>
                  </a:graphic>
                </wp:inline>
              </w:drawing>
            </w:r>
          </w:p>
          <w:p>
            <w:pPr>
              <w:widowControl w:val="0"/>
              <w:adjustRightInd/>
              <w:snapToGrid/>
              <w:spacing w:after="0" w:line="360" w:lineRule="auto"/>
              <w:rPr>
                <w:rFonts w:ascii="Times New Roman" w:hAnsi="Times New Roman" w:eastAsia="宋体"/>
                <w:b/>
                <w:color w:val="auto"/>
                <w:sz w:val="24"/>
                <w:szCs w:val="24"/>
              </w:rPr>
            </w:pPr>
            <w:r>
              <w:rPr>
                <w:rFonts w:hint="eastAsia" w:ascii="Times New Roman" w:hAnsi="Times New Roman" w:eastAsia="宋体"/>
                <w:b/>
                <w:color w:val="auto"/>
                <w:sz w:val="24"/>
                <w:szCs w:val="24"/>
              </w:rPr>
              <w:t>2</w:t>
            </w:r>
            <w:r>
              <w:rPr>
                <w:rFonts w:ascii="Times New Roman" w:hAnsi="Times New Roman" w:eastAsia="宋体"/>
                <w:b/>
                <w:color w:val="auto"/>
                <w:sz w:val="24"/>
                <w:szCs w:val="24"/>
              </w:rPr>
              <w:t>、噪声检测点位示意图</w:t>
            </w:r>
          </w:p>
          <w:p>
            <w:pPr>
              <w:pStyle w:val="33"/>
              <w:spacing w:line="360" w:lineRule="auto"/>
              <w:jc w:val="center"/>
              <w:rPr>
                <w:rFonts w:ascii="Times New Roman" w:hAnsi="Times New Roman" w:cs="Times New Roman"/>
                <w:color w:val="auto"/>
              </w:rPr>
            </w:pPr>
            <w:r>
              <w:rPr>
                <w:rFonts w:ascii="Times New Roman" w:hAnsi="Times New Roman" w:cs="Times New Roman"/>
                <w:color w:val="auto"/>
              </w:rPr>
              <w:drawing>
                <wp:inline distT="0" distB="0" distL="114300" distR="114300">
                  <wp:extent cx="6945630" cy="1548130"/>
                  <wp:effectExtent l="0" t="0" r="3810" b="6350"/>
                  <wp:docPr id="26" name="图片 26" descr="1648138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648138479(1)"/>
                          <pic:cNvPicPr>
                            <a:picLocks noChangeAspect="1"/>
                          </pic:cNvPicPr>
                        </pic:nvPicPr>
                        <pic:blipFill>
                          <a:blip r:embed="rId17"/>
                          <a:srcRect t="29345" b="22351"/>
                          <a:stretch>
                            <a:fillRect/>
                          </a:stretch>
                        </pic:blipFill>
                        <pic:spPr>
                          <a:xfrm>
                            <a:off x="0" y="0"/>
                            <a:ext cx="6945630" cy="1548130"/>
                          </a:xfrm>
                          <a:prstGeom prst="rect">
                            <a:avLst/>
                          </a:prstGeom>
                        </pic:spPr>
                      </pic:pic>
                    </a:graphicData>
                  </a:graphic>
                </wp:inline>
              </w:drawing>
            </w:r>
          </w:p>
          <w:p>
            <w:pPr>
              <w:pStyle w:val="33"/>
              <w:spacing w:line="360" w:lineRule="auto"/>
              <w:jc w:val="both"/>
              <w:rPr>
                <w:rFonts w:ascii="Times New Roman" w:hAnsi="Times New Roman" w:cs="Times New Roman"/>
                <w:color w:val="auto"/>
              </w:rPr>
            </w:pPr>
            <w:r>
              <w:rPr>
                <w:rFonts w:ascii="Times New Roman" w:hAnsi="Times New Roman" w:cs="Times New Roman"/>
                <w:color w:val="auto"/>
              </w:rPr>
              <w:t>（注：废气检测时间为202</w:t>
            </w:r>
            <w:r>
              <w:rPr>
                <w:rFonts w:hint="eastAsia" w:ascii="Times New Roman" w:hAnsi="Times New Roman" w:cs="Times New Roman"/>
                <w:color w:val="auto"/>
              </w:rPr>
              <w:t>4</w:t>
            </w:r>
            <w:r>
              <w:rPr>
                <w:rFonts w:ascii="Times New Roman" w:hAnsi="Times New Roman" w:cs="Times New Roman"/>
                <w:color w:val="auto"/>
              </w:rPr>
              <w:t>年</w:t>
            </w:r>
            <w:r>
              <w:rPr>
                <w:rFonts w:hint="eastAsia" w:ascii="Times New Roman" w:hAnsi="Times New Roman" w:cs="Times New Roman"/>
                <w:color w:val="auto"/>
              </w:rPr>
              <w:t>02</w:t>
            </w:r>
            <w:r>
              <w:rPr>
                <w:rFonts w:ascii="Times New Roman" w:hAnsi="Times New Roman" w:cs="Times New Roman"/>
                <w:color w:val="auto"/>
              </w:rPr>
              <w:t>月</w:t>
            </w:r>
            <w:r>
              <w:rPr>
                <w:rFonts w:hint="eastAsia" w:ascii="Times New Roman" w:hAnsi="Times New Roman" w:cs="Times New Roman"/>
                <w:color w:val="auto"/>
              </w:rPr>
              <w:t>29</w:t>
            </w:r>
            <w:r>
              <w:rPr>
                <w:rFonts w:ascii="Times New Roman" w:hAnsi="Times New Roman" w:cs="Times New Roman"/>
                <w:color w:val="auto"/>
              </w:rPr>
              <w:t>日-</w:t>
            </w:r>
            <w:r>
              <w:rPr>
                <w:rFonts w:hint="eastAsia" w:ascii="Times New Roman" w:hAnsi="Times New Roman" w:cs="Times New Roman"/>
                <w:color w:val="auto"/>
              </w:rPr>
              <w:t>03</w:t>
            </w:r>
            <w:r>
              <w:rPr>
                <w:rFonts w:ascii="Times New Roman" w:hAnsi="Times New Roman" w:cs="Times New Roman"/>
                <w:color w:val="auto"/>
              </w:rPr>
              <w:t>月</w:t>
            </w:r>
            <w:r>
              <w:rPr>
                <w:rFonts w:hint="eastAsia" w:ascii="Times New Roman" w:hAnsi="Times New Roman" w:cs="Times New Roman"/>
                <w:color w:val="auto"/>
              </w:rPr>
              <w:t>01</w:t>
            </w:r>
            <w:r>
              <w:rPr>
                <w:rFonts w:ascii="Times New Roman" w:hAnsi="Times New Roman" w:cs="Times New Roman"/>
                <w:color w:val="auto"/>
              </w:rPr>
              <w:t>日，天气晴，风速1.7m/s— 3.7m/s。监测期间均为</w:t>
            </w:r>
            <w:r>
              <w:rPr>
                <w:rFonts w:hint="eastAsia" w:ascii="Times New Roman" w:hAnsi="Times New Roman" w:cs="Times New Roman"/>
                <w:color w:val="auto"/>
              </w:rPr>
              <w:t>西北</w:t>
            </w:r>
            <w:r>
              <w:rPr>
                <w:rFonts w:ascii="Times New Roman" w:hAnsi="Times New Roman" w:cs="Times New Roman"/>
                <w:color w:val="auto"/>
              </w:rPr>
              <w:t>风，因此确定监测点位见上图）</w:t>
            </w: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p>
            <w:pPr>
              <w:pStyle w:val="33"/>
              <w:spacing w:line="360" w:lineRule="auto"/>
              <w:jc w:val="both"/>
              <w:rPr>
                <w:rFonts w:ascii="Times New Roman" w:hAnsi="Times New Roman" w:cs="Times New Roman"/>
                <w:color w:val="auto"/>
              </w:rPr>
            </w:pPr>
          </w:p>
        </w:tc>
      </w:tr>
    </w:tbl>
    <w:p>
      <w:pPr>
        <w:pStyle w:val="5"/>
        <w:spacing w:before="0" w:after="0" w:line="240" w:lineRule="auto"/>
        <w:rPr>
          <w:rFonts w:ascii="Times New Roman" w:hAnsi="Times New Roman" w:eastAsia="仿宋_GB2312"/>
          <w:color w:val="auto"/>
          <w:szCs w:val="28"/>
        </w:rPr>
        <w:sectPr>
          <w:pgSz w:w="11906" w:h="16838"/>
          <w:pgMar w:top="1440" w:right="1080" w:bottom="1440" w:left="1080" w:header="708" w:footer="708" w:gutter="0"/>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8" w:name="_Toc22011"/>
      <w:r>
        <w:rPr>
          <w:rFonts w:ascii="Times New Roman" w:hAnsi="Times New Roman" w:eastAsia="黑体"/>
          <w:b w:val="0"/>
          <w:bCs w:val="0"/>
          <w:color w:val="auto"/>
          <w:sz w:val="28"/>
          <w:szCs w:val="28"/>
        </w:rPr>
        <w:t>表四</w:t>
      </w:r>
      <w:bookmarkEnd w:id="8"/>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9" w:hRule="atLeast"/>
        </w:trPr>
        <w:tc>
          <w:tcPr>
            <w:tcW w:w="9962" w:type="dxa"/>
          </w:tcPr>
          <w:p>
            <w:pPr>
              <w:adjustRightInd/>
              <w:snapToGrid/>
              <w:spacing w:after="0" w:line="360" w:lineRule="auto"/>
              <w:rPr>
                <w:rFonts w:ascii="Times New Roman" w:hAnsi="Times New Roman" w:eastAsia="宋体"/>
                <w:color w:val="auto"/>
                <w:sz w:val="24"/>
                <w:szCs w:val="24"/>
              </w:rPr>
            </w:pPr>
            <w:r>
              <w:rPr>
                <w:rFonts w:ascii="Times New Roman" w:hAnsi="Times New Roman" w:eastAsia="宋体"/>
                <w:color w:val="auto"/>
                <w:sz w:val="24"/>
                <w:szCs w:val="24"/>
              </w:rPr>
              <w:t>建设项目环境影响报告表主要结论及审批部门审批决定：</w:t>
            </w:r>
          </w:p>
          <w:p>
            <w:pPr>
              <w:widowControl w:val="0"/>
              <w:adjustRightInd/>
              <w:snapToGrid/>
              <w:spacing w:after="0" w:line="360" w:lineRule="auto"/>
              <w:jc w:val="both"/>
              <w:rPr>
                <w:rFonts w:ascii="Times New Roman" w:hAnsi="Times New Roman" w:eastAsia="黑体"/>
                <w:color w:val="auto"/>
                <w:sz w:val="24"/>
                <w:szCs w:val="24"/>
              </w:rPr>
            </w:pPr>
            <w:r>
              <w:rPr>
                <w:rFonts w:ascii="Times New Roman" w:hAnsi="Times New Roman" w:eastAsia="黑体"/>
                <w:color w:val="auto"/>
                <w:sz w:val="24"/>
                <w:szCs w:val="24"/>
              </w:rPr>
              <w:t>环境影响报告表主要结论：</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1  运营期地表水环境影响评价结论</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根据《环境影响评价技术导则  地表水环境》（HJ2.3-2018）中5.2.2.2要求，本项目废水主要为生活污水，生活污水排入防渗旱厕，定期清掏，外运堆肥，不外排</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综上，本项目对地表水环境的影响很小，可被环境接受</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2</w:t>
            </w:r>
            <w:r>
              <w:rPr>
                <w:rFonts w:ascii="Times New Roman" w:hAnsi="Times New Roman" w:eastAsia="宋体"/>
                <w:color w:val="auto"/>
                <w:sz w:val="24"/>
                <w:szCs w:val="24"/>
              </w:rPr>
              <w:t xml:space="preserve">  运营期环境空气影响评价结论</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本项目热风炉产生烟气，本项目选用含硫率低的生物质成型颗粒，采用布袋除尘器，除尘效率为99.5%，通过15m高排气筒排放，经处理后满足《工业炉窑大气污染物排放标准》（GB9078-1996）中二级标准要求，因此，采取防治措施后对周围环境空气影响较小。</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装卸粉尘绝大多数将受到重力的作用回落到地面，且粮食储存于粮仓内，采取粮仓密闭、减小装卸高度等降尘措施，烘干塔选用密闭性良好的设备，烘干预处理操作区密闭。烘干塔设有盖板式除尘设施，烘干塔加设底部围挡盖板，粉尘去除效率为80%。通过采用以上措施，可以满足无组织排放颗粒物满足《大气污染物综合排放标准》（GB16297－1996）要求。因此，采取防治措施后对周围环境空气影响较小。</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综上所述，大气污染物的排放对周围环境的影响可以接受。</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3</w:t>
            </w:r>
            <w:r>
              <w:rPr>
                <w:rFonts w:ascii="Times New Roman" w:hAnsi="Times New Roman" w:eastAsia="宋体"/>
                <w:color w:val="auto"/>
                <w:sz w:val="24"/>
                <w:szCs w:val="24"/>
              </w:rPr>
              <w:t xml:space="preserve">  运营期声环境影响评价结论</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本工程选用低噪声设备，采用基础加双层隔振器，本项目经减振、隔声处理等降噪措施后，厂界四周可以满足《工业企业厂界环境噪声排放标准》（GB12348－2008）中2类标准昼间、夜间限值（昼间≤60dB（A），夜间≤50dB（A））。</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综上所述，项目噪声对周围环境影响可被接受。</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4</w:t>
            </w:r>
            <w:r>
              <w:rPr>
                <w:rFonts w:ascii="Times New Roman" w:hAnsi="Times New Roman" w:eastAsia="宋体"/>
                <w:color w:val="auto"/>
                <w:sz w:val="24"/>
                <w:szCs w:val="24"/>
              </w:rPr>
              <w:t xml:space="preserve">  运营期固体废物环境影响评价结论</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项目固体废物主要为生活垃圾、清筛杂质、热风炉布袋除尘器收集粉尘、热风炉灰渣</w:t>
            </w:r>
            <w:r>
              <w:rPr>
                <w:rFonts w:hint="eastAsia" w:ascii="Times New Roman" w:hAnsi="Times New Roman" w:eastAsia="宋体"/>
                <w:color w:val="auto"/>
                <w:sz w:val="24"/>
                <w:szCs w:val="24"/>
              </w:rPr>
              <w:t>，生活垃圾由市政环卫部门统一处理；清筛杂质由市政部门委托处理；热风炉布袋除尘器收尘由市政部门统一处理；烘干塔沉降物由市政部门统一处理；炉渣集中收集外售制作肥料；</w:t>
            </w:r>
            <w:r>
              <w:rPr>
                <w:rFonts w:ascii="Times New Roman" w:hAnsi="Times New Roman" w:eastAsia="宋体"/>
                <w:color w:val="auto"/>
                <w:sz w:val="24"/>
                <w:szCs w:val="24"/>
              </w:rPr>
              <w:t>因此应按照《国家危险废物名录》中有关规定进行处置。采取本报告提出的处理措施，本项目运营期固体废物处理率为100%。</w:t>
            </w:r>
          </w:p>
          <w:p>
            <w:pPr>
              <w:widowControl w:val="0"/>
              <w:adjustRightInd/>
              <w:snapToGrid/>
              <w:spacing w:after="0" w:line="360" w:lineRule="auto"/>
              <w:jc w:val="both"/>
              <w:rPr>
                <w:rFonts w:ascii="Times New Roman" w:hAnsi="Times New Roman" w:eastAsia="黑体"/>
                <w:color w:val="auto"/>
                <w:sz w:val="24"/>
                <w:szCs w:val="24"/>
              </w:rPr>
            </w:pPr>
            <w:r>
              <w:rPr>
                <w:rFonts w:ascii="Times New Roman" w:hAnsi="Times New Roman" w:eastAsia="黑体"/>
                <w:color w:val="auto"/>
                <w:sz w:val="24"/>
                <w:szCs w:val="24"/>
              </w:rPr>
              <w:t>审批部门审批决定：</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北大荒集团黑龙江共青农场有限公司粮贸中心：</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你单位报送的《2021年黑龙江省共青农场粮食基地库维修及设备购置建设项目环境影响报告表》(以下简称“报告表”)收悉，经审查研究，现批复如下:</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一、项目位于鹤岗市萝北县共青农场场部，属于新建项目。项目建设1座500t/d烘干塔并配套建设1台10t/h热风炉，燃用生物质燃料，年烘干玉米30000t。项目占地面积33072.05m。项目冬季采用电取暖。项目总投资900万元，环保投资26万元。在认真落实环评报告提出的各项污染防治措施的情况下，同意工程建设。</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二、工程建设和运营中应切实做好以下工作:</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一</w:t>
            </w:r>
            <w:r>
              <w:rPr>
                <w:rFonts w:hint="eastAsia" w:ascii="Times New Roman" w:hAnsi="Times New Roman" w:eastAsia="宋体"/>
                <w:color w:val="auto"/>
                <w:sz w:val="24"/>
                <w:szCs w:val="24"/>
              </w:rPr>
              <w:t>）</w:t>
            </w:r>
            <w:r>
              <w:rPr>
                <w:rFonts w:ascii="Times New Roman" w:hAnsi="Times New Roman" w:eastAsia="宋体"/>
                <w:color w:val="auto"/>
                <w:sz w:val="24"/>
                <w:szCs w:val="24"/>
              </w:rPr>
              <w:t>项目热风炉烟气经布袋除尘器处理后由高15m高排气筒排放。热风炉废气排放污染物浓度要求满足《工业炉窑大气污染物排放标准》</w:t>
            </w:r>
            <w:r>
              <w:rPr>
                <w:rFonts w:hint="eastAsia" w:ascii="Times New Roman" w:hAnsi="Times New Roman" w:eastAsia="宋体"/>
                <w:color w:val="auto"/>
                <w:sz w:val="24"/>
                <w:szCs w:val="24"/>
              </w:rPr>
              <w:t>（</w:t>
            </w:r>
            <w:r>
              <w:rPr>
                <w:rFonts w:ascii="Times New Roman" w:hAnsi="Times New Roman" w:eastAsia="宋体"/>
                <w:color w:val="auto"/>
                <w:sz w:val="24"/>
                <w:szCs w:val="24"/>
              </w:rPr>
              <w:t>GB9078-1996</w:t>
            </w:r>
            <w:r>
              <w:rPr>
                <w:rFonts w:hint="eastAsia" w:ascii="Times New Roman" w:hAnsi="Times New Roman" w:eastAsia="宋体"/>
                <w:color w:val="auto"/>
                <w:sz w:val="24"/>
                <w:szCs w:val="24"/>
              </w:rPr>
              <w:t>）</w:t>
            </w:r>
            <w:r>
              <w:rPr>
                <w:rFonts w:ascii="Times New Roman" w:hAnsi="Times New Roman" w:eastAsia="宋体"/>
                <w:color w:val="auto"/>
                <w:sz w:val="24"/>
                <w:szCs w:val="24"/>
              </w:rPr>
              <w:t>中二级标准要求。项目采取粮仓密闭、减小装卸高度等降尘措施，烘干塔选用密闭性良好的设备，烘干预处理操作区密</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闭。烘干塔设有盖板式除尘设施，烘干塔加设底部围挡盖板。厂界颗粒物排放浓度要求满足《大气污染物综合排放标准》</w:t>
            </w:r>
            <w:r>
              <w:rPr>
                <w:rFonts w:hint="eastAsia" w:ascii="Times New Roman" w:hAnsi="Times New Roman" w:eastAsia="宋体"/>
                <w:color w:val="auto"/>
                <w:sz w:val="24"/>
                <w:szCs w:val="24"/>
              </w:rPr>
              <w:t>（</w:t>
            </w:r>
            <w:r>
              <w:rPr>
                <w:rFonts w:ascii="Times New Roman" w:hAnsi="Times New Roman" w:eastAsia="宋体"/>
                <w:color w:val="auto"/>
                <w:sz w:val="24"/>
                <w:szCs w:val="24"/>
              </w:rPr>
              <w:t>GB16297-1996</w:t>
            </w:r>
            <w:r>
              <w:rPr>
                <w:rFonts w:hint="eastAsia" w:ascii="Times New Roman" w:hAnsi="Times New Roman" w:eastAsia="宋体"/>
                <w:color w:val="auto"/>
                <w:sz w:val="24"/>
                <w:szCs w:val="24"/>
              </w:rPr>
              <w:t>）</w:t>
            </w:r>
            <w:r>
              <w:rPr>
                <w:rFonts w:ascii="Times New Roman" w:hAnsi="Times New Roman" w:eastAsia="宋体"/>
                <w:color w:val="auto"/>
                <w:sz w:val="24"/>
                <w:szCs w:val="24"/>
              </w:rPr>
              <w:t>表2无组织排放浓度限值要求。</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二</w:t>
            </w:r>
            <w:r>
              <w:rPr>
                <w:rFonts w:hint="eastAsia" w:ascii="Times New Roman" w:hAnsi="Times New Roman" w:eastAsia="宋体"/>
                <w:color w:val="auto"/>
                <w:sz w:val="24"/>
                <w:szCs w:val="24"/>
              </w:rPr>
              <w:t>）</w:t>
            </w:r>
            <w:r>
              <w:rPr>
                <w:rFonts w:ascii="Times New Roman" w:hAnsi="Times New Roman" w:eastAsia="宋体"/>
                <w:color w:val="auto"/>
                <w:sz w:val="24"/>
                <w:szCs w:val="24"/>
              </w:rPr>
              <w:t>项目生活污水排入防渗旱厕，定期清掏，外运堆肥，不外</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排。</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三</w:t>
            </w:r>
            <w:r>
              <w:rPr>
                <w:rFonts w:hint="eastAsia" w:ascii="Times New Roman" w:hAnsi="Times New Roman" w:eastAsia="宋体"/>
                <w:color w:val="auto"/>
                <w:sz w:val="24"/>
                <w:szCs w:val="24"/>
              </w:rPr>
              <w:t>）</w:t>
            </w:r>
            <w:r>
              <w:rPr>
                <w:rFonts w:ascii="Times New Roman" w:hAnsi="Times New Roman" w:eastAsia="宋体"/>
                <w:color w:val="auto"/>
                <w:sz w:val="24"/>
                <w:szCs w:val="24"/>
              </w:rPr>
              <w:t>项目选用低噪声设备，采取减振、隔声等措施，厂界噪声要求满足《工业企业厂界环境噪声排放标准》</w:t>
            </w:r>
            <w:r>
              <w:rPr>
                <w:rFonts w:hint="eastAsia" w:ascii="Times New Roman" w:hAnsi="Times New Roman" w:eastAsia="宋体"/>
                <w:color w:val="auto"/>
                <w:sz w:val="24"/>
                <w:szCs w:val="24"/>
              </w:rPr>
              <w:t>（</w:t>
            </w:r>
            <w:r>
              <w:rPr>
                <w:rFonts w:ascii="Times New Roman" w:hAnsi="Times New Roman" w:eastAsia="宋体"/>
                <w:color w:val="auto"/>
                <w:sz w:val="24"/>
                <w:szCs w:val="24"/>
              </w:rPr>
              <w:t>GB12348-2008</w:t>
            </w:r>
            <w:r>
              <w:rPr>
                <w:rFonts w:hint="eastAsia" w:ascii="Times New Roman" w:hAnsi="Times New Roman" w:eastAsia="宋体"/>
                <w:color w:val="auto"/>
                <w:sz w:val="24"/>
                <w:szCs w:val="24"/>
              </w:rPr>
              <w:t>）</w:t>
            </w:r>
            <w:r>
              <w:rPr>
                <w:rFonts w:ascii="Times New Roman" w:hAnsi="Times New Roman" w:eastAsia="宋体"/>
                <w:color w:val="auto"/>
                <w:sz w:val="24"/>
                <w:szCs w:val="24"/>
              </w:rPr>
              <w:t>2类标准。</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四</w:t>
            </w:r>
            <w:r>
              <w:rPr>
                <w:rFonts w:hint="eastAsia" w:ascii="Times New Roman" w:hAnsi="Times New Roman" w:eastAsia="宋体"/>
                <w:color w:val="auto"/>
                <w:sz w:val="24"/>
                <w:szCs w:val="24"/>
              </w:rPr>
              <w:t>）</w:t>
            </w:r>
            <w:r>
              <w:rPr>
                <w:rFonts w:ascii="Times New Roman" w:hAnsi="Times New Roman" w:eastAsia="宋体"/>
                <w:color w:val="auto"/>
                <w:sz w:val="24"/>
                <w:szCs w:val="24"/>
              </w:rPr>
              <w:t>项目生活垃圾集中收集，市政部门统一清运。清选工序产生的杂质及烘干塔沉降废弃物集中收集后由市政部门统一处理。热风炉布袋除尘器收集粉尘集中收集后由市政部门统一处理。热风炉产生的灰渣外售综合利用。项目固体废物执行《一般工业固体废物贮存和填埋污染控制标准》</w:t>
            </w:r>
            <w:r>
              <w:rPr>
                <w:rFonts w:hint="eastAsia" w:ascii="Times New Roman" w:hAnsi="Times New Roman" w:eastAsia="宋体"/>
                <w:color w:val="auto"/>
                <w:sz w:val="24"/>
                <w:szCs w:val="24"/>
              </w:rPr>
              <w:t>（</w:t>
            </w:r>
            <w:r>
              <w:rPr>
                <w:rFonts w:ascii="Times New Roman" w:hAnsi="Times New Roman" w:eastAsia="宋体"/>
                <w:color w:val="auto"/>
                <w:sz w:val="24"/>
                <w:szCs w:val="24"/>
              </w:rPr>
              <w:t>GB18599-2020</w:t>
            </w:r>
            <w:r>
              <w:rPr>
                <w:rFonts w:hint="eastAsia" w:ascii="Times New Roman" w:hAnsi="Times New Roman" w:eastAsia="宋体"/>
                <w:color w:val="auto"/>
                <w:sz w:val="24"/>
                <w:szCs w:val="24"/>
              </w:rPr>
              <w:t>）</w:t>
            </w:r>
            <w:r>
              <w:rPr>
                <w:rFonts w:ascii="Times New Roman" w:hAnsi="Times New Roman" w:eastAsia="宋体"/>
                <w:color w:val="auto"/>
                <w:sz w:val="24"/>
                <w:szCs w:val="24"/>
              </w:rPr>
              <w:t>要求。</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五</w:t>
            </w:r>
            <w:r>
              <w:rPr>
                <w:rFonts w:hint="eastAsia" w:ascii="Times New Roman" w:hAnsi="Times New Roman" w:eastAsia="宋体"/>
                <w:color w:val="auto"/>
                <w:sz w:val="24"/>
                <w:szCs w:val="24"/>
              </w:rPr>
              <w:t>）</w:t>
            </w:r>
            <w:r>
              <w:rPr>
                <w:rFonts w:ascii="Times New Roman" w:hAnsi="Times New Roman" w:eastAsia="宋体"/>
                <w:color w:val="auto"/>
                <w:sz w:val="24"/>
                <w:szCs w:val="24"/>
              </w:rPr>
              <w:t>加强环境风险防范和日常环境监管，制定环境突发性事件应急预案并备案，提高事故风险防范和污染控制能力，防止环境污染事件发生。</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六</w:t>
            </w:r>
            <w:r>
              <w:rPr>
                <w:rFonts w:hint="eastAsia" w:ascii="Times New Roman" w:hAnsi="Times New Roman" w:eastAsia="宋体"/>
                <w:color w:val="auto"/>
                <w:sz w:val="24"/>
                <w:szCs w:val="24"/>
              </w:rPr>
              <w:t>）</w:t>
            </w:r>
            <w:r>
              <w:rPr>
                <w:rFonts w:ascii="Times New Roman" w:hAnsi="Times New Roman" w:eastAsia="宋体"/>
                <w:color w:val="auto"/>
                <w:sz w:val="24"/>
                <w:szCs w:val="24"/>
              </w:rPr>
              <w:t>环境影响报告表经批准后，建设项目的性质、规模、地点、采用的生产工艺或者防治污染、防止生态破坏的措施发生重大变动的，建设单位应当重新报批建设项目环境影响报告表。环境影响报告表自批准之日起满5年，建设项目方开工建设的，其环境影响报告表应当报原审批部门重新审核。</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七</w:t>
            </w:r>
            <w:r>
              <w:rPr>
                <w:rFonts w:hint="eastAsia" w:ascii="Times New Roman" w:hAnsi="Times New Roman" w:eastAsia="宋体"/>
                <w:color w:val="auto"/>
                <w:sz w:val="24"/>
                <w:szCs w:val="24"/>
              </w:rPr>
              <w:t>）</w:t>
            </w:r>
            <w:r>
              <w:rPr>
                <w:rFonts w:ascii="Times New Roman" w:hAnsi="Times New Roman" w:eastAsia="宋体"/>
                <w:color w:val="auto"/>
                <w:sz w:val="24"/>
                <w:szCs w:val="24"/>
              </w:rPr>
              <w:t>项目开工前、施工中及建成后，建设单位要依据环保部《建设项目环境影响评价信息公开机制方案》</w:t>
            </w:r>
            <w:r>
              <w:rPr>
                <w:rFonts w:hint="eastAsia" w:ascii="Times New Roman" w:hAnsi="Times New Roman" w:eastAsia="宋体"/>
                <w:color w:val="auto"/>
                <w:sz w:val="24"/>
                <w:szCs w:val="24"/>
              </w:rPr>
              <w:t>（</w:t>
            </w:r>
            <w:r>
              <w:rPr>
                <w:rFonts w:ascii="Times New Roman" w:hAnsi="Times New Roman" w:eastAsia="宋体"/>
                <w:color w:val="auto"/>
                <w:sz w:val="24"/>
                <w:szCs w:val="24"/>
              </w:rPr>
              <w:t>环发[2015]162号</w:t>
            </w:r>
            <w:r>
              <w:rPr>
                <w:rFonts w:hint="eastAsia" w:ascii="Times New Roman" w:hAnsi="Times New Roman" w:eastAsia="宋体"/>
                <w:color w:val="auto"/>
                <w:sz w:val="24"/>
                <w:szCs w:val="24"/>
              </w:rPr>
              <w:t>）</w:t>
            </w:r>
            <w:r>
              <w:rPr>
                <w:rFonts w:ascii="Times New Roman" w:hAnsi="Times New Roman" w:eastAsia="宋体"/>
                <w:color w:val="auto"/>
                <w:sz w:val="24"/>
                <w:szCs w:val="24"/>
              </w:rPr>
              <w:t>依法公开项目环境影响评价信息。</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hint="eastAsia" w:ascii="Times New Roman" w:hAnsi="Times New Roman" w:eastAsia="宋体"/>
                <w:color w:val="auto"/>
                <w:sz w:val="24"/>
                <w:szCs w:val="24"/>
              </w:rPr>
              <w:t>（</w:t>
            </w:r>
            <w:r>
              <w:rPr>
                <w:rFonts w:ascii="Times New Roman" w:hAnsi="Times New Roman" w:eastAsia="宋体"/>
                <w:color w:val="auto"/>
                <w:sz w:val="24"/>
                <w:szCs w:val="24"/>
              </w:rPr>
              <w:t>八</w:t>
            </w:r>
            <w:r>
              <w:rPr>
                <w:rFonts w:hint="eastAsia" w:ascii="Times New Roman" w:hAnsi="Times New Roman" w:eastAsia="宋体"/>
                <w:color w:val="auto"/>
                <w:sz w:val="24"/>
                <w:szCs w:val="24"/>
              </w:rPr>
              <w:t>）</w:t>
            </w:r>
            <w:r>
              <w:rPr>
                <w:rFonts w:ascii="Times New Roman" w:hAnsi="Times New Roman" w:eastAsia="宋体"/>
                <w:color w:val="auto"/>
                <w:sz w:val="24"/>
                <w:szCs w:val="24"/>
              </w:rPr>
              <w:t>对项目区进行有效绿化，种植花草树木。</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r>
              <w:rPr>
                <w:rFonts w:ascii="Times New Roman" w:hAnsi="Times New Roman" w:eastAsia="宋体"/>
                <w:color w:val="auto"/>
                <w:sz w:val="24"/>
                <w:szCs w:val="24"/>
              </w:rPr>
              <w:t>三、项目建设必须严格执行配套的环境保护设施与主体工程同时设计、同时施工、同时投产使用的环境保护“三同时”制度。项目竣工后，建设单位应按规定如实查验、监测、记载建设项目环境保护设施的建设和调试情况，编制验收监测(调查)报告，验收合格后，报萝北生态环境局备案。</w:t>
            </w:r>
          </w:p>
          <w:p>
            <w:pPr>
              <w:pStyle w:val="10"/>
              <w:rPr>
                <w:rFonts w:ascii="Times New Roman" w:hAnsi="Times New Roman" w:eastAsia="宋体"/>
                <w:color w:val="auto"/>
                <w:szCs w:val="24"/>
              </w:rPr>
            </w:pPr>
          </w:p>
          <w:p>
            <w:pPr>
              <w:pStyle w:val="11"/>
              <w:ind w:left="5500"/>
              <w:rPr>
                <w:color w:val="auto"/>
              </w:rPr>
            </w:pPr>
          </w:p>
          <w:p>
            <w:pPr>
              <w:widowControl w:val="0"/>
              <w:adjustRightInd/>
              <w:snapToGrid/>
              <w:spacing w:after="0" w:line="360" w:lineRule="auto"/>
              <w:jc w:val="right"/>
              <w:rPr>
                <w:rFonts w:ascii="Times New Roman" w:hAnsi="Times New Roman" w:eastAsia="宋体"/>
                <w:color w:val="auto"/>
                <w:sz w:val="24"/>
                <w:szCs w:val="24"/>
              </w:rPr>
            </w:pPr>
            <w:r>
              <w:rPr>
                <w:rFonts w:hint="eastAsia" w:ascii="Times New Roman" w:hAnsi="Times New Roman" w:eastAsia="宋体"/>
                <w:color w:val="auto"/>
                <w:sz w:val="24"/>
                <w:szCs w:val="24"/>
              </w:rPr>
              <w:t>鹤岗市萝北生态环境局</w:t>
            </w:r>
          </w:p>
          <w:p>
            <w:pPr>
              <w:widowControl w:val="0"/>
              <w:adjustRightInd/>
              <w:snapToGrid/>
              <w:spacing w:after="0" w:line="360" w:lineRule="auto"/>
              <w:ind w:firstLine="480" w:firstLineChars="200"/>
              <w:jc w:val="right"/>
              <w:rPr>
                <w:rFonts w:ascii="Times New Roman" w:hAnsi="Times New Roman" w:eastAsia="宋体"/>
                <w:color w:val="auto"/>
                <w:sz w:val="24"/>
                <w:szCs w:val="24"/>
              </w:rPr>
            </w:pPr>
            <w:r>
              <w:rPr>
                <w:rFonts w:ascii="Times New Roman" w:hAnsi="Times New Roman" w:eastAsia="宋体"/>
                <w:color w:val="auto"/>
                <w:sz w:val="24"/>
                <w:szCs w:val="24"/>
              </w:rPr>
              <w:t>202</w:t>
            </w:r>
            <w:r>
              <w:rPr>
                <w:rFonts w:hint="eastAsia" w:ascii="Times New Roman" w:hAnsi="Times New Roman" w:eastAsia="宋体"/>
                <w:color w:val="auto"/>
                <w:sz w:val="24"/>
                <w:szCs w:val="24"/>
              </w:rPr>
              <w:t>3</w:t>
            </w:r>
            <w:r>
              <w:rPr>
                <w:rFonts w:ascii="Times New Roman" w:hAnsi="Times New Roman" w:eastAsia="宋体"/>
                <w:color w:val="auto"/>
                <w:sz w:val="24"/>
                <w:szCs w:val="24"/>
              </w:rPr>
              <w:t>年</w:t>
            </w:r>
            <w:r>
              <w:rPr>
                <w:rFonts w:hint="eastAsia" w:ascii="Times New Roman" w:hAnsi="Times New Roman" w:eastAsia="宋体"/>
                <w:color w:val="auto"/>
                <w:sz w:val="24"/>
                <w:szCs w:val="24"/>
              </w:rPr>
              <w:t>04</w:t>
            </w:r>
            <w:r>
              <w:rPr>
                <w:rFonts w:ascii="Times New Roman" w:hAnsi="Times New Roman" w:eastAsia="宋体"/>
                <w:color w:val="auto"/>
                <w:sz w:val="24"/>
                <w:szCs w:val="24"/>
              </w:rPr>
              <w:t>月</w:t>
            </w:r>
            <w:r>
              <w:rPr>
                <w:rFonts w:hint="eastAsia" w:ascii="Times New Roman" w:hAnsi="Times New Roman" w:eastAsia="宋体"/>
                <w:color w:val="auto"/>
                <w:sz w:val="24"/>
                <w:szCs w:val="24"/>
              </w:rPr>
              <w:t>03</w:t>
            </w:r>
            <w:r>
              <w:rPr>
                <w:rFonts w:ascii="Times New Roman" w:hAnsi="Times New Roman" w:eastAsia="宋体"/>
                <w:color w:val="auto"/>
                <w:sz w:val="24"/>
                <w:szCs w:val="24"/>
              </w:rPr>
              <w:t>日</w:t>
            </w:r>
          </w:p>
          <w:p>
            <w:pPr>
              <w:widowControl w:val="0"/>
              <w:adjustRightInd/>
              <w:snapToGrid/>
              <w:spacing w:after="0" w:line="360" w:lineRule="auto"/>
              <w:ind w:firstLine="480" w:firstLineChars="200"/>
              <w:jc w:val="both"/>
              <w:rPr>
                <w:rFonts w:ascii="Times New Roman" w:hAnsi="Times New Roman" w:eastAsia="宋体"/>
                <w:color w:val="auto"/>
                <w:sz w:val="24"/>
                <w:szCs w:val="24"/>
              </w:rPr>
            </w:pPr>
          </w:p>
          <w:p>
            <w:pPr>
              <w:widowControl w:val="0"/>
              <w:adjustRightInd/>
              <w:snapToGrid/>
              <w:spacing w:after="0" w:line="360" w:lineRule="auto"/>
              <w:ind w:firstLine="480" w:firstLineChars="200"/>
              <w:jc w:val="both"/>
              <w:rPr>
                <w:rFonts w:ascii="Times New Roman" w:hAnsi="Times New Roman" w:eastAsia="宋体"/>
                <w:color w:val="auto"/>
                <w:sz w:val="24"/>
                <w:szCs w:val="24"/>
              </w:rPr>
            </w:pPr>
          </w:p>
          <w:p>
            <w:pPr>
              <w:pStyle w:val="33"/>
              <w:rPr>
                <w:rFonts w:ascii="Times New Roman" w:hAnsi="Times New Roman" w:cs="Times New Roman"/>
                <w:color w:val="auto"/>
              </w:rPr>
            </w:pPr>
          </w:p>
        </w:tc>
      </w:tr>
    </w:tbl>
    <w:p>
      <w:pPr>
        <w:pStyle w:val="5"/>
        <w:rPr>
          <w:rFonts w:ascii="Times New Roman" w:hAnsi="Times New Roman" w:eastAsia="仿宋_GB2312"/>
          <w:color w:val="auto"/>
          <w:szCs w:val="28"/>
        </w:rPr>
        <w:sectPr>
          <w:pgSz w:w="11906" w:h="16838"/>
          <w:pgMar w:top="1440" w:right="1080" w:bottom="1440" w:left="1080" w:header="708" w:footer="708" w:gutter="0"/>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9" w:name="_Toc23581"/>
      <w:r>
        <w:rPr>
          <w:rFonts w:ascii="Times New Roman" w:hAnsi="Times New Roman" w:eastAsia="黑体"/>
          <w:b w:val="0"/>
          <w:bCs w:val="0"/>
          <w:color w:val="auto"/>
          <w:sz w:val="28"/>
          <w:szCs w:val="28"/>
        </w:rPr>
        <w:t>表五</w:t>
      </w:r>
      <w:bookmarkEnd w:id="9"/>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7" w:hRule="atLeast"/>
        </w:trPr>
        <w:tc>
          <w:tcPr>
            <w:tcW w:w="9962" w:type="dxa"/>
          </w:tcPr>
          <w:p>
            <w:pPr>
              <w:widowControl w:val="0"/>
              <w:adjustRightInd/>
              <w:snapToGrid/>
              <w:spacing w:after="0" w:line="360" w:lineRule="auto"/>
              <w:jc w:val="both"/>
              <w:rPr>
                <w:rFonts w:ascii="Times New Roman" w:hAnsi="Times New Roman" w:eastAsia="宋体"/>
                <w:color w:val="auto"/>
                <w:sz w:val="24"/>
                <w:szCs w:val="24"/>
              </w:rPr>
            </w:pPr>
            <w:r>
              <w:rPr>
                <w:rFonts w:ascii="Times New Roman" w:hAnsi="Times New Roman" w:eastAsia="宋体"/>
                <w:color w:val="auto"/>
                <w:sz w:val="24"/>
                <w:szCs w:val="24"/>
              </w:rPr>
              <w:t>验收监测质量保证及质量控制：</w:t>
            </w:r>
          </w:p>
          <w:p>
            <w:pPr>
              <w:widowControl w:val="0"/>
              <w:adjustRightInd/>
              <w:snapToGrid/>
              <w:spacing w:after="0" w:line="360" w:lineRule="auto"/>
              <w:jc w:val="both"/>
              <w:rPr>
                <w:rFonts w:ascii="Times New Roman" w:hAnsi="Times New Roman" w:eastAsia="宋体"/>
                <w:color w:val="auto"/>
                <w:sz w:val="24"/>
                <w:szCs w:val="24"/>
              </w:rPr>
            </w:pPr>
            <w:r>
              <w:rPr>
                <w:rFonts w:ascii="Times New Roman" w:hAnsi="Times New Roman" w:eastAsia="宋体"/>
                <w:color w:val="auto"/>
                <w:sz w:val="24"/>
                <w:szCs w:val="24"/>
              </w:rPr>
              <w:t>1、验收监测方法及分析仪器</w:t>
            </w:r>
          </w:p>
          <w:p>
            <w:pPr>
              <w:pStyle w:val="33"/>
              <w:snapToGrid/>
              <w:jc w:val="center"/>
              <w:rPr>
                <w:rFonts w:ascii="Times New Roman" w:hAnsi="Times New Roman" w:cs="Times New Roman"/>
                <w:b/>
                <w:bCs/>
                <w:color w:val="auto"/>
              </w:rPr>
            </w:pPr>
            <w:r>
              <w:rPr>
                <w:rFonts w:ascii="Times New Roman" w:hAnsi="Times New Roman" w:cs="Times New Roman"/>
                <w:b/>
                <w:bCs/>
                <w:color w:val="auto"/>
              </w:rPr>
              <w:t>表5-1  监测分析方法</w:t>
            </w:r>
          </w:p>
          <w:tbl>
            <w:tblPr>
              <w:tblStyle w:val="2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840"/>
              <w:gridCol w:w="1380"/>
              <w:gridCol w:w="6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blHeader/>
                <w:jc w:val="center"/>
              </w:trPr>
              <w:tc>
                <w:tcPr>
                  <w:tcW w:w="1271"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检测类别</w:t>
                  </w: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序号</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检测项目</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方法名称及方法标准号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271"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无组织废气</w:t>
                  </w: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1</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颗粒物</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环境空气 总悬浮颗粒物的测定 重量法 HJ 1263-2022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1" w:type="dxa"/>
                  <w:vMerge w:val="restar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有组织废气</w:t>
                  </w: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1</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烟气黑度</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林格曼烟气黑度图法 HJ/T 398-2007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1"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2</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二氧化硫</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固定污染源废气 二氧化硫的测定 定电位电解法HJ 57-2017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1"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3</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氮氧化物</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固定污染源废气 氮氧化物的测定 定电位电解法 HJ 693-2014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271"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840" w:type="dxa"/>
                  <w:vMerge w:val="restar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4</w:t>
                  </w:r>
                </w:p>
              </w:tc>
              <w:tc>
                <w:tcPr>
                  <w:tcW w:w="1380" w:type="dxa"/>
                  <w:vMerge w:val="restar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颗粒物</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固定污染源排气中颗粒物测定与气态污染物采样方法及修改单</w:t>
                  </w:r>
                </w:p>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GB/T 16157-1996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1"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840"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1380" w:type="dxa"/>
                  <w:vMerge w:val="continue"/>
                  <w:vAlign w:val="center"/>
                </w:tcPr>
                <w:p>
                  <w:pPr>
                    <w:widowControl w:val="0"/>
                    <w:adjustRightInd/>
                    <w:snapToGrid/>
                    <w:spacing w:after="0"/>
                    <w:jc w:val="center"/>
                    <w:rPr>
                      <w:rFonts w:ascii="Times New Roman" w:hAnsi="Times New Roman" w:eastAsiaTheme="minorEastAsia"/>
                      <w:color w:val="auto"/>
                      <w:sz w:val="21"/>
                      <w:szCs w:val="21"/>
                    </w:rPr>
                  </w:pP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固定污染源废气 低浓度颗粒物的测定 重量法HJ 836-2017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271"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噪声</w:t>
                  </w:r>
                </w:p>
              </w:tc>
              <w:tc>
                <w:tcPr>
                  <w:tcW w:w="84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1</w:t>
                  </w:r>
                </w:p>
              </w:tc>
              <w:tc>
                <w:tcPr>
                  <w:tcW w:w="1380"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厂界噪声</w:t>
                  </w:r>
                </w:p>
              </w:tc>
              <w:tc>
                <w:tcPr>
                  <w:tcW w:w="6427" w:type="dxa"/>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工业企业厂界环境噪声排放标准GB 12348-2008</w:t>
                  </w:r>
                </w:p>
              </w:tc>
            </w:tr>
          </w:tbl>
          <w:p>
            <w:pPr>
              <w:pStyle w:val="33"/>
              <w:snapToGrid/>
              <w:jc w:val="center"/>
              <w:rPr>
                <w:rFonts w:ascii="Times New Roman" w:hAnsi="Times New Roman" w:cs="Times New Roman"/>
                <w:b/>
                <w:bCs/>
                <w:color w:val="auto"/>
              </w:rPr>
            </w:pPr>
            <w:r>
              <w:rPr>
                <w:rFonts w:ascii="Times New Roman" w:hAnsi="Times New Roman" w:cs="Times New Roman"/>
                <w:b/>
                <w:bCs/>
                <w:color w:val="auto"/>
              </w:rPr>
              <w:t>表5-2  监测仪器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8"/>
              <w:gridCol w:w="746"/>
              <w:gridCol w:w="1685"/>
              <w:gridCol w:w="2223"/>
              <w:gridCol w:w="1934"/>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blHeader/>
                <w:jc w:val="center"/>
              </w:trPr>
              <w:tc>
                <w:tcPr>
                  <w:tcW w:w="569" w:type="pct"/>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检测</w:t>
                  </w:r>
                  <w:r>
                    <w:rPr>
                      <w:rFonts w:ascii="Times New Roman" w:hAnsi="Times New Roman" w:eastAsiaTheme="minorEastAsia"/>
                      <w:color w:val="auto"/>
                      <w:sz w:val="21"/>
                      <w:szCs w:val="21"/>
                    </w:rPr>
                    <w:t>类别</w:t>
                  </w:r>
                </w:p>
              </w:tc>
              <w:tc>
                <w:tcPr>
                  <w:tcW w:w="38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序号</w:t>
                  </w:r>
                </w:p>
              </w:tc>
              <w:tc>
                <w:tcPr>
                  <w:tcW w:w="865" w:type="pct"/>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检测</w:t>
                  </w:r>
                  <w:r>
                    <w:rPr>
                      <w:rFonts w:ascii="Times New Roman" w:hAnsi="Times New Roman" w:eastAsiaTheme="minorEastAsia"/>
                      <w:color w:val="auto"/>
                      <w:sz w:val="21"/>
                      <w:szCs w:val="21"/>
                    </w:rPr>
                    <w:t>项目</w:t>
                  </w:r>
                </w:p>
              </w:tc>
              <w:tc>
                <w:tcPr>
                  <w:tcW w:w="1141"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仪器名称</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型号</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无组织废气</w:t>
                  </w:r>
                </w:p>
              </w:tc>
              <w:tc>
                <w:tcPr>
                  <w:tcW w:w="383"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1</w:t>
                  </w:r>
                </w:p>
              </w:tc>
              <w:tc>
                <w:tcPr>
                  <w:tcW w:w="865"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颗粒物</w:t>
                  </w: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大气综合采样器</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KC-6120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大气综合采样器</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KC-6120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大气综合采样器</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KC-6120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环境空气颗粒物综合采样器</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ZR-3920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电子天平</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PT-104/35S</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有组织废气</w:t>
                  </w:r>
                </w:p>
              </w:tc>
              <w:tc>
                <w:tcPr>
                  <w:tcW w:w="383"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1</w:t>
                  </w:r>
                </w:p>
              </w:tc>
              <w:tc>
                <w:tcPr>
                  <w:tcW w:w="865"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烟气黑度</w:t>
                  </w: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林格曼烟气黑度图</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HM-LG30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2</w:t>
                  </w:r>
                </w:p>
              </w:tc>
              <w:tc>
                <w:tcPr>
                  <w:tcW w:w="865"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颗粒物</w:t>
                  </w:r>
                </w:p>
              </w:tc>
              <w:tc>
                <w:tcPr>
                  <w:tcW w:w="1141" w:type="pct"/>
                  <w:vMerge w:val="restar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自动烟尘气体综合测试仪</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ZR-3260D</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w:t>
                  </w:r>
                  <w:r>
                    <w:rPr>
                      <w:rFonts w:hint="eastAsia" w:ascii="Times New Roman" w:hAnsi="Times New Roman" w:eastAsiaTheme="minorEastAsia"/>
                      <w:color w:val="auto"/>
                      <w:sz w:val="21"/>
                      <w:szCs w:val="21"/>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3</w:t>
                  </w:r>
                </w:p>
              </w:tc>
              <w:tc>
                <w:tcPr>
                  <w:tcW w:w="865"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二氧化硫</w:t>
                  </w:r>
                </w:p>
              </w:tc>
              <w:tc>
                <w:tcPr>
                  <w:tcW w:w="1141" w:type="pct"/>
                  <w:vMerge w:val="continue"/>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ZR-3260D</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w:t>
                  </w:r>
                  <w:r>
                    <w:rPr>
                      <w:rFonts w:hint="eastAsia" w:ascii="Times New Roman" w:hAnsi="Times New Roman" w:eastAsiaTheme="minorEastAsia"/>
                      <w:color w:val="auto"/>
                      <w:sz w:val="21"/>
                      <w:szCs w:val="21"/>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4</w:t>
                  </w:r>
                </w:p>
              </w:tc>
              <w:tc>
                <w:tcPr>
                  <w:tcW w:w="865" w:type="pc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氮氧化物</w:t>
                  </w:r>
                </w:p>
              </w:tc>
              <w:tc>
                <w:tcPr>
                  <w:tcW w:w="1141" w:type="pct"/>
                  <w:vMerge w:val="continue"/>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ZR-3260D</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w:t>
                  </w:r>
                  <w:r>
                    <w:rPr>
                      <w:rFonts w:hint="eastAsia" w:ascii="Times New Roman" w:hAnsi="Times New Roman" w:eastAsiaTheme="minorEastAsia"/>
                      <w:color w:val="auto"/>
                      <w:sz w:val="21"/>
                      <w:szCs w:val="21"/>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噪声</w:t>
                  </w:r>
                </w:p>
              </w:tc>
              <w:tc>
                <w:tcPr>
                  <w:tcW w:w="383"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1</w:t>
                  </w:r>
                </w:p>
              </w:tc>
              <w:tc>
                <w:tcPr>
                  <w:tcW w:w="865" w:type="pct"/>
                  <w:vMerge w:val="restart"/>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厂界噪声</w:t>
                  </w: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hint="eastAsia" w:ascii="Times New Roman" w:hAnsi="Times New Roman" w:eastAsiaTheme="minorEastAsia"/>
                      <w:color w:val="auto"/>
                      <w:sz w:val="21"/>
                      <w:szCs w:val="21"/>
                    </w:rPr>
                    <w:t>多功能声级计</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AWA62</w:t>
                  </w:r>
                  <w:r>
                    <w:rPr>
                      <w:rFonts w:hint="eastAsia" w:ascii="Times New Roman" w:hAnsi="Times New Roman" w:eastAsiaTheme="minorEastAsia"/>
                      <w:color w:val="auto"/>
                      <w:sz w:val="21"/>
                      <w:szCs w:val="21"/>
                    </w:rPr>
                    <w:t>28</w:t>
                  </w:r>
                  <w:r>
                    <w:rPr>
                      <w:rFonts w:ascii="Times New Roman" w:hAnsi="Times New Roman" w:eastAsiaTheme="minorEastAsia"/>
                      <w:color w:val="auto"/>
                      <w:sz w:val="21"/>
                      <w:szCs w:val="21"/>
                    </w:rPr>
                    <w:t>+</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w:t>
                  </w:r>
                  <w:r>
                    <w:rPr>
                      <w:rFonts w:hint="eastAsia" w:ascii="Times New Roman" w:hAnsi="Times New Roman" w:eastAsiaTheme="minorEastAsia"/>
                      <w:color w:val="auto"/>
                      <w:sz w:val="21"/>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声校准器</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AWA6021A</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w:t>
                  </w:r>
                  <w:r>
                    <w:rPr>
                      <w:rFonts w:hint="eastAsia" w:ascii="Times New Roman" w:hAnsi="Times New Roman" w:eastAsiaTheme="minorEastAsia"/>
                      <w:color w:val="auto"/>
                      <w:sz w:val="21"/>
                      <w:szCs w:val="21"/>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69"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383"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865" w:type="pct"/>
                  <w:vMerge w:val="continue"/>
                  <w:shd w:val="clear" w:color="auto" w:fill="auto"/>
                  <w:vAlign w:val="center"/>
                </w:tcPr>
                <w:p>
                  <w:pPr>
                    <w:widowControl w:val="0"/>
                    <w:adjustRightInd/>
                    <w:snapToGrid/>
                    <w:spacing w:after="0"/>
                    <w:jc w:val="center"/>
                    <w:rPr>
                      <w:rFonts w:ascii="Times New Roman" w:hAnsi="Times New Roman" w:eastAsiaTheme="minorEastAsia"/>
                      <w:color w:val="auto"/>
                      <w:sz w:val="21"/>
                      <w:szCs w:val="21"/>
                    </w:rPr>
                  </w:pPr>
                </w:p>
              </w:tc>
              <w:tc>
                <w:tcPr>
                  <w:tcW w:w="1141" w:type="pct"/>
                  <w:shd w:val="solid" w:color="FFFFFF" w:fill="auto"/>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风向风速测定仪</w:t>
                  </w:r>
                </w:p>
              </w:tc>
              <w:tc>
                <w:tcPr>
                  <w:tcW w:w="993"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NK Kestrel 5500</w:t>
                  </w:r>
                </w:p>
              </w:tc>
              <w:tc>
                <w:tcPr>
                  <w:tcW w:w="1045" w:type="pct"/>
                  <w:vAlign w:val="center"/>
                </w:tcPr>
                <w:p>
                  <w:pPr>
                    <w:widowControl w:val="0"/>
                    <w:adjustRightInd/>
                    <w:snapToGrid/>
                    <w:spacing w:after="0"/>
                    <w:jc w:val="center"/>
                    <w:rPr>
                      <w:rFonts w:ascii="Times New Roman" w:hAnsi="Times New Roman" w:eastAsiaTheme="minorEastAsia"/>
                      <w:color w:val="auto"/>
                      <w:sz w:val="21"/>
                      <w:szCs w:val="21"/>
                    </w:rPr>
                  </w:pPr>
                  <w:r>
                    <w:rPr>
                      <w:rFonts w:ascii="Times New Roman" w:hAnsi="Times New Roman" w:eastAsiaTheme="minorEastAsia"/>
                      <w:color w:val="auto"/>
                      <w:sz w:val="21"/>
                      <w:szCs w:val="21"/>
                    </w:rPr>
                    <w:t>JTJC-YQ-023</w:t>
                  </w:r>
                </w:p>
              </w:tc>
            </w:tr>
          </w:tbl>
          <w:p>
            <w:pPr>
              <w:pStyle w:val="3"/>
              <w:widowControl/>
              <w:spacing w:line="360" w:lineRule="auto"/>
              <w:rPr>
                <w:bCs w:val="0"/>
                <w:color w:val="auto"/>
                <w:sz w:val="24"/>
                <w:szCs w:val="24"/>
              </w:rPr>
            </w:pPr>
            <w:r>
              <w:rPr>
                <w:bCs w:val="0"/>
                <w:color w:val="auto"/>
                <w:sz w:val="24"/>
                <w:szCs w:val="24"/>
              </w:rPr>
              <w:t>2、质量控制和质量保证</w:t>
            </w:r>
          </w:p>
          <w:p>
            <w:pPr>
              <w:widowControl w:val="0"/>
              <w:adjustRightInd/>
              <w:snapToGrid/>
              <w:spacing w:after="0" w:line="360" w:lineRule="auto"/>
              <w:ind w:firstLine="482" w:firstLineChars="200"/>
              <w:outlineLvl w:val="1"/>
              <w:rPr>
                <w:rFonts w:ascii="Times New Roman" w:hAnsi="Times New Roman" w:eastAsia="宋体"/>
                <w:b/>
                <w:color w:val="auto"/>
                <w:sz w:val="24"/>
                <w:szCs w:val="24"/>
              </w:rPr>
            </w:pPr>
            <w:r>
              <w:rPr>
                <w:rFonts w:ascii="Times New Roman" w:hAnsi="Times New Roman" w:eastAsia="宋体"/>
                <w:b/>
                <w:color w:val="auto"/>
                <w:sz w:val="24"/>
                <w:szCs w:val="24"/>
              </w:rPr>
              <w:t>2.1、人员资质</w:t>
            </w:r>
          </w:p>
          <w:p>
            <w:pPr>
              <w:widowControl w:val="0"/>
              <w:adjustRightInd/>
              <w:snapToGrid/>
              <w:spacing w:after="0" w:line="360" w:lineRule="auto"/>
              <w:ind w:firstLine="480" w:firstLineChars="200"/>
              <w:rPr>
                <w:rFonts w:ascii="Times New Roman" w:hAnsi="Times New Roman"/>
                <w:color w:val="auto"/>
                <w:sz w:val="28"/>
                <w:szCs w:val="28"/>
              </w:rPr>
            </w:pPr>
            <w:r>
              <w:rPr>
                <w:rFonts w:ascii="Times New Roman" w:hAnsi="Times New Roman" w:eastAsia="宋体"/>
                <w:bCs/>
                <w:color w:val="auto"/>
                <w:sz w:val="24"/>
                <w:szCs w:val="24"/>
              </w:rPr>
              <w:t>参加验收监测采样的测试的人员，持有国家有关规定的上岗证。</w:t>
            </w:r>
          </w:p>
        </w:tc>
      </w:tr>
    </w:tbl>
    <w:p>
      <w:pPr>
        <w:autoSpaceDE w:val="0"/>
        <w:autoSpaceDN w:val="0"/>
        <w:spacing w:after="48" w:afterLines="20"/>
        <w:rPr>
          <w:rFonts w:ascii="Times New Roman" w:hAnsi="Times New Roman" w:eastAsia="仿宋_GB2312"/>
          <w:color w:val="auto"/>
          <w:sz w:val="28"/>
          <w:szCs w:val="28"/>
        </w:rPr>
        <w:sectPr>
          <w:pgSz w:w="11906" w:h="16838"/>
          <w:pgMar w:top="1440" w:right="1080" w:bottom="1440" w:left="1080" w:header="708" w:footer="708" w:gutter="0"/>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10" w:name="_Toc11608"/>
      <w:r>
        <w:rPr>
          <w:rFonts w:ascii="Times New Roman" w:hAnsi="Times New Roman" w:eastAsia="黑体"/>
          <w:b w:val="0"/>
          <w:bCs w:val="0"/>
          <w:color w:val="auto"/>
          <w:sz w:val="28"/>
          <w:szCs w:val="28"/>
        </w:rPr>
        <w:t>表六</w:t>
      </w:r>
      <w:bookmarkEnd w:id="10"/>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1" w:hRule="atLeast"/>
        </w:trPr>
        <w:tc>
          <w:tcPr>
            <w:tcW w:w="9962" w:type="dxa"/>
          </w:tcPr>
          <w:p>
            <w:pPr>
              <w:pStyle w:val="50"/>
              <w:adjustRightInd/>
              <w:snapToGrid/>
              <w:spacing w:before="0" w:after="0" w:line="240" w:lineRule="auto"/>
              <w:ind w:firstLine="0" w:firstLineChars="0"/>
              <w:rPr>
                <w:color w:val="auto"/>
                <w:sz w:val="24"/>
              </w:rPr>
            </w:pPr>
            <w:r>
              <w:rPr>
                <w:color w:val="auto"/>
                <w:sz w:val="24"/>
              </w:rPr>
              <w:t>验收监测内容：</w:t>
            </w:r>
          </w:p>
          <w:p>
            <w:pPr>
              <w:pStyle w:val="50"/>
              <w:adjustRightInd/>
              <w:snapToGrid/>
              <w:spacing w:before="0" w:after="0" w:line="240" w:lineRule="auto"/>
              <w:ind w:firstLine="0" w:firstLineChars="0"/>
              <w:jc w:val="center"/>
              <w:rPr>
                <w:b/>
                <w:bCs/>
                <w:color w:val="auto"/>
                <w:sz w:val="24"/>
              </w:rPr>
            </w:pPr>
            <w:r>
              <w:rPr>
                <w:b/>
                <w:bCs/>
                <w:color w:val="auto"/>
                <w:sz w:val="24"/>
              </w:rPr>
              <w:t>表6-1  监测内容</w:t>
            </w:r>
          </w:p>
          <w:tbl>
            <w:tblPr>
              <w:tblStyle w:val="89"/>
              <w:tblW w:w="498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036"/>
              <w:gridCol w:w="1367"/>
              <w:gridCol w:w="1892"/>
              <w:gridCol w:w="1223"/>
              <w:gridCol w:w="32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47" w:type="pct"/>
                  <w:vAlign w:val="center"/>
                </w:tcPr>
                <w:p>
                  <w:pPr>
                    <w:pStyle w:val="50"/>
                    <w:spacing w:before="0" w:after="0" w:line="240" w:lineRule="auto"/>
                    <w:ind w:firstLine="0" w:firstLineChars="0"/>
                    <w:jc w:val="center"/>
                    <w:rPr>
                      <w:color w:val="auto"/>
                      <w:sz w:val="21"/>
                      <w:szCs w:val="21"/>
                    </w:rPr>
                  </w:pPr>
                  <w:r>
                    <w:rPr>
                      <w:color w:val="auto"/>
                      <w:sz w:val="21"/>
                      <w:szCs w:val="21"/>
                    </w:rPr>
                    <w:t>内容</w:t>
                  </w:r>
                </w:p>
              </w:tc>
              <w:tc>
                <w:tcPr>
                  <w:tcW w:w="703" w:type="pct"/>
                  <w:vAlign w:val="center"/>
                </w:tcPr>
                <w:p>
                  <w:pPr>
                    <w:pStyle w:val="50"/>
                    <w:spacing w:before="0" w:after="0" w:line="240" w:lineRule="auto"/>
                    <w:ind w:firstLine="0" w:firstLineChars="0"/>
                    <w:jc w:val="center"/>
                    <w:rPr>
                      <w:color w:val="auto"/>
                      <w:sz w:val="21"/>
                      <w:szCs w:val="21"/>
                    </w:rPr>
                  </w:pPr>
                  <w:r>
                    <w:rPr>
                      <w:color w:val="auto"/>
                      <w:sz w:val="21"/>
                      <w:szCs w:val="21"/>
                    </w:rPr>
                    <w:t>检测类别</w:t>
                  </w:r>
                </w:p>
              </w:tc>
              <w:tc>
                <w:tcPr>
                  <w:tcW w:w="973" w:type="pct"/>
                  <w:vAlign w:val="center"/>
                </w:tcPr>
                <w:p>
                  <w:pPr>
                    <w:pStyle w:val="50"/>
                    <w:spacing w:before="0" w:after="0" w:line="240" w:lineRule="auto"/>
                    <w:ind w:firstLine="0" w:firstLineChars="0"/>
                    <w:jc w:val="center"/>
                    <w:rPr>
                      <w:color w:val="auto"/>
                      <w:sz w:val="21"/>
                      <w:szCs w:val="21"/>
                    </w:rPr>
                  </w:pPr>
                  <w:r>
                    <w:rPr>
                      <w:color w:val="auto"/>
                      <w:sz w:val="21"/>
                      <w:szCs w:val="21"/>
                    </w:rPr>
                    <w:t>检测项目</w:t>
                  </w:r>
                </w:p>
              </w:tc>
              <w:tc>
                <w:tcPr>
                  <w:tcW w:w="629" w:type="pct"/>
                  <w:vAlign w:val="center"/>
                </w:tcPr>
                <w:p>
                  <w:pPr>
                    <w:pStyle w:val="50"/>
                    <w:spacing w:before="0" w:after="0" w:line="240" w:lineRule="auto"/>
                    <w:ind w:firstLine="0" w:firstLineChars="0"/>
                    <w:jc w:val="center"/>
                    <w:rPr>
                      <w:color w:val="auto"/>
                      <w:sz w:val="21"/>
                      <w:szCs w:val="21"/>
                    </w:rPr>
                  </w:pPr>
                  <w:r>
                    <w:rPr>
                      <w:color w:val="auto"/>
                      <w:sz w:val="21"/>
                      <w:szCs w:val="21"/>
                    </w:rPr>
                    <w:t>监测位置</w:t>
                  </w:r>
                </w:p>
              </w:tc>
              <w:tc>
                <w:tcPr>
                  <w:tcW w:w="1646" w:type="pct"/>
                  <w:vAlign w:val="center"/>
                </w:tcPr>
                <w:p>
                  <w:pPr>
                    <w:pStyle w:val="50"/>
                    <w:spacing w:before="0" w:after="0" w:line="240" w:lineRule="auto"/>
                    <w:ind w:firstLine="0" w:firstLineChars="0"/>
                    <w:jc w:val="center"/>
                    <w:rPr>
                      <w:color w:val="auto"/>
                      <w:sz w:val="21"/>
                      <w:szCs w:val="21"/>
                    </w:rPr>
                  </w:pPr>
                  <w:r>
                    <w:rPr>
                      <w:color w:val="auto"/>
                      <w:sz w:val="21"/>
                      <w:szCs w:val="21"/>
                    </w:rPr>
                    <w:t>监测频次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1047" w:type="pct"/>
                  <w:vMerge w:val="restart"/>
                  <w:vAlign w:val="center"/>
                </w:tcPr>
                <w:p>
                  <w:pPr>
                    <w:pStyle w:val="50"/>
                    <w:spacing w:before="0" w:after="0" w:line="240" w:lineRule="auto"/>
                    <w:ind w:firstLine="0" w:firstLineChars="0"/>
                    <w:jc w:val="center"/>
                    <w:rPr>
                      <w:color w:val="auto"/>
                      <w:sz w:val="21"/>
                      <w:szCs w:val="21"/>
                    </w:rPr>
                  </w:pPr>
                  <w:r>
                    <w:rPr>
                      <w:color w:val="auto"/>
                      <w:sz w:val="21"/>
                      <w:szCs w:val="21"/>
                    </w:rPr>
                    <w:t>废气验收监测内容</w:t>
                  </w:r>
                </w:p>
              </w:tc>
              <w:tc>
                <w:tcPr>
                  <w:tcW w:w="703" w:type="pct"/>
                  <w:vAlign w:val="center"/>
                </w:tcPr>
                <w:p>
                  <w:pPr>
                    <w:pStyle w:val="50"/>
                    <w:spacing w:before="0" w:after="0" w:line="240" w:lineRule="auto"/>
                    <w:ind w:firstLine="0" w:firstLineChars="0"/>
                    <w:jc w:val="center"/>
                    <w:rPr>
                      <w:color w:val="auto"/>
                      <w:sz w:val="21"/>
                      <w:szCs w:val="21"/>
                    </w:rPr>
                  </w:pPr>
                  <w:r>
                    <w:rPr>
                      <w:color w:val="auto"/>
                      <w:sz w:val="21"/>
                      <w:szCs w:val="21"/>
                    </w:rPr>
                    <w:t>无组织废气</w:t>
                  </w:r>
                </w:p>
              </w:tc>
              <w:tc>
                <w:tcPr>
                  <w:tcW w:w="973"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颗粒物</w:t>
                  </w:r>
                </w:p>
              </w:tc>
              <w:tc>
                <w:tcPr>
                  <w:tcW w:w="629"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4</w:t>
                  </w:r>
                </w:p>
              </w:tc>
              <w:tc>
                <w:tcPr>
                  <w:tcW w:w="1646"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连续监测2天，每天监测3次。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1047" w:type="pct"/>
                  <w:vMerge w:val="continue"/>
                  <w:vAlign w:val="center"/>
                </w:tcPr>
                <w:p>
                  <w:pPr>
                    <w:pStyle w:val="50"/>
                    <w:spacing w:before="0" w:after="0" w:line="240" w:lineRule="auto"/>
                    <w:ind w:firstLine="0" w:firstLineChars="0"/>
                    <w:jc w:val="center"/>
                    <w:rPr>
                      <w:color w:val="auto"/>
                      <w:sz w:val="21"/>
                      <w:szCs w:val="21"/>
                    </w:rPr>
                  </w:pPr>
                </w:p>
              </w:tc>
              <w:tc>
                <w:tcPr>
                  <w:tcW w:w="703" w:type="pct"/>
                  <w:vMerge w:val="restar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有组织废气</w:t>
                  </w:r>
                </w:p>
              </w:tc>
              <w:tc>
                <w:tcPr>
                  <w:tcW w:w="973" w:type="pct"/>
                  <w:vMerge w:val="restar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颗粒物、烟气黑度、SO</w:t>
                  </w:r>
                  <w:r>
                    <w:rPr>
                      <w:rFonts w:hint="eastAsia"/>
                      <w:color w:val="auto"/>
                      <w:sz w:val="21"/>
                      <w:szCs w:val="21"/>
                      <w:vertAlign w:val="subscript"/>
                    </w:rPr>
                    <w:t>2</w:t>
                  </w:r>
                  <w:r>
                    <w:rPr>
                      <w:rFonts w:hint="eastAsia"/>
                      <w:color w:val="auto"/>
                      <w:sz w:val="21"/>
                      <w:szCs w:val="21"/>
                    </w:rPr>
                    <w:t>、NO</w:t>
                  </w:r>
                  <w:r>
                    <w:rPr>
                      <w:rFonts w:hint="eastAsia"/>
                      <w:color w:val="auto"/>
                      <w:sz w:val="21"/>
                      <w:szCs w:val="21"/>
                      <w:vertAlign w:val="subscript"/>
                    </w:rPr>
                    <w:t>X</w:t>
                  </w:r>
                </w:p>
              </w:tc>
              <w:tc>
                <w:tcPr>
                  <w:tcW w:w="629"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1</w:t>
                  </w:r>
                </w:p>
              </w:tc>
              <w:tc>
                <w:tcPr>
                  <w:tcW w:w="1646"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连续监测2天，每天监测3次。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047" w:type="pct"/>
                  <w:vMerge w:val="continue"/>
                  <w:vAlign w:val="center"/>
                </w:tcPr>
                <w:p>
                  <w:pPr>
                    <w:pStyle w:val="50"/>
                    <w:spacing w:before="0" w:after="0" w:line="240" w:lineRule="auto"/>
                    <w:ind w:firstLine="0" w:firstLineChars="0"/>
                    <w:jc w:val="center"/>
                    <w:rPr>
                      <w:color w:val="auto"/>
                      <w:sz w:val="21"/>
                      <w:szCs w:val="21"/>
                    </w:rPr>
                  </w:pPr>
                </w:p>
              </w:tc>
              <w:tc>
                <w:tcPr>
                  <w:tcW w:w="703" w:type="pct"/>
                  <w:vMerge w:val="continue"/>
                  <w:vAlign w:val="center"/>
                </w:tcPr>
                <w:p>
                  <w:pPr>
                    <w:pStyle w:val="50"/>
                    <w:spacing w:before="0" w:after="0" w:line="240" w:lineRule="auto"/>
                    <w:ind w:firstLine="0" w:firstLineChars="0"/>
                    <w:jc w:val="center"/>
                    <w:rPr>
                      <w:color w:val="auto"/>
                      <w:sz w:val="21"/>
                      <w:szCs w:val="21"/>
                    </w:rPr>
                  </w:pPr>
                </w:p>
              </w:tc>
              <w:tc>
                <w:tcPr>
                  <w:tcW w:w="973" w:type="pct"/>
                  <w:vMerge w:val="continue"/>
                  <w:vAlign w:val="center"/>
                </w:tcPr>
                <w:p>
                  <w:pPr>
                    <w:pStyle w:val="50"/>
                    <w:spacing w:before="0" w:after="0" w:line="240" w:lineRule="auto"/>
                    <w:ind w:firstLine="0" w:firstLineChars="0"/>
                    <w:jc w:val="center"/>
                    <w:rPr>
                      <w:color w:val="auto"/>
                      <w:sz w:val="21"/>
                      <w:szCs w:val="21"/>
                    </w:rPr>
                  </w:pPr>
                </w:p>
              </w:tc>
              <w:tc>
                <w:tcPr>
                  <w:tcW w:w="629"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1</w:t>
                  </w:r>
                </w:p>
              </w:tc>
              <w:tc>
                <w:tcPr>
                  <w:tcW w:w="1646"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连续监测2天，每天监测3次。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1047"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噪声验收监测内容</w:t>
                  </w:r>
                </w:p>
              </w:tc>
              <w:tc>
                <w:tcPr>
                  <w:tcW w:w="703"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噪声</w:t>
                  </w:r>
                </w:p>
              </w:tc>
              <w:tc>
                <w:tcPr>
                  <w:tcW w:w="973"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噪声</w:t>
                  </w:r>
                </w:p>
              </w:tc>
              <w:tc>
                <w:tcPr>
                  <w:tcW w:w="629"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4</w:t>
                  </w:r>
                </w:p>
              </w:tc>
              <w:tc>
                <w:tcPr>
                  <w:tcW w:w="1646" w:type="pct"/>
                  <w:vAlign w:val="center"/>
                </w:tcPr>
                <w:p>
                  <w:pPr>
                    <w:pStyle w:val="50"/>
                    <w:spacing w:before="0" w:after="0" w:line="240" w:lineRule="auto"/>
                    <w:ind w:firstLine="0" w:firstLineChars="0"/>
                    <w:jc w:val="center"/>
                    <w:rPr>
                      <w:color w:val="auto"/>
                      <w:sz w:val="21"/>
                      <w:szCs w:val="21"/>
                    </w:rPr>
                  </w:pPr>
                  <w:r>
                    <w:rPr>
                      <w:rFonts w:hint="eastAsia"/>
                      <w:color w:val="auto"/>
                      <w:sz w:val="21"/>
                      <w:szCs w:val="21"/>
                    </w:rPr>
                    <w:t>连续监测2天，每天昼间1次，夜间1次）</w:t>
                  </w:r>
                </w:p>
              </w:tc>
            </w:tr>
          </w:tbl>
          <w:p>
            <w:pPr>
              <w:pStyle w:val="50"/>
              <w:adjustRightInd w:val="0"/>
              <w:snapToGrid w:val="0"/>
              <w:ind w:firstLine="0" w:firstLineChars="0"/>
              <w:rPr>
                <w:color w:val="auto"/>
              </w:rPr>
            </w:pPr>
          </w:p>
        </w:tc>
      </w:tr>
    </w:tbl>
    <w:p>
      <w:pPr>
        <w:spacing w:after="0" w:line="360" w:lineRule="auto"/>
        <w:rPr>
          <w:rFonts w:ascii="Times New Roman" w:hAnsi="Times New Roman" w:eastAsia="仿宋_GB2312"/>
          <w:b/>
          <w:color w:val="auto"/>
          <w:sz w:val="28"/>
          <w:szCs w:val="28"/>
        </w:rPr>
        <w:sectPr>
          <w:pgSz w:w="11906" w:h="16838"/>
          <w:pgMar w:top="1440" w:right="1080" w:bottom="1440" w:left="1080" w:header="708" w:footer="708" w:gutter="0"/>
          <w:cols w:space="720" w:num="1"/>
          <w:docGrid w:linePitch="360" w:charSpace="0"/>
        </w:sectPr>
      </w:pPr>
    </w:p>
    <w:p>
      <w:pPr>
        <w:pStyle w:val="2"/>
        <w:spacing w:before="0" w:after="0" w:line="240" w:lineRule="auto"/>
        <w:rPr>
          <w:rFonts w:ascii="Times New Roman" w:hAnsi="Times New Roman" w:eastAsia="黑体"/>
          <w:b w:val="0"/>
          <w:bCs w:val="0"/>
          <w:color w:val="auto"/>
          <w:sz w:val="28"/>
          <w:szCs w:val="28"/>
        </w:rPr>
      </w:pPr>
      <w:bookmarkStart w:id="11" w:name="_Toc17845"/>
      <w:r>
        <w:rPr>
          <w:rFonts w:ascii="Times New Roman" w:hAnsi="Times New Roman" w:eastAsia="黑体"/>
          <w:b w:val="0"/>
          <w:bCs w:val="0"/>
          <w:color w:val="auto"/>
          <w:sz w:val="28"/>
          <w:szCs w:val="28"/>
        </w:rPr>
        <w:t>表七</w:t>
      </w:r>
      <w:bookmarkEnd w:id="11"/>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pPr>
              <w:adjustRightInd/>
              <w:snapToGrid/>
              <w:spacing w:after="0" w:line="400" w:lineRule="atLeast"/>
              <w:rPr>
                <w:rFonts w:ascii="Times New Roman" w:hAnsi="Times New Roman" w:eastAsia="宋体"/>
                <w:color w:val="auto"/>
                <w:sz w:val="24"/>
                <w:szCs w:val="24"/>
              </w:rPr>
            </w:pPr>
            <w:r>
              <w:rPr>
                <w:rFonts w:ascii="Times New Roman" w:hAnsi="Times New Roman" w:eastAsia="宋体"/>
                <w:color w:val="auto"/>
                <w:sz w:val="24"/>
                <w:szCs w:val="24"/>
              </w:rPr>
              <w:t>验收监测期间生产工况记录：</w:t>
            </w:r>
          </w:p>
          <w:p>
            <w:pPr>
              <w:pStyle w:val="33"/>
              <w:adjustRightInd/>
              <w:snapToGrid/>
              <w:spacing w:line="400" w:lineRule="atLeast"/>
              <w:rPr>
                <w:rFonts w:ascii="Times New Roman" w:hAnsi="Times New Roman" w:eastAsia="仿宋_GB2312" w:cs="Times New Roman"/>
                <w:b/>
                <w:color w:val="auto"/>
                <w:sz w:val="28"/>
                <w:szCs w:val="28"/>
              </w:rPr>
            </w:pPr>
            <w:r>
              <w:rPr>
                <w:rFonts w:ascii="Times New Roman" w:hAnsi="Times New Roman" w:cs="Times New Roman"/>
                <w:color w:val="auto"/>
              </w:rPr>
              <w:t>正常工况，稳定运行。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0" w:hRule="atLeast"/>
        </w:trPr>
        <w:tc>
          <w:tcPr>
            <w:tcW w:w="9962" w:type="dxa"/>
          </w:tcPr>
          <w:p>
            <w:pPr>
              <w:pStyle w:val="6"/>
              <w:spacing w:before="0" w:after="0" w:line="400" w:lineRule="atLeast"/>
              <w:ind w:firstLine="0"/>
              <w:rPr>
                <w:rFonts w:ascii="Times New Roman" w:hAnsi="Times New Roman"/>
                <w:color w:val="auto"/>
                <w:sz w:val="24"/>
                <w:szCs w:val="24"/>
              </w:rPr>
            </w:pPr>
            <w:r>
              <w:rPr>
                <w:rFonts w:ascii="Times New Roman" w:hAnsi="Times New Roman"/>
                <w:color w:val="auto"/>
                <w:sz w:val="24"/>
                <w:szCs w:val="24"/>
              </w:rPr>
              <w:t>验收监测结果：</w:t>
            </w:r>
          </w:p>
          <w:p>
            <w:pPr>
              <w:adjustRightInd/>
              <w:snapToGrid/>
              <w:spacing w:after="0"/>
              <w:rPr>
                <w:rFonts w:ascii="Times New Roman" w:hAnsi="Times New Roman"/>
                <w:b/>
                <w:color w:val="auto"/>
                <w:sz w:val="24"/>
                <w:szCs w:val="24"/>
              </w:rPr>
            </w:pPr>
            <w:r>
              <w:rPr>
                <w:rFonts w:ascii="Times New Roman" w:hAnsi="Times New Roman" w:eastAsia="宋体"/>
                <w:b/>
                <w:color w:val="auto"/>
                <w:sz w:val="24"/>
                <w:szCs w:val="24"/>
              </w:rPr>
              <w:t>1、</w:t>
            </w:r>
            <w:r>
              <w:rPr>
                <w:rFonts w:hint="eastAsia" w:ascii="Times New Roman" w:hAnsi="Times New Roman" w:eastAsia="宋体"/>
                <w:b/>
                <w:color w:val="auto"/>
                <w:sz w:val="24"/>
                <w:szCs w:val="24"/>
              </w:rPr>
              <w:t>有</w:t>
            </w:r>
            <w:r>
              <w:rPr>
                <w:rFonts w:ascii="Times New Roman" w:hAnsi="Times New Roman" w:eastAsia="宋体"/>
                <w:b/>
                <w:color w:val="auto"/>
                <w:sz w:val="24"/>
                <w:szCs w:val="24"/>
              </w:rPr>
              <w:t>组织废气检测结果</w:t>
            </w:r>
          </w:p>
          <w:p>
            <w:pPr>
              <w:adjustRightInd/>
              <w:snapToGrid/>
              <w:spacing w:after="0"/>
              <w:jc w:val="right"/>
              <w:rPr>
                <w:rFonts w:ascii="Times New Roman" w:hAnsi="Times New Roman" w:eastAsia="宋体"/>
                <w:b/>
                <w:color w:val="auto"/>
                <w:sz w:val="24"/>
                <w:szCs w:val="24"/>
                <w:vertAlign w:val="superscript"/>
                <w:lang w:bidi="ar"/>
              </w:rPr>
            </w:pPr>
            <w:r>
              <w:rPr>
                <w:rFonts w:ascii="Times New Roman" w:hAnsi="Times New Roman" w:eastAsia="宋体"/>
                <w:b/>
                <w:color w:val="auto"/>
                <w:sz w:val="24"/>
                <w:szCs w:val="24"/>
              </w:rPr>
              <w:t>单位：</w:t>
            </w:r>
            <w:r>
              <w:rPr>
                <w:rFonts w:ascii="Times New Roman" w:hAnsi="Times New Roman" w:eastAsia="宋体"/>
                <w:b/>
                <w:color w:val="auto"/>
                <w:sz w:val="24"/>
                <w:szCs w:val="24"/>
                <w:lang w:bidi="ar"/>
              </w:rPr>
              <w:t>mg/m</w:t>
            </w:r>
            <w:r>
              <w:rPr>
                <w:rFonts w:ascii="Times New Roman" w:hAnsi="Times New Roman" w:eastAsia="宋体"/>
                <w:b/>
                <w:color w:val="auto"/>
                <w:sz w:val="24"/>
                <w:szCs w:val="24"/>
                <w:vertAlign w:val="superscript"/>
                <w:lang w:bidi="ar"/>
              </w:rPr>
              <w:t>3</w:t>
            </w:r>
          </w:p>
          <w:tbl>
            <w:tblPr>
              <w:tblStyle w:val="27"/>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02"/>
              <w:gridCol w:w="1078"/>
              <w:gridCol w:w="1700"/>
              <w:gridCol w:w="1019"/>
              <w:gridCol w:w="970"/>
              <w:gridCol w:w="763"/>
              <w:gridCol w:w="776"/>
              <w:gridCol w:w="968"/>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blHeader/>
              </w:trPr>
              <w:tc>
                <w:tcPr>
                  <w:tcW w:w="371"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采样</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地点</w:t>
                  </w:r>
                </w:p>
              </w:tc>
              <w:tc>
                <w:tcPr>
                  <w:tcW w:w="363"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采样</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时间</w:t>
                  </w:r>
                </w:p>
              </w:tc>
              <w:tc>
                <w:tcPr>
                  <w:tcW w:w="558"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检测</w:t>
                  </w:r>
                  <w:r>
                    <w:rPr>
                      <w:rFonts w:hint="default" w:ascii="Times New Roman" w:hAnsi="Times New Roman" w:eastAsia="宋体" w:cs="Times New Roman"/>
                      <w:b/>
                      <w:bCs/>
                      <w:color w:val="auto"/>
                      <w:sz w:val="21"/>
                      <w:szCs w:val="21"/>
                    </w:rPr>
                    <w:t>项目</w:t>
                  </w:r>
                </w:p>
              </w:tc>
              <w:tc>
                <w:tcPr>
                  <w:tcW w:w="881"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样品编号</w:t>
                  </w:r>
                </w:p>
              </w:tc>
              <w:tc>
                <w:tcPr>
                  <w:tcW w:w="528"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实测浓度</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(mg/m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w:t>
                  </w:r>
                </w:p>
              </w:tc>
              <w:tc>
                <w:tcPr>
                  <w:tcW w:w="502"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折算浓度</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(mg/m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w:t>
                  </w:r>
                </w:p>
              </w:tc>
              <w:tc>
                <w:tcPr>
                  <w:tcW w:w="395"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含氧量</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p>
              </w:tc>
              <w:tc>
                <w:tcPr>
                  <w:tcW w:w="402"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基准</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氧含量(%)</w:t>
                  </w:r>
                </w:p>
              </w:tc>
              <w:tc>
                <w:tcPr>
                  <w:tcW w:w="501"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标干风量(Nm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/h)</w:t>
                  </w:r>
                </w:p>
              </w:tc>
              <w:tc>
                <w:tcPr>
                  <w:tcW w:w="494" w:type="pct"/>
                  <w:vAlign w:val="center"/>
                </w:tcPr>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排放速率</w:t>
                  </w:r>
                </w:p>
                <w:p>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w:t>
                  </w:r>
                </w:p>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snapToGrid w:val="0"/>
                      <w:color w:val="auto"/>
                      <w:sz w:val="21"/>
                      <w:szCs w:val="21"/>
                      <w:highlight w:val="none"/>
                    </w:rPr>
                    <w:t>1</w:t>
                  </w:r>
                  <w:r>
                    <w:rPr>
                      <w:rFonts w:hint="default" w:ascii="Times New Roman" w:hAnsi="Times New Roman" w:cs="Times New Roman"/>
                      <w:snapToGrid w:val="0"/>
                      <w:color w:val="auto"/>
                      <w:sz w:val="21"/>
                      <w:szCs w:val="21"/>
                      <w:highlight w:val="none"/>
                      <w:lang w:val="en-US" w:eastAsia="zh-CN"/>
                    </w:rPr>
                    <w:t>0</w:t>
                  </w:r>
                  <w:r>
                    <w:rPr>
                      <w:rFonts w:hint="default" w:ascii="Times New Roman" w:hAnsi="Times New Roman" w:cs="Times New Roman"/>
                      <w:snapToGrid w:val="0"/>
                      <w:color w:val="auto"/>
                      <w:sz w:val="21"/>
                      <w:szCs w:val="21"/>
                      <w:highlight w:val="none"/>
                    </w:rPr>
                    <w:t>t</w:t>
                  </w:r>
                  <w:r>
                    <w:rPr>
                      <w:rFonts w:hint="default" w:ascii="Times New Roman" w:hAnsi="Times New Roman" w:cs="Times New Roman"/>
                      <w:color w:val="auto"/>
                      <w:sz w:val="21"/>
                      <w:szCs w:val="21"/>
                      <w:highlight w:val="none"/>
                      <w:lang w:eastAsia="zh-CN"/>
                    </w:rPr>
                    <w:t>生物质锅炉处理</w:t>
                  </w:r>
                  <w:r>
                    <w:rPr>
                      <w:rFonts w:hint="default" w:ascii="Times New Roman" w:hAnsi="Times New Roman" w:cs="Times New Roman"/>
                      <w:color w:val="auto"/>
                      <w:sz w:val="21"/>
                      <w:szCs w:val="21"/>
                      <w:highlight w:val="none"/>
                      <w:lang w:val="en-US" w:eastAsia="zh-CN"/>
                    </w:rPr>
                    <w:t>前</w:t>
                  </w:r>
                </w:p>
              </w:tc>
              <w:tc>
                <w:tcPr>
                  <w:tcW w:w="363"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202</w:t>
                  </w:r>
                  <w:r>
                    <w:rPr>
                      <w:rFonts w:hint="eastAsia" w:ascii="Times New Roman" w:hAnsi="Times New Roman" w:cs="Times New Roman"/>
                      <w:color w:val="auto"/>
                      <w:kern w:val="2"/>
                      <w:sz w:val="21"/>
                      <w:szCs w:val="21"/>
                      <w:highlight w:val="none"/>
                      <w:lang w:val="en-US" w:eastAsia="zh-CN" w:bidi="ar-SA"/>
                    </w:rPr>
                    <w:t>4.02.29</w:t>
                  </w: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颗粒物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358</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672</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14.4</w:t>
                  </w:r>
                </w:p>
              </w:tc>
              <w:tc>
                <w:tcPr>
                  <w:tcW w:w="402" w:type="pct"/>
                  <w:vMerge w:val="restar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8.6</w:t>
                  </w: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29415</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356</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762</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15.2</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29548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388</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924</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15.8</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29816</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二氧化硫</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31</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59</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14.4</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29415</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31</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66</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15.2</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29548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33</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80</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15.8</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29816</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氮氧化物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39</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73</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14.4</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29415</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38</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81</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15.2</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29548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34</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81</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15.8</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29816</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w:t>
                  </w:r>
                </w:p>
                <w:p>
                  <w:pPr>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cs="Times New Roman"/>
                      <w:snapToGrid w:val="0"/>
                      <w:color w:val="auto"/>
                      <w:sz w:val="21"/>
                      <w:szCs w:val="21"/>
                      <w:highlight w:val="none"/>
                    </w:rPr>
                    <w:t>1</w:t>
                  </w:r>
                  <w:r>
                    <w:rPr>
                      <w:rFonts w:hint="default" w:ascii="Times New Roman" w:hAnsi="Times New Roman" w:cs="Times New Roman"/>
                      <w:snapToGrid w:val="0"/>
                      <w:color w:val="auto"/>
                      <w:sz w:val="21"/>
                      <w:szCs w:val="21"/>
                      <w:highlight w:val="none"/>
                      <w:lang w:val="en-US" w:eastAsia="zh-CN"/>
                    </w:rPr>
                    <w:t>0</w:t>
                  </w:r>
                  <w:r>
                    <w:rPr>
                      <w:rFonts w:hint="default" w:ascii="Times New Roman" w:hAnsi="Times New Roman" w:cs="Times New Roman"/>
                      <w:snapToGrid w:val="0"/>
                      <w:color w:val="auto"/>
                      <w:sz w:val="21"/>
                      <w:szCs w:val="21"/>
                      <w:highlight w:val="none"/>
                    </w:rPr>
                    <w:t>t</w:t>
                  </w:r>
                  <w:r>
                    <w:rPr>
                      <w:rFonts w:hint="default" w:ascii="Times New Roman" w:hAnsi="Times New Roman" w:cs="Times New Roman"/>
                      <w:color w:val="auto"/>
                      <w:sz w:val="21"/>
                      <w:szCs w:val="21"/>
                      <w:highlight w:val="none"/>
                      <w:lang w:eastAsia="zh-CN"/>
                    </w:rPr>
                    <w:t>生物质锅炉处理</w:t>
                  </w:r>
                  <w:r>
                    <w:rPr>
                      <w:rFonts w:hint="default" w:ascii="Times New Roman" w:hAnsi="Times New Roman" w:cs="Times New Roman"/>
                      <w:color w:val="auto"/>
                      <w:sz w:val="21"/>
                      <w:szCs w:val="21"/>
                      <w:highlight w:val="none"/>
                      <w:lang w:val="en-US" w:eastAsia="zh-CN"/>
                    </w:rPr>
                    <w:t>后</w:t>
                  </w:r>
                </w:p>
              </w:tc>
              <w:tc>
                <w:tcPr>
                  <w:tcW w:w="363" w:type="pct"/>
                  <w:vMerge w:val="continue"/>
                  <w:vAlign w:val="center"/>
                </w:tcPr>
                <w:p>
                  <w:pPr>
                    <w:jc w:val="center"/>
                    <w:rPr>
                      <w:rFonts w:hint="default" w:ascii="Times New Roman" w:hAnsi="Times New Roman" w:eastAsia="宋体" w:cs="Times New Roman"/>
                      <w:color w:val="auto"/>
                      <w:sz w:val="21"/>
                      <w:szCs w:val="21"/>
                      <w:highlight w:val="none"/>
                      <w:lang w:val="en-US"/>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13.4</w:t>
                  </w:r>
                </w:p>
              </w:tc>
              <w:tc>
                <w:tcPr>
                  <w:tcW w:w="402" w:type="pct"/>
                  <w:vMerge w:val="restar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8.6</w:t>
                  </w: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25877</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16</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14.3</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25442</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22</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12.8</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25844</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二氧化硫</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33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53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13.4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25877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0.84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34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62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14.3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25442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0.86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45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68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12.8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25844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氮氧化物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42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69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13.4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25877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40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74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14.3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25442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40229</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41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62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12.8 </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25844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烟气黑度</w:t>
                  </w:r>
                </w:p>
              </w:tc>
              <w:tc>
                <w:tcPr>
                  <w:tcW w:w="881" w:type="pct"/>
                  <w:vAlign w:val="center"/>
                </w:tcPr>
                <w:p>
                  <w:pPr>
                    <w:jc w:val="center"/>
                    <w:rPr>
                      <w:rFonts w:hint="default" w:ascii="Times New Roman" w:hAnsi="Times New Roman"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w:t>
                  </w:r>
                </w:p>
              </w:tc>
              <w:tc>
                <w:tcPr>
                  <w:tcW w:w="2825" w:type="pct"/>
                  <w:gridSpan w:val="6"/>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w:t>
                  </w:r>
                </w:p>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snapToGrid w:val="0"/>
                      <w:color w:val="auto"/>
                      <w:sz w:val="21"/>
                      <w:szCs w:val="21"/>
                      <w:highlight w:val="none"/>
                    </w:rPr>
                    <w:t>1</w:t>
                  </w:r>
                  <w:r>
                    <w:rPr>
                      <w:rFonts w:hint="default" w:ascii="Times New Roman" w:hAnsi="Times New Roman" w:cs="Times New Roman"/>
                      <w:snapToGrid w:val="0"/>
                      <w:color w:val="auto"/>
                      <w:sz w:val="21"/>
                      <w:szCs w:val="21"/>
                      <w:highlight w:val="none"/>
                      <w:lang w:val="en-US" w:eastAsia="zh-CN"/>
                    </w:rPr>
                    <w:t>0</w:t>
                  </w:r>
                  <w:r>
                    <w:rPr>
                      <w:rFonts w:hint="default" w:ascii="Times New Roman" w:hAnsi="Times New Roman" w:cs="Times New Roman"/>
                      <w:snapToGrid w:val="0"/>
                      <w:color w:val="auto"/>
                      <w:sz w:val="21"/>
                      <w:szCs w:val="21"/>
                      <w:highlight w:val="none"/>
                    </w:rPr>
                    <w:t>t</w:t>
                  </w:r>
                  <w:r>
                    <w:rPr>
                      <w:rFonts w:hint="default" w:ascii="Times New Roman" w:hAnsi="Times New Roman" w:cs="Times New Roman"/>
                      <w:color w:val="auto"/>
                      <w:sz w:val="21"/>
                      <w:szCs w:val="21"/>
                      <w:highlight w:val="none"/>
                      <w:lang w:eastAsia="zh-CN"/>
                    </w:rPr>
                    <w:t>生物质锅炉处理</w:t>
                  </w:r>
                  <w:r>
                    <w:rPr>
                      <w:rFonts w:hint="default" w:ascii="Times New Roman" w:hAnsi="Times New Roman" w:cs="Times New Roman"/>
                      <w:color w:val="auto"/>
                      <w:sz w:val="21"/>
                      <w:szCs w:val="21"/>
                      <w:highlight w:val="none"/>
                      <w:lang w:val="en-US" w:eastAsia="zh-CN"/>
                    </w:rPr>
                    <w:t>前</w:t>
                  </w:r>
                </w:p>
              </w:tc>
              <w:tc>
                <w:tcPr>
                  <w:tcW w:w="363"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202</w:t>
                  </w:r>
                  <w:r>
                    <w:rPr>
                      <w:rFonts w:hint="eastAsia" w:ascii="Times New Roman" w:hAnsi="Times New Roman" w:cs="Times New Roman"/>
                      <w:color w:val="auto"/>
                      <w:kern w:val="2"/>
                      <w:sz w:val="21"/>
                      <w:szCs w:val="21"/>
                      <w:highlight w:val="none"/>
                      <w:lang w:val="en-US" w:eastAsia="zh-CN" w:bidi="ar-SA"/>
                    </w:rPr>
                    <w:t>4.03.01</w:t>
                  </w: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颗粒物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390</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793</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14.9</w:t>
                  </w:r>
                </w:p>
              </w:tc>
              <w:tc>
                <w:tcPr>
                  <w:tcW w:w="402" w:type="pct"/>
                  <w:vMerge w:val="restar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8.6</w:t>
                  </w: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29098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345</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750</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15.3</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30071</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360</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875</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15.9</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30534</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二氧化硫</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32</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64</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14.9</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29098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32</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70</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15.3</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30071</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34</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82</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15.9</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30534</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氮氧化物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01</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37</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75</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14.9</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29098</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02</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36</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78</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15.3</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30071</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both"/>
                    <w:rPr>
                      <w:rFonts w:hint="default" w:ascii="Times New Roman" w:hAnsi="Times New Roman" w:eastAsia="宋体" w:cs="Times New Roman"/>
                      <w:color w:val="auto"/>
                      <w:sz w:val="21"/>
                      <w:szCs w:val="21"/>
                      <w:highlight w:val="none"/>
                      <w:lang w:val="en-US" w:eastAsia="zh-CN"/>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w:t>
                  </w:r>
                  <w:r>
                    <w:rPr>
                      <w:rFonts w:hint="default" w:ascii="Times New Roman" w:hAnsi="Times New Roman" w:cs="Times New Roman"/>
                      <w:i w:val="0"/>
                      <w:color w:val="auto"/>
                      <w:kern w:val="0"/>
                      <w:sz w:val="21"/>
                      <w:szCs w:val="21"/>
                      <w:highlight w:val="none"/>
                      <w:u w:val="none"/>
                      <w:lang w:val="en-US" w:eastAsia="zh-CN" w:bidi="ar"/>
                    </w:rPr>
                    <w:t>5</w:t>
                  </w:r>
                  <w:r>
                    <w:rPr>
                      <w:rFonts w:hint="default" w:ascii="Times New Roman" w:hAnsi="Times New Roman" w:eastAsia="宋体" w:cs="Times New Roman"/>
                      <w:i w:val="0"/>
                      <w:color w:val="auto"/>
                      <w:kern w:val="0"/>
                      <w:sz w:val="21"/>
                      <w:szCs w:val="21"/>
                      <w:highlight w:val="none"/>
                      <w:u w:val="none"/>
                      <w:lang w:val="en-US" w:eastAsia="zh-CN" w:bidi="ar"/>
                    </w:rPr>
                    <w:t>03</w:t>
                  </w:r>
                </w:p>
              </w:tc>
              <w:tc>
                <w:tcPr>
                  <w:tcW w:w="528"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33</w:t>
                  </w:r>
                </w:p>
              </w:tc>
              <w:tc>
                <w:tcPr>
                  <w:tcW w:w="502"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79</w:t>
                  </w:r>
                </w:p>
              </w:tc>
              <w:tc>
                <w:tcPr>
                  <w:tcW w:w="395"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15.9</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501"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30534</w:t>
                  </w:r>
                </w:p>
              </w:tc>
              <w:tc>
                <w:tcPr>
                  <w:tcW w:w="494" w:type="pc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w:t>
                  </w:r>
                </w:p>
                <w:p>
                  <w:pPr>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cs="Times New Roman"/>
                      <w:snapToGrid w:val="0"/>
                      <w:color w:val="auto"/>
                      <w:sz w:val="21"/>
                      <w:szCs w:val="21"/>
                      <w:highlight w:val="none"/>
                    </w:rPr>
                    <w:t>1</w:t>
                  </w:r>
                  <w:r>
                    <w:rPr>
                      <w:rFonts w:hint="default" w:ascii="Times New Roman" w:hAnsi="Times New Roman" w:cs="Times New Roman"/>
                      <w:snapToGrid w:val="0"/>
                      <w:color w:val="auto"/>
                      <w:sz w:val="21"/>
                      <w:szCs w:val="21"/>
                      <w:highlight w:val="none"/>
                      <w:lang w:val="en-US" w:eastAsia="zh-CN"/>
                    </w:rPr>
                    <w:t>0</w:t>
                  </w:r>
                  <w:r>
                    <w:rPr>
                      <w:rFonts w:hint="default" w:ascii="Times New Roman" w:hAnsi="Times New Roman" w:cs="Times New Roman"/>
                      <w:snapToGrid w:val="0"/>
                      <w:color w:val="auto"/>
                      <w:sz w:val="21"/>
                      <w:szCs w:val="21"/>
                      <w:highlight w:val="none"/>
                    </w:rPr>
                    <w:t>t</w:t>
                  </w:r>
                  <w:r>
                    <w:rPr>
                      <w:rFonts w:hint="default" w:ascii="Times New Roman" w:hAnsi="Times New Roman" w:cs="Times New Roman"/>
                      <w:color w:val="auto"/>
                      <w:sz w:val="21"/>
                      <w:szCs w:val="21"/>
                      <w:highlight w:val="none"/>
                      <w:lang w:eastAsia="zh-CN"/>
                    </w:rPr>
                    <w:t>生物质锅炉处理</w:t>
                  </w:r>
                  <w:r>
                    <w:rPr>
                      <w:rFonts w:hint="default" w:ascii="Times New Roman" w:hAnsi="Times New Roman" w:cs="Times New Roman"/>
                      <w:color w:val="auto"/>
                      <w:sz w:val="21"/>
                      <w:szCs w:val="21"/>
                      <w:highlight w:val="none"/>
                      <w:lang w:val="en-US" w:eastAsia="zh-CN"/>
                    </w:rPr>
                    <w:t>后</w:t>
                  </w:r>
                </w:p>
              </w:tc>
              <w:tc>
                <w:tcPr>
                  <w:tcW w:w="363" w:type="pct"/>
                  <w:vMerge w:val="continue"/>
                  <w:vAlign w:val="center"/>
                </w:tcPr>
                <w:p>
                  <w:pPr>
                    <w:jc w:val="center"/>
                    <w:rPr>
                      <w:rFonts w:hint="default" w:ascii="Times New Roman" w:hAnsi="Times New Roman" w:eastAsia="宋体" w:cs="Times New Roman"/>
                      <w:color w:val="auto"/>
                      <w:sz w:val="21"/>
                      <w:szCs w:val="21"/>
                      <w:highlight w:val="none"/>
                      <w:lang w:val="en-US"/>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16</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28</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14.1</w:t>
                  </w:r>
                </w:p>
              </w:tc>
              <w:tc>
                <w:tcPr>
                  <w:tcW w:w="402" w:type="pct"/>
                  <w:vMerge w:val="restart"/>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8.6</w:t>
                  </w: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24285</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13.6</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24484</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23</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12.7</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26797</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二氧化硫</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36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64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14.1</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24285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0.86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43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71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13.6</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24484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46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69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12.7</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26797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氮氧化物</w:t>
                  </w: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Q0601</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39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71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14.1</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24285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Q0602</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42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71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13.6</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24484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Merge w:val="continue"/>
                  <w:vAlign w:val="center"/>
                </w:tcPr>
                <w:p>
                  <w:pPr>
                    <w:jc w:val="center"/>
                    <w:rPr>
                      <w:rFonts w:hint="default" w:ascii="Times New Roman" w:hAnsi="Times New Roman" w:eastAsia="宋体" w:cs="Times New Roman"/>
                      <w:color w:val="auto"/>
                      <w:sz w:val="21"/>
                      <w:szCs w:val="21"/>
                      <w:highlight w:val="none"/>
                    </w:rPr>
                  </w:pPr>
                </w:p>
              </w:tc>
              <w:tc>
                <w:tcPr>
                  <w:tcW w:w="881"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LM2</w:t>
                  </w:r>
                  <w:r>
                    <w:rPr>
                      <w:rFonts w:hint="eastAsia" w:ascii="Times New Roman" w:hAnsi="Times New Roman" w:cs="Times New Roman"/>
                      <w:color w:val="auto"/>
                      <w:sz w:val="21"/>
                      <w:szCs w:val="21"/>
                      <w:highlight w:val="none"/>
                      <w:lang w:val="en-US" w:eastAsia="zh-CN"/>
                    </w:rPr>
                    <w:t>40301</w:t>
                  </w:r>
                  <w:r>
                    <w:rPr>
                      <w:rFonts w:hint="default" w:ascii="Times New Roman" w:hAnsi="Times New Roman" w:eastAsia="宋体" w:cs="Times New Roman"/>
                      <w:i w:val="0"/>
                      <w:color w:val="auto"/>
                      <w:kern w:val="0"/>
                      <w:sz w:val="21"/>
                      <w:szCs w:val="21"/>
                      <w:highlight w:val="none"/>
                      <w:u w:val="none"/>
                      <w:lang w:val="en-US" w:eastAsia="zh-CN" w:bidi="ar"/>
                    </w:rPr>
                    <w:t>Q0603</w:t>
                  </w:r>
                </w:p>
              </w:tc>
              <w:tc>
                <w:tcPr>
                  <w:tcW w:w="104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41 </w:t>
                  </w:r>
                </w:p>
              </w:tc>
              <w:tc>
                <w:tcPr>
                  <w:tcW w:w="993"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62 </w:t>
                  </w:r>
                </w:p>
              </w:tc>
              <w:tc>
                <w:tcPr>
                  <w:tcW w:w="78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12.7</w:t>
                  </w:r>
                </w:p>
              </w:tc>
              <w:tc>
                <w:tcPr>
                  <w:tcW w:w="402" w:type="pct"/>
                  <w:vMerge w:val="continue"/>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p>
              </w:tc>
              <w:tc>
                <w:tcPr>
                  <w:tcW w:w="991"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26797 </w:t>
                  </w:r>
                </w:p>
              </w:tc>
              <w:tc>
                <w:tcPr>
                  <w:tcW w:w="977" w:type="dxa"/>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71" w:type="pct"/>
                  <w:vMerge w:val="continue"/>
                  <w:vAlign w:val="center"/>
                </w:tcPr>
                <w:p>
                  <w:pPr>
                    <w:jc w:val="center"/>
                    <w:rPr>
                      <w:rFonts w:hint="default" w:ascii="Times New Roman" w:hAnsi="Times New Roman" w:eastAsia="宋体" w:cs="Times New Roman"/>
                      <w:color w:val="auto"/>
                      <w:sz w:val="21"/>
                      <w:szCs w:val="21"/>
                      <w:highlight w:val="none"/>
                    </w:rPr>
                  </w:pPr>
                </w:p>
              </w:tc>
              <w:tc>
                <w:tcPr>
                  <w:tcW w:w="363" w:type="pct"/>
                  <w:vMerge w:val="continue"/>
                  <w:vAlign w:val="center"/>
                </w:tcPr>
                <w:p>
                  <w:pPr>
                    <w:jc w:val="center"/>
                    <w:rPr>
                      <w:rFonts w:hint="default" w:ascii="Times New Roman" w:hAnsi="Times New Roman" w:eastAsia="宋体" w:cs="Times New Roman"/>
                      <w:color w:val="auto"/>
                      <w:sz w:val="21"/>
                      <w:szCs w:val="21"/>
                      <w:highlight w:val="none"/>
                    </w:rPr>
                  </w:pPr>
                </w:p>
              </w:tc>
              <w:tc>
                <w:tcPr>
                  <w:tcW w:w="558"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烟气黑度</w:t>
                  </w:r>
                </w:p>
              </w:tc>
              <w:tc>
                <w:tcPr>
                  <w:tcW w:w="881" w:type="pct"/>
                  <w:vAlign w:val="center"/>
                </w:tcPr>
                <w:p>
                  <w:pPr>
                    <w:jc w:val="center"/>
                    <w:rPr>
                      <w:rFonts w:hint="default" w:ascii="Times New Roman" w:hAnsi="Times New Roman"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w:t>
                  </w:r>
                </w:p>
              </w:tc>
              <w:tc>
                <w:tcPr>
                  <w:tcW w:w="2825" w:type="pct"/>
                  <w:gridSpan w:val="6"/>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＜1级</w:t>
                  </w:r>
                </w:p>
              </w:tc>
            </w:tr>
          </w:tbl>
          <w:p>
            <w:pPr>
              <w:adjustRightInd/>
              <w:snapToGrid/>
              <w:spacing w:after="0" w:line="400" w:lineRule="atLeast"/>
              <w:ind w:firstLine="480" w:firstLineChars="200"/>
              <w:jc w:val="both"/>
              <w:rPr>
                <w:rFonts w:ascii="Times New Roman" w:hAnsi="Times New Roman" w:eastAsiaTheme="minorEastAsia"/>
                <w:color w:val="auto"/>
                <w:sz w:val="24"/>
                <w:szCs w:val="24"/>
              </w:rPr>
            </w:pPr>
            <w:r>
              <w:rPr>
                <w:rFonts w:ascii="Times New Roman" w:hAnsi="Times New Roman" w:eastAsiaTheme="minorEastAsia"/>
                <w:color w:val="auto"/>
                <w:sz w:val="24"/>
                <w:szCs w:val="24"/>
              </w:rPr>
              <w:t>根据监测结果可知，验收监测期间，10t生物质锅炉处理前</w:t>
            </w:r>
            <w:r>
              <w:rPr>
                <w:rFonts w:hint="eastAsia" w:ascii="Times New Roman" w:hAnsi="Times New Roman" w:eastAsiaTheme="minorEastAsia"/>
                <w:color w:val="auto"/>
                <w:sz w:val="24"/>
                <w:szCs w:val="24"/>
              </w:rPr>
              <w:t>颗粒物监测浓度为672-924mg/m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之间，二氧化硫监测浓度为</w:t>
            </w:r>
            <w:r>
              <w:rPr>
                <w:rFonts w:hint="eastAsia" w:ascii="Times New Roman" w:hAnsi="Times New Roman" w:eastAsiaTheme="minorEastAsia"/>
                <w:color w:val="auto"/>
                <w:sz w:val="24"/>
                <w:szCs w:val="24"/>
                <w:lang w:val="en-US" w:eastAsia="zh-CN"/>
              </w:rPr>
              <w:t>59</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82</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之间，氮氧化物监测浓度为73-81mg/m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之间；处理后颗粒物监测浓度为22-29</w:t>
            </w:r>
            <w:r>
              <w:rPr>
                <w:rFonts w:ascii="Times New Roman" w:hAnsi="Times New Roman" w:eastAsia="宋体"/>
                <w:bCs/>
                <w:color w:val="auto"/>
                <w:sz w:val="24"/>
                <w:szCs w:val="24"/>
                <w:lang w:bidi="ar"/>
              </w:rPr>
              <w:t>mg/m</w:t>
            </w:r>
            <w:r>
              <w:rPr>
                <w:rFonts w:ascii="Times New Roman" w:hAnsi="Times New Roman" w:eastAsia="宋体"/>
                <w:bCs/>
                <w:color w:val="auto"/>
                <w:sz w:val="24"/>
                <w:szCs w:val="24"/>
                <w:vertAlign w:val="superscript"/>
                <w:lang w:bidi="ar"/>
              </w:rPr>
              <w:t>3</w:t>
            </w:r>
            <w:r>
              <w:rPr>
                <w:rFonts w:ascii="Times New Roman" w:hAnsi="Times New Roman" w:eastAsia="宋体"/>
                <w:bCs/>
                <w:color w:val="auto"/>
                <w:sz w:val="24"/>
                <w:szCs w:val="24"/>
                <w:lang w:bidi="ar"/>
              </w:rPr>
              <w:t>之间</w:t>
            </w:r>
            <w:r>
              <w:rPr>
                <w:rFonts w:hint="eastAsia" w:ascii="Times New Roman" w:hAnsi="Times New Roman" w:eastAsia="宋体"/>
                <w:bCs/>
                <w:color w:val="auto"/>
                <w:sz w:val="24"/>
                <w:szCs w:val="24"/>
                <w:lang w:bidi="ar"/>
              </w:rPr>
              <w:t>，</w:t>
            </w:r>
            <w:r>
              <w:rPr>
                <w:rFonts w:hint="eastAsia" w:ascii="Times New Roman" w:hAnsi="Times New Roman" w:eastAsiaTheme="minorEastAsia"/>
                <w:color w:val="auto"/>
                <w:sz w:val="24"/>
                <w:szCs w:val="24"/>
              </w:rPr>
              <w:t>二氧化硫监测浓度为</w:t>
            </w:r>
            <w:r>
              <w:rPr>
                <w:rFonts w:hint="eastAsia" w:ascii="Times New Roman" w:hAnsi="Times New Roman" w:eastAsiaTheme="minorEastAsia"/>
                <w:color w:val="auto"/>
                <w:sz w:val="24"/>
                <w:szCs w:val="24"/>
                <w:lang w:val="en-US" w:eastAsia="zh-CN"/>
              </w:rPr>
              <w:t>53</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71</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之间，氮氧化物监测浓度为</w:t>
            </w:r>
            <w:r>
              <w:rPr>
                <w:rFonts w:hint="eastAsia" w:ascii="Times New Roman" w:hAnsi="Times New Roman" w:eastAsiaTheme="minorEastAsia"/>
                <w:color w:val="auto"/>
                <w:sz w:val="24"/>
                <w:szCs w:val="24"/>
                <w:lang w:val="en-US" w:eastAsia="zh-CN"/>
              </w:rPr>
              <w:t>62</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74</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之间，烟气黑度＜1级；</w:t>
            </w:r>
            <w:r>
              <w:rPr>
                <w:rFonts w:hint="eastAsia" w:ascii="Times New Roman" w:hAnsi="Times New Roman" w:eastAsia="宋体"/>
                <w:bCs/>
                <w:color w:val="auto"/>
                <w:sz w:val="24"/>
                <w:szCs w:val="24"/>
                <w:lang w:bidi="ar"/>
              </w:rPr>
              <w:t>符合《大气污染物综合排放标准》（GB16297-1996）中有组织排放监测浓度限值。</w:t>
            </w:r>
          </w:p>
          <w:p>
            <w:pPr>
              <w:spacing w:after="0"/>
              <w:rPr>
                <w:rFonts w:ascii="Times New Roman" w:hAnsi="Times New Roman" w:eastAsiaTheme="minorEastAsia"/>
                <w:b/>
                <w:color w:val="auto"/>
                <w:sz w:val="24"/>
                <w:szCs w:val="24"/>
              </w:rPr>
            </w:pPr>
            <w:r>
              <w:rPr>
                <w:rFonts w:hint="eastAsia" w:ascii="Times New Roman" w:hAnsi="Times New Roman" w:eastAsiaTheme="minorEastAsia"/>
                <w:b/>
                <w:color w:val="auto"/>
                <w:sz w:val="24"/>
                <w:szCs w:val="24"/>
              </w:rPr>
              <w:t>2、无组织废气检测结果</w:t>
            </w:r>
          </w:p>
          <w:p>
            <w:pPr>
              <w:adjustRightInd/>
              <w:snapToGrid/>
              <w:spacing w:after="0"/>
              <w:jc w:val="right"/>
              <w:rPr>
                <w:color w:val="auto"/>
              </w:rPr>
            </w:pPr>
            <w:r>
              <w:rPr>
                <w:rFonts w:ascii="Times New Roman" w:hAnsi="Times New Roman" w:eastAsia="宋体"/>
                <w:b/>
                <w:color w:val="auto"/>
                <w:sz w:val="24"/>
                <w:szCs w:val="24"/>
              </w:rPr>
              <w:t>单位：</w:t>
            </w:r>
            <w:r>
              <w:rPr>
                <w:rFonts w:ascii="Times New Roman" w:hAnsi="Times New Roman" w:eastAsia="宋体"/>
                <w:b/>
                <w:color w:val="auto"/>
                <w:sz w:val="24"/>
                <w:szCs w:val="24"/>
                <w:lang w:bidi="ar"/>
              </w:rPr>
              <w:t>mg/m</w:t>
            </w:r>
            <w:r>
              <w:rPr>
                <w:rFonts w:ascii="Times New Roman" w:hAnsi="Times New Roman" w:eastAsia="宋体"/>
                <w:b/>
                <w:color w:val="auto"/>
                <w:sz w:val="24"/>
                <w:szCs w:val="24"/>
                <w:vertAlign w:val="superscript"/>
                <w:lang w:bidi="ar"/>
              </w:rPr>
              <w:t>3</w:t>
            </w:r>
          </w:p>
          <w:tbl>
            <w:tblPr>
              <w:tblStyle w:val="2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1348"/>
              <w:gridCol w:w="1272"/>
              <w:gridCol w:w="2811"/>
              <w:gridCol w:w="3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blHeader/>
                <w:jc w:val="center"/>
              </w:trPr>
              <w:tc>
                <w:tcPr>
                  <w:tcW w:w="491" w:type="pct"/>
                  <w:vMerge w:val="restart"/>
                  <w:vAlign w:val="center"/>
                </w:tcPr>
                <w:p>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693" w:type="pct"/>
                  <w:vMerge w:val="restart"/>
                  <w:vAlign w:val="center"/>
                </w:tcPr>
                <w:p>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采样位置</w:t>
                  </w:r>
                </w:p>
              </w:tc>
              <w:tc>
                <w:tcPr>
                  <w:tcW w:w="654" w:type="pct"/>
                  <w:vMerge w:val="restart"/>
                  <w:vAlign w:val="center"/>
                </w:tcPr>
                <w:p>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采样时间</w:t>
                  </w:r>
                </w:p>
              </w:tc>
              <w:tc>
                <w:tcPr>
                  <w:tcW w:w="1445" w:type="pct"/>
                  <w:vMerge w:val="restart"/>
                  <w:vAlign w:val="center"/>
                </w:tcPr>
                <w:p>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样品编号</w:t>
                  </w:r>
                </w:p>
              </w:tc>
              <w:tc>
                <w:tcPr>
                  <w:tcW w:w="1715" w:type="pct"/>
                  <w:vAlign w:val="center"/>
                </w:tcPr>
                <w:p>
                  <w:pPr>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检测</w:t>
                  </w:r>
                  <w:r>
                    <w:rPr>
                      <w:rFonts w:hint="default" w:ascii="Times New Roman" w:hAnsi="Times New Roman" w:cs="Times New Roman"/>
                      <w:b/>
                      <w:bCs/>
                      <w:color w:val="auto"/>
                      <w:sz w:val="21"/>
                      <w:szCs w:val="21"/>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491" w:type="pct"/>
                  <w:vMerge w:val="continue"/>
                  <w:shd w:val="solid" w:color="FFFFFF" w:fill="auto"/>
                  <w:vAlign w:val="center"/>
                </w:tcPr>
                <w:p>
                  <w:pPr>
                    <w:jc w:val="center"/>
                    <w:rPr>
                      <w:rFonts w:hint="default" w:ascii="Times New Roman" w:hAnsi="Times New Roman" w:cs="Times New Roman"/>
                      <w:b/>
                      <w:bCs/>
                      <w:color w:val="auto"/>
                      <w:sz w:val="21"/>
                      <w:szCs w:val="21"/>
                    </w:rPr>
                  </w:pPr>
                </w:p>
              </w:tc>
              <w:tc>
                <w:tcPr>
                  <w:tcW w:w="693" w:type="pct"/>
                  <w:vMerge w:val="continue"/>
                  <w:shd w:val="solid" w:color="FFFFFF" w:fill="auto"/>
                  <w:vAlign w:val="center"/>
                </w:tcPr>
                <w:p>
                  <w:pPr>
                    <w:jc w:val="center"/>
                    <w:rPr>
                      <w:rFonts w:hint="default" w:ascii="Times New Roman" w:hAnsi="Times New Roman" w:cs="Times New Roman"/>
                      <w:b/>
                      <w:bCs/>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b/>
                      <w:bCs/>
                      <w:color w:val="auto"/>
                      <w:sz w:val="21"/>
                      <w:szCs w:val="21"/>
                    </w:rPr>
                  </w:pPr>
                </w:p>
              </w:tc>
              <w:tc>
                <w:tcPr>
                  <w:tcW w:w="1445" w:type="pct"/>
                  <w:vMerge w:val="continue"/>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color w:val="auto"/>
                      <w:sz w:val="21"/>
                      <w:szCs w:val="21"/>
                      <w:lang w:val="en-US" w:eastAsia="zh-CN"/>
                    </w:rPr>
                  </w:pPr>
                </w:p>
              </w:tc>
              <w:tc>
                <w:tcPr>
                  <w:tcW w:w="1715" w:type="pct"/>
                  <w:shd w:val="solid" w:color="FFFFFF" w:fill="auto"/>
                  <w:vAlign w:val="center"/>
                </w:tcPr>
                <w:p>
                  <w:pPr>
                    <w:tabs>
                      <w:tab w:val="left" w:pos="460"/>
                    </w:tabs>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693" w:type="pct"/>
                  <w:vMerge w:val="restart"/>
                  <w:shd w:val="solid" w:color="FFFFFF"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1#上风向</w:t>
                  </w:r>
                </w:p>
              </w:tc>
              <w:tc>
                <w:tcPr>
                  <w:tcW w:w="654" w:type="pct"/>
                  <w:vMerge w:val="restart"/>
                  <w:shd w:val="solid" w:color="FFFFFF" w:fill="auto"/>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eastAsia="zh-CN"/>
                    </w:rPr>
                    <w:t>202</w:t>
                  </w:r>
                  <w:r>
                    <w:rPr>
                      <w:rFonts w:hint="eastAsia" w:ascii="Times New Roman" w:hAnsi="Times New Roman" w:cs="Times New Roman"/>
                      <w:color w:val="auto"/>
                      <w:sz w:val="21"/>
                      <w:szCs w:val="21"/>
                      <w:lang w:val="en-US" w:eastAsia="zh-CN"/>
                    </w:rPr>
                    <w:t>4.02.29</w:t>
                  </w: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LM240229Q0101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lang w:eastAsia="zh-CN"/>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LM240229Q0102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eastAsia="宋体" w:cs="Times New Roman"/>
                      <w:color w:val="auto"/>
                      <w:sz w:val="21"/>
                      <w:szCs w:val="21"/>
                      <w:lang w:val="en-US" w:eastAsia="zh-CN"/>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LM240229Q0103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693"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2#下风向</w:t>
                  </w:r>
                </w:p>
              </w:tc>
              <w:tc>
                <w:tcPr>
                  <w:tcW w:w="654" w:type="pct"/>
                  <w:vMerge w:val="continue"/>
                  <w:shd w:val="solid" w:color="FFFFFF" w:fill="auto"/>
                  <w:vAlign w:val="center"/>
                </w:tcPr>
                <w:p>
                  <w:pPr>
                    <w:jc w:val="center"/>
                    <w:rPr>
                      <w:rFonts w:hint="default" w:ascii="Times New Roman" w:hAnsi="Times New Roman" w:cs="Times New Roman"/>
                      <w:color w:val="auto"/>
                      <w:sz w:val="21"/>
                      <w:szCs w:val="21"/>
                      <w:lang w:val="en-US"/>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LM240229Q0201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LM240229Q0202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LM240229Q0203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425"/>
                    </w:tabs>
                    <w:ind w:left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693" w:type="pct"/>
                  <w:vMerge w:val="restart"/>
                  <w:shd w:val="solid" w:color="FFFFFF"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3#下风向</w:t>
                  </w:r>
                </w:p>
              </w:tc>
              <w:tc>
                <w:tcPr>
                  <w:tcW w:w="654" w:type="pct"/>
                  <w:vMerge w:val="continue"/>
                  <w:shd w:val="solid" w:color="FFFFFF" w:fill="auto"/>
                  <w:vAlign w:val="center"/>
                </w:tcPr>
                <w:p>
                  <w:pPr>
                    <w:jc w:val="center"/>
                    <w:rPr>
                      <w:rFonts w:hint="default" w:ascii="Times New Roman" w:hAnsi="Times New Roman" w:cs="Times New Roman"/>
                      <w:color w:val="auto"/>
                      <w:sz w:val="21"/>
                      <w:szCs w:val="21"/>
                      <w:lang w:val="en-US"/>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LM240229Q0301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LM240229Q0302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LM240229Q0303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693" w:type="pct"/>
                  <w:vMerge w:val="restart"/>
                  <w:shd w:val="solid" w:color="FFFFFF"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4#下风向</w:t>
                  </w:r>
                </w:p>
              </w:tc>
              <w:tc>
                <w:tcPr>
                  <w:tcW w:w="654" w:type="pct"/>
                  <w:vMerge w:val="continue"/>
                  <w:shd w:val="solid" w:color="FFFFFF" w:fill="auto"/>
                  <w:vAlign w:val="center"/>
                </w:tcPr>
                <w:p>
                  <w:pPr>
                    <w:jc w:val="center"/>
                    <w:rPr>
                      <w:rFonts w:hint="default" w:ascii="Times New Roman" w:hAnsi="Times New Roman" w:eastAsia="宋体" w:cs="Times New Roman"/>
                      <w:color w:val="auto"/>
                      <w:sz w:val="21"/>
                      <w:szCs w:val="21"/>
                      <w:lang w:val="en-US" w:eastAsia="zh-CN"/>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LM240229Q0401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LM240229Q0402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LM240229Q0403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kern w:val="2"/>
                      <w:sz w:val="21"/>
                      <w:szCs w:val="21"/>
                      <w:highlight w:val="none"/>
                      <w:lang w:val="en-US" w:eastAsia="zh-CN" w:bidi="ar-SA"/>
                    </w:rPr>
                    <w:t>0.485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1</w:t>
                  </w:r>
                </w:p>
              </w:tc>
              <w:tc>
                <w:tcPr>
                  <w:tcW w:w="693"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1#上风向</w:t>
                  </w:r>
                </w:p>
              </w:tc>
              <w:tc>
                <w:tcPr>
                  <w:tcW w:w="654"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202</w:t>
                  </w:r>
                  <w:r>
                    <w:rPr>
                      <w:rFonts w:hint="eastAsia" w:ascii="Times New Roman" w:hAnsi="Times New Roman" w:cs="Times New Roman"/>
                      <w:color w:val="auto"/>
                      <w:sz w:val="21"/>
                      <w:szCs w:val="21"/>
                      <w:lang w:val="en-US" w:eastAsia="zh-CN"/>
                    </w:rPr>
                    <w:t>4.03.01</w:t>
                  </w: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LM240301Q0101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LM240301Q0102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LM240301Q0103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693"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2#下风向</w:t>
                  </w: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LM240301Q0201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superscript"/>
                      <w:lang w:val="en-US" w:eastAsia="zh-CN" w:bidi="ar-SA"/>
                    </w:rPr>
                  </w:pPr>
                  <w:r>
                    <w:rPr>
                      <w:rFonts w:hint="eastAsia" w:ascii="Times New Roman" w:hAnsi="Times New Roman" w:cs="Times New Roman"/>
                      <w:color w:val="auto"/>
                      <w:kern w:val="2"/>
                      <w:sz w:val="21"/>
                      <w:szCs w:val="21"/>
                      <w:highlight w:val="none"/>
                      <w:lang w:val="en-US" w:eastAsia="zh-CN" w:bidi="ar-SA"/>
                    </w:rPr>
                    <w:t>0.496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LM240301Q0202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LM240301Q0203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491" w:type="pct"/>
                  <w:vMerge w:val="restart"/>
                  <w:shd w:val="solid" w:color="FFFFFF" w:fill="auto"/>
                  <w:vAlign w:val="center"/>
                </w:tcPr>
                <w:p>
                  <w:pPr>
                    <w:numPr>
                      <w:ilvl w:val="0"/>
                      <w:numId w:val="0"/>
                    </w:numPr>
                    <w:tabs>
                      <w:tab w:val="left" w:pos="425"/>
                    </w:tabs>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3</w:t>
                  </w:r>
                </w:p>
              </w:tc>
              <w:tc>
                <w:tcPr>
                  <w:tcW w:w="693"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3#下风向</w:t>
                  </w: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LM240301Q0301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LM240301Q0302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LM240301Q0303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restart"/>
                  <w:shd w:val="solid" w:color="FFFFFF" w:fill="auto"/>
                  <w:vAlign w:val="center"/>
                </w:tcPr>
                <w:p>
                  <w:pPr>
                    <w:numPr>
                      <w:ilvl w:val="0"/>
                      <w:numId w:val="0"/>
                    </w:numPr>
                    <w:tabs>
                      <w:tab w:val="left" w:pos="0"/>
                    </w:tabs>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4</w:t>
                  </w:r>
                </w:p>
              </w:tc>
              <w:tc>
                <w:tcPr>
                  <w:tcW w:w="693" w:type="pct"/>
                  <w:vMerge w:val="restart"/>
                  <w:shd w:val="solid" w:color="FFFFFF" w:fill="auto"/>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4#下风向</w:t>
                  </w: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LM240301Q0401</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LM240301Q0402</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91" w:type="pct"/>
                  <w:vMerge w:val="continue"/>
                  <w:shd w:val="solid" w:color="FFFFFF" w:fill="auto"/>
                  <w:vAlign w:val="center"/>
                </w:tcPr>
                <w:p>
                  <w:pPr>
                    <w:tabs>
                      <w:tab w:val="left" w:pos="425"/>
                    </w:tabs>
                    <w:jc w:val="center"/>
                    <w:rPr>
                      <w:rFonts w:hint="default" w:ascii="Times New Roman" w:hAnsi="Times New Roman" w:cs="Times New Roman"/>
                      <w:color w:val="auto"/>
                      <w:sz w:val="21"/>
                      <w:szCs w:val="21"/>
                    </w:rPr>
                  </w:pPr>
                </w:p>
              </w:tc>
              <w:tc>
                <w:tcPr>
                  <w:tcW w:w="693" w:type="pct"/>
                  <w:vMerge w:val="continue"/>
                  <w:shd w:val="solid" w:color="FFFFFF" w:fill="auto"/>
                  <w:vAlign w:val="center"/>
                </w:tcPr>
                <w:p>
                  <w:pPr>
                    <w:jc w:val="center"/>
                    <w:rPr>
                      <w:rFonts w:hint="default" w:ascii="Times New Roman" w:hAnsi="Times New Roman" w:eastAsia="宋体" w:cs="Times New Roman"/>
                      <w:color w:val="auto"/>
                      <w:sz w:val="21"/>
                      <w:szCs w:val="21"/>
                    </w:rPr>
                  </w:pPr>
                </w:p>
              </w:tc>
              <w:tc>
                <w:tcPr>
                  <w:tcW w:w="654" w:type="pct"/>
                  <w:vMerge w:val="continue"/>
                  <w:shd w:val="solid" w:color="FFFFFF" w:fill="auto"/>
                  <w:vAlign w:val="center"/>
                </w:tcPr>
                <w:p>
                  <w:pPr>
                    <w:jc w:val="center"/>
                    <w:rPr>
                      <w:rFonts w:hint="default" w:ascii="Times New Roman" w:hAnsi="Times New Roman" w:cs="Times New Roman"/>
                      <w:color w:val="auto"/>
                      <w:sz w:val="21"/>
                      <w:szCs w:val="21"/>
                    </w:rPr>
                  </w:pPr>
                </w:p>
              </w:tc>
              <w:tc>
                <w:tcPr>
                  <w:tcW w:w="287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LM240301Q0403</w:t>
                  </w:r>
                </w:p>
              </w:tc>
              <w:tc>
                <w:tcPr>
                  <w:tcW w:w="1715" w:type="pct"/>
                  <w:shd w:val="solid" w:color="FFFFFF"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0.467</w:t>
                  </w:r>
                </w:p>
              </w:tc>
            </w:tr>
          </w:tbl>
          <w:p>
            <w:pPr>
              <w:adjustRightInd/>
              <w:snapToGrid/>
              <w:spacing w:after="0" w:line="400" w:lineRule="atLeast"/>
              <w:ind w:firstLine="480" w:firstLineChars="200"/>
              <w:jc w:val="both"/>
              <w:rPr>
                <w:rFonts w:ascii="Times New Roman" w:hAnsi="Times New Roman" w:eastAsiaTheme="minorEastAsia"/>
                <w:color w:val="auto"/>
                <w:sz w:val="24"/>
                <w:szCs w:val="24"/>
              </w:rPr>
            </w:pPr>
            <w:r>
              <w:rPr>
                <w:rFonts w:ascii="Times New Roman" w:hAnsi="Times New Roman" w:eastAsiaTheme="minorEastAsia"/>
                <w:color w:val="auto"/>
                <w:sz w:val="24"/>
                <w:szCs w:val="24"/>
              </w:rPr>
              <w:t>根据监测结果可知，验收监测期间，厂界</w:t>
            </w:r>
            <w:r>
              <w:rPr>
                <w:rFonts w:hint="eastAsia" w:ascii="Times New Roman" w:hAnsi="Times New Roman" w:eastAsiaTheme="minorEastAsia"/>
                <w:color w:val="auto"/>
                <w:sz w:val="24"/>
                <w:szCs w:val="24"/>
              </w:rPr>
              <w:t>颗粒物</w:t>
            </w:r>
            <w:r>
              <w:rPr>
                <w:rFonts w:ascii="Times New Roman" w:hAnsi="Times New Roman" w:eastAsiaTheme="minorEastAsia"/>
                <w:color w:val="auto"/>
                <w:sz w:val="24"/>
                <w:szCs w:val="24"/>
              </w:rPr>
              <w:t>上风向监测浓度在</w:t>
            </w:r>
            <w:r>
              <w:rPr>
                <w:rFonts w:hint="eastAsia" w:ascii="Times New Roman" w:hAnsi="Times New Roman" w:eastAsiaTheme="minorEastAsia"/>
                <w:color w:val="auto"/>
                <w:sz w:val="24"/>
                <w:szCs w:val="24"/>
              </w:rPr>
              <w:t>0.298-0.395m</w:t>
            </w:r>
            <w:r>
              <w:rPr>
                <w:rFonts w:ascii="Times New Roman" w:hAnsi="Times New Roman" w:eastAsiaTheme="minorEastAsia"/>
                <w:color w:val="auto"/>
                <w:sz w:val="24"/>
                <w:szCs w:val="24"/>
              </w:rPr>
              <w:t>g/m</w:t>
            </w:r>
            <w:r>
              <w:rPr>
                <w:rFonts w:ascii="Times New Roman" w:hAnsi="Times New Roman" w:eastAsiaTheme="minorEastAsia"/>
                <w:color w:val="auto"/>
                <w:sz w:val="24"/>
                <w:szCs w:val="24"/>
                <w:vertAlign w:val="superscript"/>
              </w:rPr>
              <w:t>3</w:t>
            </w:r>
            <w:r>
              <w:rPr>
                <w:rFonts w:ascii="Times New Roman" w:hAnsi="Times New Roman" w:eastAsiaTheme="minorEastAsia"/>
                <w:color w:val="auto"/>
                <w:sz w:val="24"/>
                <w:szCs w:val="24"/>
              </w:rPr>
              <w:t>之间，下风向监测浓度在</w:t>
            </w:r>
            <w:r>
              <w:rPr>
                <w:rFonts w:hint="eastAsia" w:ascii="Times New Roman" w:hAnsi="Times New Roman" w:eastAsiaTheme="minorEastAsia"/>
                <w:color w:val="auto"/>
                <w:sz w:val="24"/>
                <w:szCs w:val="24"/>
              </w:rPr>
              <w:t>0.417</w:t>
            </w:r>
            <w:r>
              <w:rPr>
                <w:rFonts w:ascii="Times New Roman" w:hAnsi="Times New Roman" w:eastAsiaTheme="minorEastAsia"/>
                <w:color w:val="auto"/>
                <w:sz w:val="24"/>
                <w:szCs w:val="24"/>
              </w:rPr>
              <w:t>-0.496mg/m</w:t>
            </w:r>
            <w:r>
              <w:rPr>
                <w:rFonts w:ascii="Times New Roman" w:hAnsi="Times New Roman" w:eastAsiaTheme="minorEastAsia"/>
                <w:color w:val="auto"/>
                <w:sz w:val="24"/>
                <w:szCs w:val="24"/>
                <w:vertAlign w:val="superscript"/>
              </w:rPr>
              <w:t>3</w:t>
            </w:r>
            <w:r>
              <w:rPr>
                <w:rFonts w:ascii="Times New Roman" w:hAnsi="Times New Roman" w:eastAsiaTheme="minorEastAsia"/>
                <w:color w:val="auto"/>
                <w:sz w:val="24"/>
                <w:szCs w:val="24"/>
              </w:rPr>
              <w:t>之间，符合《大气污染物综合排放标准》（GB16297-1996）表无组织排放监控浓度限值</w:t>
            </w:r>
            <w:r>
              <w:rPr>
                <w:rFonts w:hint="eastAsia" w:ascii="Times New Roman" w:hAnsi="Times New Roman" w:eastAsiaTheme="minorEastAsia"/>
                <w:color w:val="auto"/>
                <w:sz w:val="24"/>
                <w:szCs w:val="24"/>
              </w:rPr>
              <w:t>1</w:t>
            </w:r>
            <w:r>
              <w:rPr>
                <w:rFonts w:ascii="Times New Roman" w:hAnsi="Times New Roman" w:eastAsiaTheme="minorEastAsia"/>
                <w:color w:val="auto"/>
                <w:sz w:val="24"/>
                <w:szCs w:val="24"/>
              </w:rPr>
              <w:t>.0mg/m</w:t>
            </w:r>
            <w:r>
              <w:rPr>
                <w:rFonts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w:t>
            </w:r>
          </w:p>
          <w:p>
            <w:pPr>
              <w:spacing w:after="0"/>
              <w:rPr>
                <w:rFonts w:ascii="Times New Roman" w:hAnsi="Times New Roman"/>
                <w:b/>
                <w:color w:val="auto"/>
                <w:sz w:val="24"/>
                <w:szCs w:val="24"/>
              </w:rPr>
            </w:pPr>
            <w:r>
              <w:rPr>
                <w:rFonts w:hint="eastAsia" w:ascii="Times New Roman" w:hAnsi="Times New Roman" w:eastAsiaTheme="minorEastAsia"/>
                <w:b/>
                <w:color w:val="auto"/>
                <w:sz w:val="24"/>
                <w:szCs w:val="24"/>
              </w:rPr>
              <w:t>3</w:t>
            </w:r>
            <w:r>
              <w:rPr>
                <w:rFonts w:ascii="Times New Roman" w:hAnsi="Times New Roman" w:eastAsiaTheme="minorEastAsia"/>
                <w:b/>
                <w:color w:val="auto"/>
                <w:sz w:val="24"/>
                <w:szCs w:val="24"/>
              </w:rPr>
              <w:t xml:space="preserve">、噪声检测结果    </w:t>
            </w:r>
            <w:r>
              <w:rPr>
                <w:rFonts w:ascii="Times New Roman" w:hAnsi="Times New Roman"/>
                <w:bCs/>
                <w:color w:val="auto"/>
                <w:sz w:val="24"/>
                <w:szCs w:val="24"/>
              </w:rPr>
              <w:t xml:space="preserve">  </w:t>
            </w:r>
            <w:r>
              <w:rPr>
                <w:rFonts w:ascii="Times New Roman" w:hAnsi="Times New Roman"/>
                <w:b/>
                <w:color w:val="auto"/>
                <w:sz w:val="24"/>
                <w:szCs w:val="24"/>
              </w:rPr>
              <w:t xml:space="preserve">                                                                                                   </w:t>
            </w:r>
          </w:p>
          <w:p>
            <w:pPr>
              <w:spacing w:after="0"/>
              <w:jc w:val="right"/>
              <w:rPr>
                <w:rFonts w:ascii="Times New Roman" w:hAnsi="Times New Roman"/>
                <w:color w:val="auto"/>
                <w:sz w:val="21"/>
                <w:szCs w:val="21"/>
              </w:rPr>
            </w:pPr>
            <w:r>
              <w:rPr>
                <w:rFonts w:ascii="Times New Roman" w:hAnsi="Times New Roman"/>
                <w:b/>
                <w:color w:val="auto"/>
                <w:sz w:val="24"/>
                <w:szCs w:val="24"/>
              </w:rPr>
              <w:t xml:space="preserve"> </w:t>
            </w:r>
            <w:r>
              <w:rPr>
                <w:rFonts w:ascii="Times New Roman" w:hAnsi="Times New Roman" w:eastAsia="宋体"/>
                <w:color w:val="auto"/>
                <w:sz w:val="24"/>
                <w:szCs w:val="24"/>
              </w:rPr>
              <w:t>单位：dB(A)</w:t>
            </w:r>
          </w:p>
          <w:tbl>
            <w:tblPr>
              <w:tblStyle w:val="27"/>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5"/>
              <w:gridCol w:w="2301"/>
              <w:gridCol w:w="1687"/>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9" w:type="pct"/>
                  <w:vAlign w:val="center"/>
                </w:tcPr>
                <w:p>
                  <w:pPr>
                    <w:jc w:val="center"/>
                    <w:rPr>
                      <w:rFonts w:ascii="Times New Roman" w:hAnsi="Times New Roman"/>
                      <w:b/>
                      <w:bCs/>
                      <w:color w:val="auto"/>
                      <w:sz w:val="24"/>
                    </w:rPr>
                  </w:pPr>
                  <w:bookmarkStart w:id="12" w:name="_Toc5091"/>
                  <w:bookmarkStart w:id="13" w:name="_Toc27291"/>
                  <w:bookmarkStart w:id="14" w:name="_Toc16817"/>
                  <w:bookmarkStart w:id="15" w:name="_Toc1333"/>
                  <w:r>
                    <w:rPr>
                      <w:rFonts w:ascii="Times New Roman" w:hAnsi="Times New Roman"/>
                      <w:b/>
                      <w:bCs/>
                      <w:color w:val="auto"/>
                      <w:sz w:val="24"/>
                    </w:rPr>
                    <w:t>检测地点</w:t>
                  </w:r>
                </w:p>
              </w:tc>
              <w:tc>
                <w:tcPr>
                  <w:tcW w:w="1183" w:type="pct"/>
                  <w:vAlign w:val="center"/>
                </w:tcPr>
                <w:p>
                  <w:pPr>
                    <w:jc w:val="center"/>
                    <w:rPr>
                      <w:rFonts w:ascii="Times New Roman" w:hAnsi="Times New Roman"/>
                      <w:b/>
                      <w:bCs/>
                      <w:color w:val="auto"/>
                      <w:sz w:val="24"/>
                    </w:rPr>
                  </w:pPr>
                  <w:r>
                    <w:rPr>
                      <w:rFonts w:ascii="Times New Roman" w:hAnsi="Times New Roman"/>
                      <w:b/>
                      <w:bCs/>
                      <w:color w:val="auto"/>
                      <w:sz w:val="24"/>
                    </w:rPr>
                    <w:t>检测时间</w:t>
                  </w:r>
                </w:p>
              </w:tc>
              <w:tc>
                <w:tcPr>
                  <w:tcW w:w="868" w:type="pct"/>
                  <w:vAlign w:val="center"/>
                </w:tcPr>
                <w:p>
                  <w:pPr>
                    <w:jc w:val="center"/>
                    <w:rPr>
                      <w:rFonts w:ascii="Times New Roman" w:hAnsi="Times New Roman"/>
                      <w:b/>
                      <w:bCs/>
                      <w:color w:val="auto"/>
                      <w:sz w:val="24"/>
                    </w:rPr>
                  </w:pPr>
                  <w:r>
                    <w:rPr>
                      <w:rFonts w:ascii="Times New Roman" w:hAnsi="Times New Roman"/>
                      <w:b/>
                      <w:bCs/>
                      <w:color w:val="auto"/>
                      <w:sz w:val="24"/>
                    </w:rPr>
                    <w:t>昼L</w:t>
                  </w:r>
                  <w:r>
                    <w:rPr>
                      <w:rFonts w:ascii="Times New Roman" w:hAnsi="Times New Roman"/>
                      <w:b/>
                      <w:bCs/>
                      <w:color w:val="auto"/>
                      <w:sz w:val="24"/>
                      <w:vertAlign w:val="subscript"/>
                    </w:rPr>
                    <w:t>eq</w:t>
                  </w:r>
                </w:p>
              </w:tc>
              <w:tc>
                <w:tcPr>
                  <w:tcW w:w="868" w:type="pct"/>
                  <w:vAlign w:val="center"/>
                </w:tcPr>
                <w:p>
                  <w:pPr>
                    <w:jc w:val="center"/>
                    <w:rPr>
                      <w:rFonts w:ascii="Times New Roman" w:hAnsi="Times New Roman"/>
                      <w:b/>
                      <w:bCs/>
                      <w:color w:val="auto"/>
                      <w:sz w:val="24"/>
                    </w:rPr>
                  </w:pPr>
                  <w:r>
                    <w:rPr>
                      <w:rFonts w:ascii="Times New Roman" w:hAnsi="Times New Roman"/>
                      <w:b/>
                      <w:bCs/>
                      <w:color w:val="auto"/>
                      <w:sz w:val="24"/>
                    </w:rPr>
                    <w:t>夜L</w:t>
                  </w:r>
                  <w:r>
                    <w:rPr>
                      <w:rFonts w:ascii="Times New Roman" w:hAnsi="Times New Roman"/>
                      <w:b/>
                      <w:bCs/>
                      <w:color w:val="auto"/>
                      <w:sz w:val="24"/>
                      <w:vertAlign w:val="subscript"/>
                    </w:rPr>
                    <w:t>eq</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sz w:val="21"/>
                      <w:szCs w:val="21"/>
                    </w:rPr>
                  </w:pPr>
                  <w:r>
                    <w:rPr>
                      <w:rFonts w:ascii="Times New Roman" w:hAnsi="Times New Roman" w:eastAsia="宋体"/>
                      <w:color w:val="auto"/>
                      <w:sz w:val="21"/>
                      <w:szCs w:val="21"/>
                    </w:rPr>
                    <w:t>▲1#厂界东1米</w:t>
                  </w:r>
                </w:p>
              </w:tc>
              <w:tc>
                <w:tcPr>
                  <w:tcW w:w="1183" w:type="pct"/>
                  <w:vMerge w:val="restart"/>
                  <w:vAlign w:val="center"/>
                </w:tcPr>
                <w:p>
                  <w:pPr>
                    <w:spacing w:line="0" w:lineRule="atLeast"/>
                    <w:jc w:val="center"/>
                    <w:rPr>
                      <w:rFonts w:ascii="Times New Roman" w:hAnsi="Times New Roman" w:eastAsia="宋体"/>
                      <w:color w:val="auto"/>
                      <w:sz w:val="21"/>
                      <w:szCs w:val="21"/>
                    </w:rPr>
                  </w:pPr>
                  <w:r>
                    <w:rPr>
                      <w:rFonts w:hint="eastAsia" w:ascii="Times New Roman" w:hAnsi="Times New Roman"/>
                      <w:color w:val="auto"/>
                      <w:sz w:val="21"/>
                      <w:szCs w:val="21"/>
                    </w:rPr>
                    <w:t>2024.02.29</w:t>
                  </w:r>
                </w:p>
              </w:tc>
              <w:tc>
                <w:tcPr>
                  <w:tcW w:w="868" w:type="pct"/>
                  <w:vAlign w:val="center"/>
                </w:tcPr>
                <w:p>
                  <w:pPr>
                    <w:jc w:val="center"/>
                    <w:rPr>
                      <w:rFonts w:ascii="Times New Roman" w:hAnsi="Times New Roman"/>
                      <w:color w:val="auto"/>
                    </w:rPr>
                  </w:pPr>
                  <w:r>
                    <w:rPr>
                      <w:rFonts w:ascii="Times New Roman" w:hAnsi="Times New Roman"/>
                      <w:color w:val="auto"/>
                    </w:rPr>
                    <w:t>56.3</w:t>
                  </w:r>
                </w:p>
              </w:tc>
              <w:tc>
                <w:tcPr>
                  <w:tcW w:w="868" w:type="pct"/>
                  <w:vAlign w:val="center"/>
                </w:tcPr>
                <w:p>
                  <w:pPr>
                    <w:jc w:val="center"/>
                    <w:rPr>
                      <w:rFonts w:ascii="Times New Roman" w:hAnsi="Times New Roman" w:eastAsiaTheme="majorEastAsia"/>
                      <w:color w:val="auto"/>
                      <w:spacing w:val="2"/>
                      <w:sz w:val="21"/>
                      <w:szCs w:val="21"/>
                    </w:rPr>
                  </w:pPr>
                  <w:r>
                    <w:rPr>
                      <w:rFonts w:ascii="Times New Roman" w:hAnsi="Times New Roman" w:eastAsiaTheme="majorEastAsia"/>
                      <w:color w:val="auto"/>
                      <w:spacing w:val="2"/>
                      <w:sz w:val="21"/>
                      <w:szCs w:val="21"/>
                    </w:rPr>
                    <w:t>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320" w:lineRule="exact"/>
                    <w:jc w:val="center"/>
                    <w:rPr>
                      <w:rFonts w:ascii="Times New Roman" w:hAnsi="Times New Roman" w:eastAsia="宋体"/>
                      <w:color w:val="auto"/>
                      <w:sz w:val="21"/>
                      <w:szCs w:val="21"/>
                    </w:rPr>
                  </w:pPr>
                  <w:r>
                    <w:rPr>
                      <w:rFonts w:ascii="Times New Roman" w:hAnsi="Times New Roman" w:eastAsia="宋体"/>
                      <w:color w:val="auto"/>
                      <w:sz w:val="21"/>
                      <w:szCs w:val="21"/>
                    </w:rPr>
                    <w:t>▲2#厂界南1米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eastAsia="宋体"/>
                      <w:color w:val="auto"/>
                      <w:kern w:val="2"/>
                      <w:sz w:val="21"/>
                      <w:szCs w:val="21"/>
                    </w:rPr>
                  </w:pPr>
                  <w:r>
                    <w:rPr>
                      <w:rFonts w:ascii="Times New Roman" w:hAnsi="Times New Roman"/>
                      <w:color w:val="auto"/>
                      <w:kern w:val="2"/>
                      <w:sz w:val="21"/>
                      <w:szCs w:val="21"/>
                    </w:rPr>
                    <w:t>55.2</w:t>
                  </w:r>
                </w:p>
              </w:tc>
              <w:tc>
                <w:tcPr>
                  <w:tcW w:w="868" w:type="pct"/>
                  <w:vAlign w:val="center"/>
                </w:tcPr>
                <w:p>
                  <w:pPr>
                    <w:jc w:val="center"/>
                    <w:rPr>
                      <w:rFonts w:ascii="Times New Roman" w:hAnsi="Times New Roman" w:eastAsiaTheme="majorEastAsia"/>
                      <w:color w:val="auto"/>
                      <w:spacing w:val="2"/>
                      <w:sz w:val="21"/>
                      <w:szCs w:val="21"/>
                    </w:rPr>
                  </w:pPr>
                  <w:r>
                    <w:rPr>
                      <w:rFonts w:ascii="Times New Roman" w:hAnsi="Times New Roman" w:eastAsiaTheme="majorEastAsia"/>
                      <w:color w:val="auto"/>
                      <w:spacing w:val="2"/>
                      <w:sz w:val="21"/>
                      <w:szCs w:val="21"/>
                    </w:rPr>
                    <w:t>46.4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sz w:val="21"/>
                      <w:szCs w:val="21"/>
                    </w:rPr>
                  </w:pPr>
                  <w:r>
                    <w:rPr>
                      <w:rFonts w:ascii="Times New Roman" w:hAnsi="Times New Roman" w:eastAsia="宋体"/>
                      <w:color w:val="auto"/>
                      <w:sz w:val="21"/>
                      <w:szCs w:val="21"/>
                    </w:rPr>
                    <w:t>▲3#厂界</w:t>
                  </w:r>
                  <w:r>
                    <w:rPr>
                      <w:rFonts w:ascii="Times New Roman" w:hAnsi="Times New Roman"/>
                      <w:color w:val="auto"/>
                      <w:sz w:val="21"/>
                      <w:szCs w:val="21"/>
                    </w:rPr>
                    <w:t>西</w:t>
                  </w:r>
                  <w:r>
                    <w:rPr>
                      <w:rFonts w:ascii="Times New Roman" w:hAnsi="Times New Roman" w:eastAsia="宋体"/>
                      <w:color w:val="auto"/>
                      <w:sz w:val="21"/>
                      <w:szCs w:val="21"/>
                    </w:rPr>
                    <w:t>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color w:val="auto"/>
                    </w:rPr>
                  </w:pPr>
                  <w:r>
                    <w:rPr>
                      <w:rFonts w:ascii="Times New Roman" w:hAnsi="Times New Roman"/>
                      <w:color w:val="auto"/>
                    </w:rPr>
                    <w:t>56.3</w:t>
                  </w:r>
                </w:p>
              </w:tc>
              <w:tc>
                <w:tcPr>
                  <w:tcW w:w="868" w:type="pct"/>
                  <w:vAlign w:val="center"/>
                </w:tcPr>
                <w:p>
                  <w:pPr>
                    <w:jc w:val="center"/>
                    <w:rPr>
                      <w:rFonts w:ascii="Times New Roman" w:hAnsi="Times New Roman" w:eastAsiaTheme="majorEastAsia"/>
                      <w:color w:val="auto"/>
                      <w:spacing w:val="2"/>
                      <w:sz w:val="21"/>
                      <w:szCs w:val="21"/>
                    </w:rPr>
                  </w:pPr>
                  <w:r>
                    <w:rPr>
                      <w:rFonts w:ascii="Times New Roman" w:hAnsi="Times New Roman" w:eastAsiaTheme="majorEastAsia"/>
                      <w:color w:val="auto"/>
                      <w:spacing w:val="2"/>
                      <w:sz w:val="21"/>
                      <w:szCs w:val="21"/>
                    </w:rPr>
                    <w:t>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sz w:val="21"/>
                      <w:szCs w:val="21"/>
                    </w:rPr>
                  </w:pPr>
                  <w:r>
                    <w:rPr>
                      <w:rFonts w:ascii="Times New Roman" w:hAnsi="Times New Roman" w:eastAsia="宋体"/>
                      <w:color w:val="auto"/>
                      <w:sz w:val="21"/>
                      <w:szCs w:val="21"/>
                    </w:rPr>
                    <w:t>▲4#厂界北1米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eastAsia="宋体"/>
                      <w:color w:val="auto"/>
                      <w:kern w:val="2"/>
                      <w:sz w:val="21"/>
                      <w:szCs w:val="21"/>
                    </w:rPr>
                  </w:pPr>
                  <w:r>
                    <w:rPr>
                      <w:rFonts w:ascii="Times New Roman" w:hAnsi="Times New Roman"/>
                      <w:color w:val="auto"/>
                      <w:kern w:val="2"/>
                      <w:sz w:val="21"/>
                      <w:szCs w:val="21"/>
                    </w:rPr>
                    <w:t>54</w:t>
                  </w:r>
                  <w:r>
                    <w:rPr>
                      <w:rFonts w:ascii="Times New Roman" w:hAnsi="Times New Roman" w:eastAsia="宋体"/>
                      <w:color w:val="auto"/>
                      <w:kern w:val="2"/>
                      <w:sz w:val="21"/>
                      <w:szCs w:val="21"/>
                    </w:rPr>
                    <w:t>.2</w:t>
                  </w:r>
                </w:p>
              </w:tc>
              <w:tc>
                <w:tcPr>
                  <w:tcW w:w="868" w:type="pct"/>
                  <w:vAlign w:val="center"/>
                </w:tcPr>
                <w:p>
                  <w:pPr>
                    <w:jc w:val="center"/>
                    <w:rPr>
                      <w:rFonts w:ascii="Times New Roman" w:hAnsi="Times New Roman" w:eastAsiaTheme="majorEastAsia"/>
                      <w:color w:val="auto"/>
                      <w:spacing w:val="2"/>
                      <w:sz w:val="21"/>
                      <w:szCs w:val="21"/>
                    </w:rPr>
                  </w:pPr>
                  <w:r>
                    <w:rPr>
                      <w:rFonts w:ascii="Times New Roman" w:hAnsi="Times New Roman" w:eastAsiaTheme="majorEastAsia"/>
                      <w:color w:val="auto"/>
                      <w:spacing w:val="2"/>
                      <w:sz w:val="21"/>
                      <w:szCs w:val="21"/>
                    </w:rPr>
                    <w:t>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kern w:val="2"/>
                      <w:sz w:val="21"/>
                      <w:szCs w:val="21"/>
                    </w:rPr>
                  </w:pPr>
                  <w:r>
                    <w:rPr>
                      <w:rFonts w:ascii="Times New Roman" w:hAnsi="Times New Roman" w:eastAsia="宋体"/>
                      <w:color w:val="auto"/>
                      <w:sz w:val="21"/>
                      <w:szCs w:val="21"/>
                    </w:rPr>
                    <w:t>▲1#厂界东1米</w:t>
                  </w:r>
                </w:p>
              </w:tc>
              <w:tc>
                <w:tcPr>
                  <w:tcW w:w="1183" w:type="pct"/>
                  <w:vMerge w:val="restart"/>
                  <w:vAlign w:val="center"/>
                </w:tcPr>
                <w:p>
                  <w:pPr>
                    <w:spacing w:line="0" w:lineRule="atLeast"/>
                    <w:jc w:val="center"/>
                    <w:rPr>
                      <w:rFonts w:ascii="Times New Roman" w:hAnsi="Times New Roman" w:eastAsia="宋体"/>
                      <w:color w:val="auto"/>
                      <w:kern w:val="2"/>
                      <w:sz w:val="21"/>
                      <w:szCs w:val="21"/>
                    </w:rPr>
                  </w:pPr>
                  <w:r>
                    <w:rPr>
                      <w:rFonts w:hint="eastAsia" w:ascii="Times New Roman" w:hAnsi="Times New Roman"/>
                      <w:color w:val="auto"/>
                      <w:sz w:val="21"/>
                      <w:szCs w:val="21"/>
                    </w:rPr>
                    <w:t>2024.03.01</w:t>
                  </w:r>
                </w:p>
              </w:tc>
              <w:tc>
                <w:tcPr>
                  <w:tcW w:w="868" w:type="pct"/>
                  <w:vAlign w:val="center"/>
                </w:tcPr>
                <w:p>
                  <w:pPr>
                    <w:jc w:val="center"/>
                    <w:rPr>
                      <w:rFonts w:ascii="Times New Roman" w:hAnsi="Times New Roman" w:eastAsia="宋体"/>
                      <w:color w:val="auto"/>
                      <w:kern w:val="2"/>
                      <w:sz w:val="21"/>
                      <w:szCs w:val="24"/>
                    </w:rPr>
                  </w:pPr>
                  <w:r>
                    <w:rPr>
                      <w:rFonts w:ascii="Times New Roman" w:hAnsi="Times New Roman"/>
                      <w:color w:val="auto"/>
                    </w:rPr>
                    <w:t>53.7</w:t>
                  </w:r>
                </w:p>
              </w:tc>
              <w:tc>
                <w:tcPr>
                  <w:tcW w:w="868" w:type="pct"/>
                  <w:vAlign w:val="center"/>
                </w:tcPr>
                <w:p>
                  <w:pPr>
                    <w:jc w:val="center"/>
                    <w:rPr>
                      <w:rFonts w:ascii="Times New Roman" w:hAnsi="Times New Roman" w:eastAsiaTheme="majorEastAsia"/>
                      <w:color w:val="auto"/>
                      <w:spacing w:val="2"/>
                      <w:kern w:val="2"/>
                      <w:sz w:val="21"/>
                      <w:szCs w:val="21"/>
                    </w:rPr>
                  </w:pPr>
                  <w:r>
                    <w:rPr>
                      <w:rFonts w:ascii="Times New Roman" w:hAnsi="Times New Roman" w:eastAsiaTheme="majorEastAsia"/>
                      <w:color w:val="auto"/>
                      <w:spacing w:val="2"/>
                      <w:sz w:val="21"/>
                      <w:szCs w:val="21"/>
                    </w:rPr>
                    <w:t>45.4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320" w:lineRule="exact"/>
                    <w:jc w:val="center"/>
                    <w:rPr>
                      <w:rFonts w:ascii="Times New Roman" w:hAnsi="Times New Roman" w:eastAsia="宋体"/>
                      <w:color w:val="auto"/>
                      <w:kern w:val="2"/>
                      <w:sz w:val="21"/>
                      <w:szCs w:val="21"/>
                    </w:rPr>
                  </w:pPr>
                  <w:r>
                    <w:rPr>
                      <w:rFonts w:ascii="Times New Roman" w:hAnsi="Times New Roman" w:eastAsia="宋体"/>
                      <w:color w:val="auto"/>
                      <w:sz w:val="21"/>
                      <w:szCs w:val="21"/>
                    </w:rPr>
                    <w:t>▲2#厂界南1米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eastAsia="宋体"/>
                      <w:color w:val="auto"/>
                      <w:kern w:val="2"/>
                      <w:sz w:val="21"/>
                      <w:szCs w:val="21"/>
                    </w:rPr>
                  </w:pPr>
                  <w:r>
                    <w:rPr>
                      <w:rFonts w:ascii="Times New Roman" w:hAnsi="Times New Roman"/>
                      <w:color w:val="auto"/>
                      <w:kern w:val="2"/>
                      <w:sz w:val="21"/>
                      <w:szCs w:val="21"/>
                    </w:rPr>
                    <w:t>55</w:t>
                  </w:r>
                  <w:r>
                    <w:rPr>
                      <w:rFonts w:ascii="Times New Roman" w:hAnsi="Times New Roman" w:eastAsia="宋体"/>
                      <w:color w:val="auto"/>
                      <w:kern w:val="2"/>
                      <w:sz w:val="21"/>
                      <w:szCs w:val="21"/>
                    </w:rPr>
                    <w:t>.</w:t>
                  </w:r>
                  <w:r>
                    <w:rPr>
                      <w:rFonts w:ascii="Times New Roman" w:hAnsi="Times New Roman"/>
                      <w:color w:val="auto"/>
                      <w:kern w:val="2"/>
                      <w:sz w:val="21"/>
                      <w:szCs w:val="21"/>
                    </w:rPr>
                    <w:t>5</w:t>
                  </w:r>
                </w:p>
              </w:tc>
              <w:tc>
                <w:tcPr>
                  <w:tcW w:w="868" w:type="pct"/>
                  <w:vAlign w:val="center"/>
                </w:tcPr>
                <w:p>
                  <w:pPr>
                    <w:jc w:val="center"/>
                    <w:rPr>
                      <w:rFonts w:ascii="Times New Roman" w:hAnsi="Times New Roman" w:eastAsiaTheme="majorEastAsia"/>
                      <w:color w:val="auto"/>
                      <w:spacing w:val="2"/>
                      <w:kern w:val="2"/>
                      <w:sz w:val="21"/>
                      <w:szCs w:val="21"/>
                    </w:rPr>
                  </w:pPr>
                  <w:r>
                    <w:rPr>
                      <w:rFonts w:ascii="Times New Roman" w:hAnsi="Times New Roman" w:eastAsiaTheme="majorEastAsia"/>
                      <w:color w:val="auto"/>
                      <w:spacing w:val="2"/>
                      <w:sz w:val="21"/>
                      <w:szCs w:val="21"/>
                    </w:rPr>
                    <w:t>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kern w:val="2"/>
                      <w:sz w:val="21"/>
                      <w:szCs w:val="21"/>
                    </w:rPr>
                  </w:pPr>
                  <w:r>
                    <w:rPr>
                      <w:rFonts w:ascii="Times New Roman" w:hAnsi="Times New Roman" w:eastAsia="宋体"/>
                      <w:color w:val="auto"/>
                      <w:sz w:val="21"/>
                      <w:szCs w:val="21"/>
                    </w:rPr>
                    <w:t>▲3#厂界</w:t>
                  </w:r>
                  <w:r>
                    <w:rPr>
                      <w:rFonts w:ascii="Times New Roman" w:hAnsi="Times New Roman"/>
                      <w:color w:val="auto"/>
                      <w:sz w:val="21"/>
                      <w:szCs w:val="21"/>
                    </w:rPr>
                    <w:t>西</w:t>
                  </w:r>
                  <w:r>
                    <w:rPr>
                      <w:rFonts w:ascii="Times New Roman" w:hAnsi="Times New Roman" w:eastAsia="宋体"/>
                      <w:color w:val="auto"/>
                      <w:sz w:val="21"/>
                      <w:szCs w:val="21"/>
                    </w:rPr>
                    <w:t>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eastAsia="宋体"/>
                      <w:color w:val="auto"/>
                      <w:kern w:val="2"/>
                      <w:sz w:val="21"/>
                      <w:szCs w:val="21"/>
                    </w:rPr>
                  </w:pPr>
                  <w:r>
                    <w:rPr>
                      <w:rFonts w:ascii="Times New Roman" w:hAnsi="Times New Roman"/>
                      <w:color w:val="auto"/>
                      <w:kern w:val="2"/>
                      <w:sz w:val="21"/>
                      <w:szCs w:val="21"/>
                    </w:rPr>
                    <w:t>54</w:t>
                  </w:r>
                  <w:r>
                    <w:rPr>
                      <w:rFonts w:ascii="Times New Roman" w:hAnsi="Times New Roman" w:eastAsia="宋体"/>
                      <w:color w:val="auto"/>
                      <w:kern w:val="2"/>
                      <w:sz w:val="21"/>
                      <w:szCs w:val="21"/>
                    </w:rPr>
                    <w:t>.</w:t>
                  </w:r>
                  <w:r>
                    <w:rPr>
                      <w:rFonts w:ascii="Times New Roman" w:hAnsi="Times New Roman"/>
                      <w:color w:val="auto"/>
                      <w:kern w:val="2"/>
                      <w:sz w:val="21"/>
                      <w:szCs w:val="21"/>
                    </w:rPr>
                    <w:t>4</w:t>
                  </w:r>
                </w:p>
              </w:tc>
              <w:tc>
                <w:tcPr>
                  <w:tcW w:w="868" w:type="pct"/>
                  <w:vAlign w:val="center"/>
                </w:tcPr>
                <w:p>
                  <w:pPr>
                    <w:jc w:val="center"/>
                    <w:rPr>
                      <w:rFonts w:ascii="Times New Roman" w:hAnsi="Times New Roman" w:eastAsiaTheme="majorEastAsia"/>
                      <w:color w:val="auto"/>
                      <w:spacing w:val="2"/>
                      <w:kern w:val="2"/>
                      <w:sz w:val="21"/>
                      <w:szCs w:val="21"/>
                    </w:rPr>
                  </w:pPr>
                  <w:r>
                    <w:rPr>
                      <w:rFonts w:ascii="Times New Roman" w:hAnsi="Times New Roman" w:eastAsiaTheme="majorEastAsia"/>
                      <w:color w:val="auto"/>
                      <w:spacing w:val="2"/>
                      <w:sz w:val="21"/>
                      <w:szCs w:val="21"/>
                    </w:rPr>
                    <w:t>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9" w:type="pct"/>
                  <w:vAlign w:val="center"/>
                </w:tcPr>
                <w:p>
                  <w:pPr>
                    <w:spacing w:line="0" w:lineRule="atLeast"/>
                    <w:jc w:val="center"/>
                    <w:rPr>
                      <w:rFonts w:ascii="Times New Roman" w:hAnsi="Times New Roman" w:eastAsia="宋体"/>
                      <w:color w:val="auto"/>
                      <w:kern w:val="2"/>
                      <w:sz w:val="21"/>
                      <w:szCs w:val="21"/>
                    </w:rPr>
                  </w:pPr>
                  <w:r>
                    <w:rPr>
                      <w:rFonts w:ascii="Times New Roman" w:hAnsi="Times New Roman" w:eastAsia="宋体"/>
                      <w:color w:val="auto"/>
                      <w:sz w:val="21"/>
                      <w:szCs w:val="21"/>
                    </w:rPr>
                    <w:t>▲4#厂界北1米</w:t>
                  </w:r>
                </w:p>
              </w:tc>
              <w:tc>
                <w:tcPr>
                  <w:tcW w:w="1183" w:type="pct"/>
                  <w:vMerge w:val="continue"/>
                  <w:vAlign w:val="center"/>
                </w:tcPr>
                <w:p>
                  <w:pPr>
                    <w:spacing w:line="240" w:lineRule="exact"/>
                    <w:jc w:val="center"/>
                    <w:rPr>
                      <w:rFonts w:ascii="Times New Roman" w:hAnsi="Times New Roman" w:eastAsia="宋体"/>
                      <w:color w:val="auto"/>
                      <w:sz w:val="21"/>
                      <w:szCs w:val="21"/>
                    </w:rPr>
                  </w:pPr>
                </w:p>
              </w:tc>
              <w:tc>
                <w:tcPr>
                  <w:tcW w:w="868" w:type="pct"/>
                  <w:vAlign w:val="center"/>
                </w:tcPr>
                <w:p>
                  <w:pPr>
                    <w:jc w:val="center"/>
                    <w:rPr>
                      <w:rFonts w:ascii="Times New Roman" w:hAnsi="Times New Roman" w:eastAsia="宋体"/>
                      <w:color w:val="auto"/>
                      <w:kern w:val="2"/>
                      <w:sz w:val="21"/>
                      <w:szCs w:val="21"/>
                    </w:rPr>
                  </w:pPr>
                  <w:r>
                    <w:rPr>
                      <w:rFonts w:ascii="Times New Roman" w:hAnsi="Times New Roman"/>
                      <w:color w:val="auto"/>
                      <w:kern w:val="2"/>
                      <w:sz w:val="21"/>
                      <w:szCs w:val="21"/>
                    </w:rPr>
                    <w:t>54</w:t>
                  </w:r>
                  <w:r>
                    <w:rPr>
                      <w:rFonts w:ascii="Times New Roman" w:hAnsi="Times New Roman" w:eastAsia="宋体"/>
                      <w:color w:val="auto"/>
                      <w:kern w:val="2"/>
                      <w:sz w:val="21"/>
                      <w:szCs w:val="21"/>
                    </w:rPr>
                    <w:t>.</w:t>
                  </w:r>
                  <w:r>
                    <w:rPr>
                      <w:rFonts w:ascii="Times New Roman" w:hAnsi="Times New Roman"/>
                      <w:color w:val="auto"/>
                      <w:kern w:val="2"/>
                      <w:sz w:val="21"/>
                      <w:szCs w:val="21"/>
                    </w:rPr>
                    <w:t>6</w:t>
                  </w:r>
                </w:p>
              </w:tc>
              <w:tc>
                <w:tcPr>
                  <w:tcW w:w="868" w:type="pct"/>
                  <w:vAlign w:val="center"/>
                </w:tcPr>
                <w:p>
                  <w:pPr>
                    <w:jc w:val="center"/>
                    <w:rPr>
                      <w:rFonts w:ascii="Times New Roman" w:hAnsi="Times New Roman" w:eastAsiaTheme="majorEastAsia"/>
                      <w:color w:val="auto"/>
                      <w:spacing w:val="2"/>
                      <w:kern w:val="2"/>
                      <w:sz w:val="21"/>
                      <w:szCs w:val="21"/>
                    </w:rPr>
                  </w:pPr>
                  <w:r>
                    <w:rPr>
                      <w:rFonts w:ascii="Times New Roman" w:hAnsi="Times New Roman" w:eastAsiaTheme="majorEastAsia"/>
                      <w:color w:val="auto"/>
                      <w:spacing w:val="2"/>
                      <w:sz w:val="21"/>
                      <w:szCs w:val="21"/>
                    </w:rPr>
                    <w:t>44.4</w:t>
                  </w:r>
                </w:p>
              </w:tc>
            </w:tr>
          </w:tbl>
          <w:p>
            <w:pPr>
              <w:adjustRightInd/>
              <w:snapToGrid/>
              <w:spacing w:after="0" w:line="400" w:lineRule="atLeast"/>
              <w:ind w:firstLine="480" w:firstLineChars="200"/>
              <w:jc w:val="both"/>
              <w:rPr>
                <w:rFonts w:ascii="Times New Roman" w:hAnsi="Times New Roman" w:eastAsiaTheme="minorEastAsia"/>
                <w:color w:val="auto"/>
                <w:sz w:val="24"/>
                <w:szCs w:val="24"/>
              </w:rPr>
            </w:pPr>
            <w:r>
              <w:rPr>
                <w:rFonts w:ascii="Times New Roman" w:hAnsi="Times New Roman" w:eastAsiaTheme="minorEastAsia"/>
                <w:color w:val="auto"/>
                <w:sz w:val="24"/>
                <w:szCs w:val="24"/>
              </w:rPr>
              <w:t>根据监测结果可知，验收监测期间，项目东、南、西、北厂界外1m处噪声昼间监测值在</w:t>
            </w:r>
            <w:r>
              <w:rPr>
                <w:rFonts w:hint="eastAsia" w:ascii="Times New Roman" w:hAnsi="Times New Roman" w:eastAsiaTheme="minorEastAsia"/>
                <w:color w:val="auto"/>
                <w:sz w:val="24"/>
                <w:szCs w:val="24"/>
              </w:rPr>
              <w:t>53.7</w:t>
            </w:r>
            <w:r>
              <w:rPr>
                <w:rFonts w:ascii="Times New Roman" w:hAnsi="Times New Roman" w:eastAsiaTheme="minorEastAsia"/>
                <w:color w:val="auto"/>
                <w:sz w:val="24"/>
                <w:szCs w:val="24"/>
              </w:rPr>
              <w:t>dB（A）~</w:t>
            </w:r>
            <w:r>
              <w:rPr>
                <w:rFonts w:hint="eastAsia" w:ascii="Times New Roman" w:hAnsi="Times New Roman" w:eastAsiaTheme="minorEastAsia"/>
                <w:color w:val="auto"/>
                <w:sz w:val="24"/>
                <w:szCs w:val="24"/>
              </w:rPr>
              <w:t>56.3</w:t>
            </w:r>
            <w:r>
              <w:rPr>
                <w:rFonts w:ascii="Times New Roman" w:hAnsi="Times New Roman" w:eastAsiaTheme="minorEastAsia"/>
                <w:color w:val="auto"/>
                <w:sz w:val="24"/>
                <w:szCs w:val="24"/>
              </w:rPr>
              <w:t>dB（A）之间，夜间监测值在</w:t>
            </w:r>
            <w:r>
              <w:rPr>
                <w:rFonts w:hint="eastAsia" w:ascii="Times New Roman" w:hAnsi="Times New Roman" w:eastAsiaTheme="minorEastAsia"/>
                <w:color w:val="auto"/>
                <w:sz w:val="24"/>
                <w:szCs w:val="24"/>
              </w:rPr>
              <w:t>43.4</w:t>
            </w:r>
            <w:r>
              <w:rPr>
                <w:rFonts w:ascii="Times New Roman" w:hAnsi="Times New Roman" w:eastAsiaTheme="minorEastAsia"/>
                <w:color w:val="auto"/>
                <w:sz w:val="24"/>
                <w:szCs w:val="24"/>
              </w:rPr>
              <w:t>dB（A）~</w:t>
            </w:r>
            <w:r>
              <w:rPr>
                <w:rFonts w:hint="eastAsia" w:ascii="Times New Roman" w:hAnsi="Times New Roman" w:eastAsiaTheme="minorEastAsia"/>
                <w:color w:val="auto"/>
                <w:sz w:val="24"/>
                <w:szCs w:val="24"/>
              </w:rPr>
              <w:t>47.3</w:t>
            </w:r>
            <w:r>
              <w:rPr>
                <w:rFonts w:ascii="Times New Roman" w:hAnsi="Times New Roman" w:eastAsiaTheme="minorEastAsia"/>
                <w:color w:val="auto"/>
                <w:sz w:val="24"/>
                <w:szCs w:val="24"/>
              </w:rPr>
              <w:t>dB（A）之间，四周厂界外1m处噪声均符合《工业企业厂界环境噪声排放标准》（GB12348-2008）中的</w:t>
            </w:r>
            <w:r>
              <w:rPr>
                <w:rFonts w:hint="eastAsia" w:ascii="Times New Roman" w:hAnsi="Times New Roman" w:eastAsiaTheme="minorEastAsia"/>
                <w:color w:val="auto"/>
                <w:sz w:val="24"/>
                <w:szCs w:val="24"/>
              </w:rPr>
              <w:t>2</w:t>
            </w:r>
            <w:r>
              <w:rPr>
                <w:rFonts w:ascii="Times New Roman" w:hAnsi="Times New Roman" w:eastAsiaTheme="minorEastAsia"/>
                <w:color w:val="auto"/>
                <w:sz w:val="24"/>
                <w:szCs w:val="24"/>
              </w:rPr>
              <w:t>类标准要求。</w:t>
            </w:r>
            <w:bookmarkEnd w:id="12"/>
            <w:bookmarkEnd w:id="13"/>
            <w:bookmarkEnd w:id="14"/>
            <w:bookmarkEnd w:id="15"/>
          </w:p>
          <w:p>
            <w:pPr>
              <w:ind w:firstLine="440" w:firstLineChars="200"/>
              <w:rPr>
                <w:rFonts w:ascii="Times New Roman" w:hAnsi="Times New Roman"/>
                <w:color w:val="auto"/>
              </w:rPr>
            </w:pPr>
          </w:p>
        </w:tc>
      </w:tr>
    </w:tbl>
    <w:p>
      <w:pPr>
        <w:pStyle w:val="33"/>
        <w:rPr>
          <w:rFonts w:ascii="Times New Roman" w:hAnsi="Times New Roman" w:eastAsia="仿宋_GB2312" w:cs="Times New Roman"/>
          <w:b/>
          <w:color w:val="auto"/>
          <w:sz w:val="28"/>
          <w:szCs w:val="28"/>
        </w:rPr>
        <w:sectPr>
          <w:pgSz w:w="11906" w:h="16838"/>
          <w:pgMar w:top="1440" w:right="1080" w:bottom="1440" w:left="1080" w:header="708" w:footer="708" w:gutter="0"/>
          <w:cols w:space="720" w:num="1"/>
          <w:docGrid w:linePitch="360" w:charSpace="0"/>
        </w:sectPr>
      </w:pPr>
    </w:p>
    <w:p>
      <w:pPr>
        <w:spacing w:after="0"/>
        <w:outlineLvl w:val="0"/>
        <w:rPr>
          <w:rFonts w:ascii="Times New Roman" w:hAnsi="Times New Roman" w:eastAsia="黑体"/>
          <w:color w:val="auto"/>
          <w:sz w:val="28"/>
          <w:szCs w:val="28"/>
        </w:rPr>
      </w:pPr>
      <w:bookmarkStart w:id="16" w:name="_Toc29606"/>
      <w:r>
        <w:rPr>
          <w:rFonts w:ascii="Times New Roman" w:hAnsi="Times New Roman" w:eastAsia="黑体"/>
          <w:color w:val="auto"/>
          <w:sz w:val="28"/>
          <w:szCs w:val="28"/>
        </w:rPr>
        <w:t>表八</w:t>
      </w:r>
      <w:bookmarkEnd w:id="16"/>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pPr>
              <w:adjustRightInd/>
              <w:snapToGrid/>
              <w:spacing w:after="0" w:line="360" w:lineRule="auto"/>
              <w:rPr>
                <w:rFonts w:ascii="Times New Roman" w:hAnsi="Times New Roman" w:eastAsia="宋体"/>
                <w:color w:val="auto"/>
                <w:sz w:val="24"/>
                <w:szCs w:val="24"/>
              </w:rPr>
            </w:pPr>
            <w:r>
              <w:rPr>
                <w:rFonts w:ascii="Times New Roman" w:hAnsi="Times New Roman" w:eastAsia="宋体"/>
                <w:color w:val="auto"/>
                <w:sz w:val="24"/>
                <w:szCs w:val="24"/>
              </w:rPr>
              <w:t>验收监测结论：</w:t>
            </w:r>
          </w:p>
          <w:p>
            <w:pPr>
              <w:adjustRightInd/>
              <w:snapToGrid/>
              <w:spacing w:after="0" w:line="360" w:lineRule="auto"/>
              <w:ind w:firstLine="480" w:firstLineChars="200"/>
              <w:rPr>
                <w:rFonts w:ascii="Times New Roman" w:hAnsi="Times New Roman" w:eastAsia="宋体"/>
                <w:color w:val="auto"/>
                <w:sz w:val="24"/>
                <w:szCs w:val="24"/>
              </w:rPr>
            </w:pPr>
            <w:r>
              <w:rPr>
                <w:rFonts w:ascii="Times New Roman" w:hAnsi="Times New Roman" w:eastAsia="宋体"/>
                <w:color w:val="auto"/>
                <w:sz w:val="24"/>
                <w:szCs w:val="24"/>
                <w:lang w:val="zh-CN"/>
              </w:rPr>
              <w:t>北大荒集团黑龙江共青农场粮贸中心</w:t>
            </w:r>
            <w:r>
              <w:rPr>
                <w:rFonts w:ascii="Times New Roman" w:hAnsi="Times New Roman" w:eastAsia="宋体"/>
                <w:color w:val="auto"/>
                <w:sz w:val="24"/>
                <w:szCs w:val="24"/>
              </w:rPr>
              <w:t>按照《中华人民共和国环境保护法》、《建设项目环境保护管理条例》等有关法律、法规的要求进行了项目前期的环境影响评价，审批手续齐全，完整。项目竣工后，按照建设项目竣工环境保护验收的要求和规定提出了竣工验收申请。</w:t>
            </w:r>
          </w:p>
          <w:p>
            <w:pPr>
              <w:pStyle w:val="41"/>
              <w:spacing w:before="0" w:beforeAutospacing="0" w:after="0" w:afterAutospacing="0" w:line="360" w:lineRule="auto"/>
              <w:ind w:firstLine="480" w:firstLineChars="200"/>
              <w:jc w:val="both"/>
              <w:rPr>
                <w:rFonts w:ascii="Times New Roman" w:hAnsi="Times New Roman" w:cs="Times New Roman"/>
                <w:color w:val="auto"/>
              </w:rPr>
            </w:pPr>
            <w:bookmarkStart w:id="17" w:name="_Toc11213"/>
            <w:bookmarkStart w:id="18" w:name="_Toc26892"/>
            <w:r>
              <w:rPr>
                <w:rFonts w:ascii="Times New Roman" w:hAnsi="Times New Roman" w:cs="Times New Roman"/>
                <w:color w:val="auto"/>
              </w:rPr>
              <w:t>（一）</w:t>
            </w:r>
            <w:bookmarkStart w:id="19" w:name="_Toc6149"/>
            <w:bookmarkStart w:id="20" w:name="_Toc14443"/>
            <w:r>
              <w:rPr>
                <w:rFonts w:ascii="Times New Roman" w:hAnsi="Times New Roman" w:cs="Times New Roman"/>
                <w:color w:val="auto"/>
              </w:rPr>
              <w:t>废气</w:t>
            </w:r>
            <w:bookmarkEnd w:id="19"/>
            <w:bookmarkEnd w:id="20"/>
          </w:p>
          <w:p>
            <w:pPr>
              <w:adjustRightInd/>
              <w:snapToGrid/>
              <w:spacing w:after="0" w:line="360" w:lineRule="auto"/>
              <w:ind w:firstLine="480" w:firstLineChars="200"/>
              <w:jc w:val="both"/>
              <w:rPr>
                <w:rFonts w:ascii="Times New Roman" w:hAnsi="Times New Roman" w:eastAsiaTheme="minorEastAsia"/>
                <w:color w:val="auto"/>
                <w:sz w:val="24"/>
                <w:szCs w:val="24"/>
              </w:rPr>
            </w:pPr>
            <w:r>
              <w:rPr>
                <w:rFonts w:hint="eastAsia" w:ascii="Times New Roman" w:hAnsi="Times New Roman" w:eastAsiaTheme="minorEastAsia"/>
                <w:color w:val="auto"/>
                <w:sz w:val="24"/>
                <w:szCs w:val="24"/>
              </w:rPr>
              <w:t>根据监测结果可知，验收监测期间，10t生物质锅炉处理前颗粒物监测浓度为672-924mg/m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之间，二氧化硫监测浓度为</w:t>
            </w:r>
            <w:r>
              <w:rPr>
                <w:rFonts w:hint="eastAsia" w:ascii="Times New Roman" w:hAnsi="Times New Roman" w:eastAsiaTheme="minorEastAsia"/>
                <w:color w:val="auto"/>
                <w:sz w:val="24"/>
                <w:szCs w:val="24"/>
                <w:lang w:val="en-US" w:eastAsia="zh-CN"/>
              </w:rPr>
              <w:t>59</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82</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之间，氮氧化物监测浓度为73-81mg/m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之间；处理后颗粒物监测浓度为22-29mg/m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之间，二氧化硫监测浓度为</w:t>
            </w:r>
            <w:r>
              <w:rPr>
                <w:rFonts w:hint="eastAsia" w:ascii="Times New Roman" w:hAnsi="Times New Roman" w:eastAsiaTheme="minorEastAsia"/>
                <w:color w:val="auto"/>
                <w:sz w:val="24"/>
                <w:szCs w:val="24"/>
                <w:lang w:val="en-US" w:eastAsia="zh-CN"/>
              </w:rPr>
              <w:t>53</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71</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之间，氮氧化物监测浓度为</w:t>
            </w:r>
            <w:r>
              <w:rPr>
                <w:rFonts w:hint="eastAsia" w:ascii="Times New Roman" w:hAnsi="Times New Roman" w:eastAsiaTheme="minorEastAsia"/>
                <w:color w:val="auto"/>
                <w:sz w:val="24"/>
                <w:szCs w:val="24"/>
                <w:lang w:val="en-US" w:eastAsia="zh-CN"/>
              </w:rPr>
              <w:t>62</w:t>
            </w:r>
            <w:r>
              <w:rPr>
                <w:rFonts w:hint="eastAsia" w:ascii="Times New Roman" w:hAnsi="Times New Roman" w:eastAsiaTheme="minorEastAsia"/>
                <w:color w:val="auto"/>
                <w:sz w:val="24"/>
                <w:szCs w:val="24"/>
              </w:rPr>
              <w:t>-</w:t>
            </w:r>
            <w:r>
              <w:rPr>
                <w:rFonts w:hint="eastAsia" w:ascii="Times New Roman" w:hAnsi="Times New Roman" w:eastAsiaTheme="minorEastAsia"/>
                <w:color w:val="auto"/>
                <w:sz w:val="24"/>
                <w:szCs w:val="24"/>
                <w:lang w:val="en-US" w:eastAsia="zh-CN"/>
              </w:rPr>
              <w:t>74</w:t>
            </w:r>
            <w:r>
              <w:rPr>
                <w:rFonts w:hint="eastAsia" w:ascii="Times New Roman" w:hAnsi="Times New Roman" w:eastAsiaTheme="minorEastAsia"/>
                <w:color w:val="auto"/>
                <w:sz w:val="24"/>
                <w:szCs w:val="24"/>
              </w:rPr>
              <w:t>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之间，烟气黑度＜1级；符合《大气污染物综合排放标准》（GB16297-1996）中有组织排放监测浓度限值。</w:t>
            </w:r>
          </w:p>
          <w:p>
            <w:pPr>
              <w:adjustRightInd/>
              <w:snapToGrid/>
              <w:spacing w:after="0" w:line="360" w:lineRule="auto"/>
              <w:ind w:firstLine="480" w:firstLineChars="200"/>
              <w:jc w:val="both"/>
              <w:rPr>
                <w:rFonts w:ascii="Times New Roman" w:hAnsi="Times New Roman" w:eastAsiaTheme="minorEastAsia"/>
                <w:color w:val="auto"/>
                <w:sz w:val="24"/>
                <w:szCs w:val="24"/>
              </w:rPr>
            </w:pPr>
            <w:r>
              <w:rPr>
                <w:rFonts w:hint="eastAsia" w:ascii="Times New Roman" w:hAnsi="Times New Roman" w:eastAsiaTheme="minorEastAsia"/>
                <w:color w:val="auto"/>
                <w:sz w:val="24"/>
                <w:szCs w:val="24"/>
              </w:rPr>
              <w:t>无组织废气，验收监测期间，厂界颗粒物上风向监测浓度在0.298-0.395mg/m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之间，下风向监测浓度在0.417-0.496mg/m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之间，符合《大气污染物综合排放标准》（GB16297-1996）表无组织排放监控浓度限值1.0mg/m</w:t>
            </w:r>
            <w:r>
              <w:rPr>
                <w:rFonts w:hint="eastAsia" w:ascii="Times New Roman" w:hAnsi="Times New Roman" w:eastAsiaTheme="minorEastAsia"/>
                <w:color w:val="auto"/>
                <w:sz w:val="24"/>
                <w:szCs w:val="24"/>
                <w:vertAlign w:val="superscript"/>
              </w:rPr>
              <w:t>3</w:t>
            </w:r>
            <w:r>
              <w:rPr>
                <w:rFonts w:hint="eastAsia" w:ascii="Times New Roman" w:hAnsi="Times New Roman" w:eastAsiaTheme="minorEastAsia"/>
                <w:color w:val="auto"/>
                <w:sz w:val="24"/>
                <w:szCs w:val="24"/>
              </w:rPr>
              <w:t>。</w:t>
            </w:r>
          </w:p>
          <w:p>
            <w:pPr>
              <w:pStyle w:val="41"/>
              <w:spacing w:before="0" w:beforeAutospacing="0" w:after="0" w:afterAutospacing="0" w:line="360" w:lineRule="auto"/>
              <w:ind w:firstLine="480" w:firstLineChars="200"/>
              <w:jc w:val="both"/>
              <w:rPr>
                <w:rFonts w:ascii="Times New Roman" w:hAnsi="Times New Roman" w:cs="Times New Roman"/>
                <w:color w:val="auto"/>
              </w:rPr>
            </w:pPr>
            <w:bookmarkStart w:id="21" w:name="_Toc21243"/>
            <w:bookmarkStart w:id="22" w:name="_Toc14523"/>
            <w:r>
              <w:rPr>
                <w:rFonts w:ascii="Times New Roman" w:hAnsi="Times New Roman" w:cs="Times New Roman"/>
                <w:color w:val="auto"/>
              </w:rPr>
              <w:t>（二）厂界噪声</w:t>
            </w:r>
            <w:bookmarkEnd w:id="21"/>
            <w:bookmarkEnd w:id="22"/>
          </w:p>
          <w:p>
            <w:pPr>
              <w:pStyle w:val="41"/>
              <w:spacing w:before="0" w:beforeAutospacing="0" w:after="0" w:afterAutospacing="0" w:line="360" w:lineRule="auto"/>
              <w:ind w:firstLine="480" w:firstLineChars="200"/>
              <w:jc w:val="both"/>
              <w:rPr>
                <w:rFonts w:ascii="Times New Roman" w:hAnsi="Times New Roman" w:cs="Times New Roman"/>
                <w:color w:val="auto"/>
              </w:rPr>
            </w:pPr>
            <w:r>
              <w:rPr>
                <w:rFonts w:ascii="Times New Roman" w:hAnsi="Times New Roman" w:cs="Times New Roman"/>
                <w:color w:val="auto"/>
              </w:rPr>
              <w:t>验收监测期间，项目东、南、西、北厂界外1m处噪声昼间监测值在53.7dB（A）~56.3dB（A）之间，夜间监测值在43.4dB（A）~47.3dB（A）之间，四周厂界外1m处噪声均符合《工业企业厂界环境噪声排放标准》（GB12348-2008）中的2类标准要求</w:t>
            </w:r>
            <w:r>
              <w:rPr>
                <w:rFonts w:hint="eastAsia" w:ascii="Times New Roman" w:hAnsi="Times New Roman" w:cs="Times New Roman"/>
                <w:color w:val="auto"/>
              </w:rPr>
              <w:t>。</w:t>
            </w:r>
          </w:p>
          <w:bookmarkEnd w:id="17"/>
          <w:bookmarkEnd w:id="18"/>
          <w:p>
            <w:pPr>
              <w:pStyle w:val="41"/>
              <w:spacing w:before="0" w:beforeAutospacing="0" w:after="0" w:afterAutospacing="0" w:line="360" w:lineRule="auto"/>
              <w:ind w:firstLine="480" w:firstLineChars="200"/>
              <w:jc w:val="both"/>
              <w:rPr>
                <w:rFonts w:ascii="Times New Roman" w:hAnsi="Times New Roman" w:cs="Times New Roman"/>
                <w:color w:val="auto"/>
              </w:rPr>
            </w:pPr>
            <w:bookmarkStart w:id="23" w:name="_Toc30719"/>
            <w:bookmarkStart w:id="24" w:name="_Toc10961"/>
            <w:r>
              <w:rPr>
                <w:rFonts w:ascii="Times New Roman" w:hAnsi="Times New Roman" w:cs="Times New Roman"/>
                <w:color w:val="auto"/>
              </w:rPr>
              <w:t>（</w:t>
            </w:r>
            <w:r>
              <w:rPr>
                <w:rFonts w:hint="eastAsia" w:ascii="Times New Roman" w:hAnsi="Times New Roman" w:cs="Times New Roman"/>
                <w:color w:val="auto"/>
              </w:rPr>
              <w:t>三</w:t>
            </w:r>
            <w:r>
              <w:rPr>
                <w:rFonts w:ascii="Times New Roman" w:hAnsi="Times New Roman" w:cs="Times New Roman"/>
                <w:color w:val="auto"/>
              </w:rPr>
              <w:t>）固体废物</w:t>
            </w:r>
            <w:bookmarkEnd w:id="23"/>
            <w:bookmarkEnd w:id="24"/>
          </w:p>
          <w:p>
            <w:pPr>
              <w:pStyle w:val="41"/>
              <w:spacing w:before="0" w:beforeAutospacing="0" w:after="0" w:afterAutospacing="0" w:line="360" w:lineRule="auto"/>
              <w:ind w:firstLine="480" w:firstLineChars="200"/>
              <w:jc w:val="both"/>
              <w:rPr>
                <w:rFonts w:ascii="Times New Roman" w:hAnsi="Times New Roman" w:cs="Times New Roman"/>
                <w:color w:val="auto"/>
                <w:sz w:val="28"/>
                <w:szCs w:val="28"/>
              </w:rPr>
            </w:pPr>
            <w:bookmarkStart w:id="25" w:name="_Toc8937"/>
            <w:bookmarkStart w:id="26" w:name="_Toc20271"/>
            <w:r>
              <w:rPr>
                <w:rFonts w:ascii="Times New Roman" w:hAnsi="Times New Roman" w:cs="Times New Roman"/>
                <w:color w:val="auto"/>
              </w:rPr>
              <w:t>清筛杂质由市政部门委托处理；热风炉布袋除尘器收尘由市政部门统一处理；烘干塔沉降物由市政部门统一处理；炉渣集中收集外售制作肥料；因此应按照《国家危险废物名录》中有关规定进行处置。采取本报告提出的处理措施，本项目运营期固体废物处理率为100%。</w:t>
            </w:r>
            <w:bookmarkEnd w:id="25"/>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9962" w:type="dxa"/>
          </w:tcPr>
          <w:p>
            <w:pPr>
              <w:pStyle w:val="41"/>
              <w:spacing w:before="0" w:beforeAutospacing="0" w:after="0" w:afterAutospacing="0" w:line="360" w:lineRule="auto"/>
              <w:ind w:firstLine="480" w:firstLineChars="200"/>
              <w:jc w:val="both"/>
              <w:rPr>
                <w:rFonts w:ascii="Times New Roman" w:hAnsi="Times New Roman" w:cs="Times New Roman"/>
                <w:bCs/>
                <w:color w:val="auto"/>
              </w:rPr>
            </w:pPr>
            <w:bookmarkStart w:id="27" w:name="_Toc8634"/>
            <w:bookmarkStart w:id="28" w:name="_Toc5893"/>
            <w:r>
              <w:rPr>
                <w:rFonts w:ascii="Times New Roman" w:hAnsi="Times New Roman" w:cs="Times New Roman"/>
                <w:bCs/>
                <w:color w:val="auto"/>
              </w:rPr>
              <w:t>后续要求：</w:t>
            </w:r>
          </w:p>
          <w:p>
            <w:pPr>
              <w:pStyle w:val="41"/>
              <w:spacing w:before="0" w:beforeAutospacing="0" w:after="0" w:afterAutospacing="0" w:line="360" w:lineRule="auto"/>
              <w:ind w:firstLine="480" w:firstLineChars="200"/>
              <w:jc w:val="both"/>
              <w:rPr>
                <w:rFonts w:ascii="Times New Roman" w:hAnsi="Times New Roman" w:cs="Times New Roman"/>
                <w:bCs/>
                <w:color w:val="auto"/>
              </w:rPr>
            </w:pPr>
            <w:bookmarkStart w:id="29" w:name="_Toc21824"/>
            <w:bookmarkStart w:id="30" w:name="_Toc1072"/>
            <w:r>
              <w:rPr>
                <w:rFonts w:ascii="Times New Roman" w:hAnsi="Times New Roman" w:cs="Times New Roman"/>
                <w:bCs/>
                <w:color w:val="auto"/>
              </w:rPr>
              <w:t>1、加强环保宣传教育工作，提高员工的环保意识。</w:t>
            </w:r>
            <w:bookmarkEnd w:id="29"/>
            <w:bookmarkEnd w:id="30"/>
          </w:p>
          <w:p>
            <w:pPr>
              <w:pStyle w:val="41"/>
              <w:spacing w:before="0" w:beforeAutospacing="0" w:after="0" w:afterAutospacing="0" w:line="360" w:lineRule="auto"/>
              <w:ind w:firstLine="480" w:firstLineChars="200"/>
              <w:jc w:val="both"/>
              <w:rPr>
                <w:rFonts w:ascii="Times New Roman" w:hAnsi="Times New Roman" w:cs="Times New Roman"/>
                <w:bCs/>
                <w:color w:val="auto"/>
              </w:rPr>
            </w:pPr>
            <w:bookmarkStart w:id="31" w:name="_Toc8077"/>
            <w:bookmarkStart w:id="32" w:name="_Toc17278"/>
            <w:r>
              <w:rPr>
                <w:rFonts w:ascii="Times New Roman" w:hAnsi="Times New Roman" w:cs="Times New Roman"/>
                <w:bCs/>
                <w:color w:val="auto"/>
              </w:rPr>
              <w:t>2、注意日常管理，机械保持良好的状态，减少噪声对环境的影响。</w:t>
            </w:r>
            <w:bookmarkEnd w:id="31"/>
            <w:bookmarkEnd w:id="32"/>
          </w:p>
          <w:bookmarkEnd w:id="27"/>
          <w:bookmarkEnd w:id="28"/>
          <w:p>
            <w:pPr>
              <w:pStyle w:val="41"/>
              <w:spacing w:before="0" w:beforeAutospacing="0" w:after="0" w:afterAutospacing="0" w:line="360" w:lineRule="auto"/>
              <w:jc w:val="both"/>
              <w:rPr>
                <w:rFonts w:ascii="Times New Roman" w:hAnsi="Times New Roman" w:cs="Times New Roman"/>
                <w:bCs/>
                <w:color w:val="auto"/>
                <w:sz w:val="28"/>
                <w:szCs w:val="28"/>
              </w:rPr>
            </w:pPr>
          </w:p>
        </w:tc>
      </w:tr>
    </w:tbl>
    <w:p>
      <w:pPr>
        <w:pStyle w:val="41"/>
        <w:spacing w:before="0" w:beforeAutospacing="0" w:after="0" w:afterAutospacing="0" w:line="360" w:lineRule="exact"/>
        <w:jc w:val="both"/>
        <w:rPr>
          <w:rFonts w:ascii="Times New Roman" w:hAnsi="Times New Roman" w:cs="Times New Roman"/>
          <w:color w:val="auto"/>
          <w:sz w:val="28"/>
          <w:szCs w:val="28"/>
        </w:rPr>
        <w:sectPr>
          <w:pgSz w:w="11906" w:h="16838"/>
          <w:pgMar w:top="1440" w:right="1080" w:bottom="1440" w:left="1080" w:header="708" w:footer="708" w:gutter="0"/>
          <w:cols w:space="720" w:num="1"/>
          <w:docGrid w:linePitch="360" w:charSpace="0"/>
        </w:sectPr>
      </w:pPr>
    </w:p>
    <w:p>
      <w:pPr>
        <w:jc w:val="center"/>
        <w:rPr>
          <w:rFonts w:ascii="宋体" w:hAnsi="宋体" w:eastAsia="宋体" w:cs="宋体"/>
          <w:color w:val="auto"/>
        </w:rPr>
      </w:pPr>
      <w:bookmarkStart w:id="33" w:name="_Toc6868"/>
      <w:bookmarkStart w:id="34" w:name="_Toc7967"/>
      <w:bookmarkStart w:id="35" w:name="_Toc21415"/>
      <w:r>
        <w:rPr>
          <w:rFonts w:hint="eastAsia" w:ascii="宋体" w:hAnsi="宋体" w:eastAsia="宋体" w:cs="宋体"/>
          <w:color w:val="auto"/>
        </w:rPr>
        <w:t>建设项目竣工环境保护“三同时”验收登记表</w:t>
      </w:r>
      <w:bookmarkEnd w:id="33"/>
      <w:bookmarkEnd w:id="34"/>
      <w:bookmarkEnd w:id="35"/>
    </w:p>
    <w:p>
      <w:pPr>
        <w:rPr>
          <w:rFonts w:ascii="宋体" w:hAnsi="宋体" w:eastAsia="宋体" w:cs="宋体"/>
          <w:color w:val="auto"/>
          <w:sz w:val="24"/>
          <w:szCs w:val="24"/>
        </w:rPr>
      </w:pPr>
      <w:bookmarkStart w:id="36" w:name="_Toc22280"/>
      <w:bookmarkStart w:id="37" w:name="_Toc22071"/>
      <w:r>
        <w:rPr>
          <w:rFonts w:hint="eastAsia" w:ascii="宋体" w:hAnsi="宋体" w:eastAsia="宋体" w:cs="宋体"/>
          <w:color w:val="auto"/>
          <w:sz w:val="24"/>
          <w:szCs w:val="24"/>
        </w:rPr>
        <w:t>填表单位（盖章）：北大荒集团黑龙江共青农场粮贸中心                                                                 填表人（签字）：                                                    项目经办人（签字）：</w:t>
      </w:r>
      <w:bookmarkEnd w:id="36"/>
      <w:bookmarkEnd w:id="37"/>
    </w:p>
    <w:tbl>
      <w:tblPr>
        <w:tblStyle w:val="27"/>
        <w:tblW w:w="16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74"/>
        <w:gridCol w:w="1129"/>
        <w:gridCol w:w="856"/>
        <w:gridCol w:w="710"/>
        <w:gridCol w:w="1418"/>
        <w:gridCol w:w="191"/>
        <w:gridCol w:w="936"/>
        <w:gridCol w:w="860"/>
        <w:gridCol w:w="618"/>
        <w:gridCol w:w="673"/>
        <w:gridCol w:w="1169"/>
        <w:gridCol w:w="1069"/>
        <w:gridCol w:w="1839"/>
        <w:gridCol w:w="1010"/>
        <w:gridCol w:w="725"/>
        <w:gridCol w:w="554"/>
        <w:gridCol w:w="1133"/>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exact"/>
          <w:jc w:val="center"/>
        </w:trPr>
        <w:tc>
          <w:tcPr>
            <w:tcW w:w="440" w:type="dxa"/>
            <w:vMerge w:val="restart"/>
            <w:textDirection w:val="tbRlV"/>
            <w:vAlign w:val="center"/>
          </w:tcPr>
          <w:p>
            <w:pPr>
              <w:spacing w:after="0"/>
              <w:ind w:left="113" w:right="113"/>
              <w:jc w:val="center"/>
              <w:rPr>
                <w:rFonts w:ascii="Times New Roman" w:hAnsi="Times New Roman" w:eastAsia="宋体"/>
                <w:b/>
                <w:color w:val="auto"/>
                <w:sz w:val="15"/>
                <w:szCs w:val="15"/>
              </w:rPr>
            </w:pPr>
            <w:r>
              <w:rPr>
                <w:rFonts w:ascii="Times New Roman" w:hAnsi="Times New Roman" w:eastAsia="宋体"/>
                <w:b/>
                <w:color w:val="auto"/>
                <w:sz w:val="15"/>
                <w:szCs w:val="15"/>
              </w:rPr>
              <w:t>建设项目</w:t>
            </w: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项目名称</w:t>
            </w:r>
          </w:p>
        </w:tc>
        <w:tc>
          <w:tcPr>
            <w:tcW w:w="5406" w:type="dxa"/>
            <w:gridSpan w:val="7"/>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2021年黑龙江省共青农场粮食基地库维修及设备购置建设项目</w:t>
            </w: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项目代码</w:t>
            </w:r>
          </w:p>
        </w:tc>
        <w:tc>
          <w:tcPr>
            <w:tcW w:w="1839" w:type="dxa"/>
            <w:vAlign w:val="center"/>
          </w:tcPr>
          <w:p>
            <w:pPr>
              <w:spacing w:after="0"/>
              <w:jc w:val="center"/>
              <w:rPr>
                <w:rFonts w:ascii="Times New Roman" w:hAnsi="Times New Roman" w:eastAsia="宋体"/>
                <w:b/>
                <w:color w:val="auto"/>
                <w:sz w:val="15"/>
                <w:szCs w:val="15"/>
              </w:rPr>
            </w:pP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建设地点</w:t>
            </w:r>
          </w:p>
        </w:tc>
        <w:tc>
          <w:tcPr>
            <w:tcW w:w="2501"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黑龙江省萝北县共青农场场部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行业类别（分类管理名录）</w:t>
            </w:r>
          </w:p>
        </w:tc>
        <w:tc>
          <w:tcPr>
            <w:tcW w:w="5406" w:type="dxa"/>
            <w:gridSpan w:val="7"/>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A0514农产品初加工活动D4430热力生产和供应</w:t>
            </w:r>
            <w:r>
              <w:rPr>
                <w:rFonts w:hint="eastAsia" w:ascii="Times New Roman" w:hAnsi="Times New Roman" w:eastAsia="宋体"/>
                <w:b/>
                <w:color w:val="auto"/>
                <w:sz w:val="15"/>
                <w:szCs w:val="15"/>
              </w:rPr>
              <w:t>；四十一、电力、热力生产和供应业91、热力生产和供应工程；</w:t>
            </w: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建设性质</w:t>
            </w:r>
          </w:p>
        </w:tc>
        <w:tc>
          <w:tcPr>
            <w:tcW w:w="6075" w:type="dxa"/>
            <w:gridSpan w:val="6"/>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w:t>
            </w:r>
            <w:r>
              <w:rPr>
                <w:rFonts w:ascii="Times New Roman" w:hAnsi="Times New Roman" w:eastAsia="宋体"/>
                <w:b/>
                <w:color w:val="auto"/>
                <w:sz w:val="15"/>
                <w:szCs w:val="15"/>
              </w:rPr>
              <w:t xml:space="preserve">新建  </w:t>
            </w:r>
            <w:r>
              <w:rPr>
                <w:rFonts w:ascii="Times New Roman" w:hAnsi="Times New Roman" w:eastAsia="宋体"/>
                <w:b/>
                <w:color w:val="auto"/>
                <w:sz w:val="15"/>
                <w:szCs w:val="15"/>
              </w:rPr>
              <w:sym w:font="Wingdings 2" w:char="00A3"/>
            </w:r>
            <w:r>
              <w:rPr>
                <w:rFonts w:ascii="Times New Roman" w:hAnsi="Times New Roman" w:eastAsia="宋体"/>
                <w:b/>
                <w:color w:val="auto"/>
                <w:sz w:val="15"/>
                <w:szCs w:val="15"/>
              </w:rPr>
              <w:t>改扩建  □技术改造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设计生产能力</w:t>
            </w:r>
          </w:p>
        </w:tc>
        <w:tc>
          <w:tcPr>
            <w:tcW w:w="5406" w:type="dxa"/>
            <w:gridSpan w:val="7"/>
            <w:vAlign w:val="center"/>
          </w:tcPr>
          <w:p>
            <w:pPr>
              <w:pStyle w:val="85"/>
              <w:spacing w:after="0" w:line="240" w:lineRule="auto"/>
              <w:rPr>
                <w:rFonts w:ascii="Times New Roman" w:hAnsi="Times New Roman" w:eastAsia="宋体"/>
                <w:b/>
                <w:color w:val="auto"/>
                <w:kern w:val="2"/>
                <w:sz w:val="15"/>
                <w:szCs w:val="15"/>
              </w:rPr>
            </w:pPr>
            <w:r>
              <w:rPr>
                <w:rFonts w:ascii="Times New Roman" w:hAnsi="Times New Roman" w:eastAsia="宋体"/>
                <w:b/>
                <w:color w:val="auto"/>
                <w:kern w:val="2"/>
                <w:sz w:val="15"/>
                <w:szCs w:val="15"/>
              </w:rPr>
              <w:t>年烘干玉米30000t</w:t>
            </w:r>
          </w:p>
        </w:tc>
        <w:tc>
          <w:tcPr>
            <w:tcW w:w="2238"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实际生产能力</w:t>
            </w:r>
          </w:p>
        </w:tc>
        <w:tc>
          <w:tcPr>
            <w:tcW w:w="1839" w:type="dxa"/>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年烘干玉米30000t。</w:t>
            </w:r>
          </w:p>
        </w:tc>
        <w:tc>
          <w:tcPr>
            <w:tcW w:w="1735"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环评单位</w:t>
            </w:r>
          </w:p>
        </w:tc>
        <w:tc>
          <w:tcPr>
            <w:tcW w:w="2501" w:type="dxa"/>
            <w:gridSpan w:val="3"/>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哈尔滨国环宏节能环保技术有限责任公司编制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1"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环评文件审批机关</w:t>
            </w:r>
          </w:p>
        </w:tc>
        <w:tc>
          <w:tcPr>
            <w:tcW w:w="5406" w:type="dxa"/>
            <w:gridSpan w:val="7"/>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鹤岗市萝北生态环境局</w:t>
            </w: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审批文号</w:t>
            </w:r>
          </w:p>
        </w:tc>
        <w:tc>
          <w:tcPr>
            <w:tcW w:w="183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萝环审[2023]17号</w:t>
            </w:r>
          </w:p>
        </w:tc>
        <w:tc>
          <w:tcPr>
            <w:tcW w:w="1735"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环评文件类型</w:t>
            </w:r>
          </w:p>
        </w:tc>
        <w:tc>
          <w:tcPr>
            <w:tcW w:w="2501" w:type="dxa"/>
            <w:gridSpan w:val="3"/>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开工日期</w:t>
            </w:r>
          </w:p>
        </w:tc>
        <w:tc>
          <w:tcPr>
            <w:tcW w:w="5406" w:type="dxa"/>
            <w:gridSpan w:val="7"/>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20</w:t>
            </w:r>
            <w:r>
              <w:rPr>
                <w:rFonts w:hint="eastAsia" w:ascii="Times New Roman" w:hAnsi="Times New Roman" w:eastAsia="宋体"/>
                <w:b/>
                <w:color w:val="auto"/>
                <w:kern w:val="2"/>
                <w:sz w:val="15"/>
                <w:szCs w:val="15"/>
              </w:rPr>
              <w:t>03</w:t>
            </w:r>
            <w:r>
              <w:rPr>
                <w:rFonts w:ascii="Times New Roman" w:hAnsi="Times New Roman" w:eastAsia="宋体"/>
                <w:b/>
                <w:color w:val="auto"/>
                <w:kern w:val="2"/>
                <w:sz w:val="15"/>
                <w:szCs w:val="15"/>
              </w:rPr>
              <w:t>年</w:t>
            </w:r>
            <w:r>
              <w:rPr>
                <w:rFonts w:hint="eastAsia" w:ascii="Times New Roman" w:hAnsi="Times New Roman" w:eastAsia="宋体"/>
                <w:b/>
                <w:color w:val="auto"/>
                <w:kern w:val="2"/>
                <w:sz w:val="15"/>
                <w:szCs w:val="15"/>
              </w:rPr>
              <w:t>5</w:t>
            </w:r>
            <w:r>
              <w:rPr>
                <w:rFonts w:ascii="Times New Roman" w:hAnsi="Times New Roman" w:eastAsia="宋体"/>
                <w:b/>
                <w:color w:val="auto"/>
                <w:kern w:val="2"/>
                <w:sz w:val="15"/>
                <w:szCs w:val="15"/>
              </w:rPr>
              <w:t>月</w:t>
            </w:r>
          </w:p>
        </w:tc>
        <w:tc>
          <w:tcPr>
            <w:tcW w:w="2238"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竣工日期</w:t>
            </w:r>
          </w:p>
        </w:tc>
        <w:tc>
          <w:tcPr>
            <w:tcW w:w="1839" w:type="dxa"/>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202</w:t>
            </w:r>
            <w:r>
              <w:rPr>
                <w:rFonts w:hint="eastAsia" w:ascii="Times New Roman" w:hAnsi="Times New Roman" w:eastAsia="宋体"/>
                <w:b/>
                <w:color w:val="auto"/>
                <w:kern w:val="2"/>
                <w:sz w:val="15"/>
                <w:szCs w:val="15"/>
              </w:rPr>
              <w:t>3</w:t>
            </w:r>
            <w:r>
              <w:rPr>
                <w:rFonts w:ascii="Times New Roman" w:hAnsi="Times New Roman" w:eastAsia="宋体"/>
                <w:b/>
                <w:color w:val="auto"/>
                <w:kern w:val="2"/>
                <w:sz w:val="15"/>
                <w:szCs w:val="15"/>
              </w:rPr>
              <w:t>年</w:t>
            </w:r>
            <w:r>
              <w:rPr>
                <w:rFonts w:hint="eastAsia" w:ascii="Times New Roman" w:hAnsi="Times New Roman" w:eastAsia="宋体"/>
                <w:b/>
                <w:color w:val="auto"/>
                <w:kern w:val="2"/>
                <w:sz w:val="15"/>
                <w:szCs w:val="15"/>
              </w:rPr>
              <w:t>5</w:t>
            </w:r>
            <w:r>
              <w:rPr>
                <w:rFonts w:ascii="Times New Roman" w:hAnsi="Times New Roman" w:eastAsia="宋体"/>
                <w:b/>
                <w:color w:val="auto"/>
                <w:kern w:val="2"/>
                <w:sz w:val="15"/>
                <w:szCs w:val="15"/>
              </w:rPr>
              <w:t>月</w:t>
            </w: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排污许可证申领时间</w:t>
            </w:r>
          </w:p>
        </w:tc>
        <w:tc>
          <w:tcPr>
            <w:tcW w:w="2501"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202</w:t>
            </w:r>
            <w:r>
              <w:rPr>
                <w:rFonts w:hint="eastAsia" w:ascii="Times New Roman" w:hAnsi="Times New Roman" w:eastAsia="宋体"/>
                <w:b/>
                <w:color w:val="auto"/>
                <w:sz w:val="15"/>
                <w:szCs w:val="15"/>
              </w:rPr>
              <w:t>4</w:t>
            </w:r>
            <w:r>
              <w:rPr>
                <w:rFonts w:ascii="Times New Roman" w:hAnsi="Times New Roman" w:eastAsia="宋体"/>
                <w:b/>
                <w:color w:val="auto"/>
                <w:sz w:val="15"/>
                <w:szCs w:val="15"/>
              </w:rPr>
              <w:t>年</w:t>
            </w:r>
            <w:r>
              <w:rPr>
                <w:rFonts w:hint="eastAsia" w:ascii="Times New Roman" w:hAnsi="Times New Roman" w:eastAsia="宋体"/>
                <w:b/>
                <w:color w:val="auto"/>
                <w:sz w:val="15"/>
                <w:szCs w:val="15"/>
              </w:rPr>
              <w:t>1</w:t>
            </w:r>
            <w:r>
              <w:rPr>
                <w:rFonts w:ascii="Times New Roman" w:hAnsi="Times New Roman" w:eastAsia="宋体"/>
                <w:b/>
                <w:color w:val="auto"/>
                <w:sz w:val="15"/>
                <w:szCs w:val="15"/>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环保设施设计单位</w:t>
            </w:r>
          </w:p>
        </w:tc>
        <w:tc>
          <w:tcPr>
            <w:tcW w:w="5406" w:type="dxa"/>
            <w:gridSpan w:val="7"/>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w:t>
            </w: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环保设施施工单位</w:t>
            </w:r>
          </w:p>
        </w:tc>
        <w:tc>
          <w:tcPr>
            <w:tcW w:w="1839"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w:t>
            </w: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本工程排污许可证编号</w:t>
            </w:r>
          </w:p>
        </w:tc>
        <w:tc>
          <w:tcPr>
            <w:tcW w:w="2501"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91233001755310090J002U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验收单位</w:t>
            </w:r>
          </w:p>
        </w:tc>
        <w:tc>
          <w:tcPr>
            <w:tcW w:w="5406" w:type="dxa"/>
            <w:gridSpan w:val="7"/>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哈尔滨捷通环境监测有限责任公司</w:t>
            </w: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环保设施监测单位</w:t>
            </w:r>
          </w:p>
        </w:tc>
        <w:tc>
          <w:tcPr>
            <w:tcW w:w="1839"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w:t>
            </w: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验收监测时工况</w:t>
            </w:r>
          </w:p>
        </w:tc>
        <w:tc>
          <w:tcPr>
            <w:tcW w:w="2501"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投资总概算（万元）</w:t>
            </w:r>
          </w:p>
        </w:tc>
        <w:tc>
          <w:tcPr>
            <w:tcW w:w="5406" w:type="dxa"/>
            <w:gridSpan w:val="7"/>
            <w:vAlign w:val="center"/>
          </w:tcPr>
          <w:p>
            <w:pPr>
              <w:pStyle w:val="33"/>
              <w:jc w:val="center"/>
              <w:rPr>
                <w:rFonts w:ascii="Times New Roman" w:hAnsi="Times New Roman" w:cs="Times New Roman"/>
                <w:b/>
                <w:color w:val="auto"/>
                <w:kern w:val="2"/>
                <w:sz w:val="15"/>
                <w:szCs w:val="15"/>
              </w:rPr>
            </w:pPr>
            <w:r>
              <w:rPr>
                <w:rFonts w:hint="eastAsia" w:ascii="Times New Roman" w:hAnsi="Times New Roman" w:cs="Times New Roman"/>
                <w:b/>
                <w:color w:val="auto"/>
                <w:kern w:val="2"/>
                <w:sz w:val="15"/>
                <w:szCs w:val="15"/>
              </w:rPr>
              <w:t>900</w:t>
            </w:r>
          </w:p>
        </w:tc>
        <w:tc>
          <w:tcPr>
            <w:tcW w:w="2238" w:type="dxa"/>
            <w:gridSpan w:val="2"/>
            <w:vAlign w:val="center"/>
          </w:tcPr>
          <w:p>
            <w:pPr>
              <w:pStyle w:val="33"/>
              <w:jc w:val="center"/>
              <w:rPr>
                <w:rFonts w:ascii="Times New Roman" w:hAnsi="Times New Roman" w:cs="Times New Roman"/>
                <w:b/>
                <w:color w:val="auto"/>
                <w:kern w:val="2"/>
                <w:sz w:val="15"/>
                <w:szCs w:val="15"/>
              </w:rPr>
            </w:pPr>
            <w:r>
              <w:rPr>
                <w:rFonts w:ascii="Times New Roman" w:hAnsi="Times New Roman" w:cs="Times New Roman"/>
                <w:b/>
                <w:color w:val="auto"/>
                <w:kern w:val="2"/>
                <w:sz w:val="15"/>
                <w:szCs w:val="15"/>
              </w:rPr>
              <w:t>环保投资总概算（万元）</w:t>
            </w:r>
          </w:p>
        </w:tc>
        <w:tc>
          <w:tcPr>
            <w:tcW w:w="1839" w:type="dxa"/>
            <w:vAlign w:val="center"/>
          </w:tcPr>
          <w:p>
            <w:pPr>
              <w:spacing w:after="0"/>
              <w:jc w:val="center"/>
              <w:rPr>
                <w:rFonts w:ascii="Times New Roman" w:hAnsi="Times New Roman" w:eastAsia="宋体"/>
                <w:b/>
                <w:color w:val="auto"/>
                <w:kern w:val="2"/>
                <w:sz w:val="15"/>
                <w:szCs w:val="15"/>
              </w:rPr>
            </w:pPr>
            <w:r>
              <w:rPr>
                <w:rFonts w:hint="eastAsia" w:ascii="Times New Roman" w:hAnsi="Times New Roman" w:eastAsia="宋体"/>
                <w:b/>
                <w:color w:val="auto"/>
                <w:kern w:val="2"/>
                <w:sz w:val="15"/>
                <w:szCs w:val="15"/>
              </w:rPr>
              <w:t>26</w:t>
            </w:r>
          </w:p>
        </w:tc>
        <w:tc>
          <w:tcPr>
            <w:tcW w:w="1735" w:type="dxa"/>
            <w:gridSpan w:val="2"/>
            <w:vAlign w:val="center"/>
          </w:tcPr>
          <w:p>
            <w:pPr>
              <w:pStyle w:val="33"/>
              <w:jc w:val="center"/>
              <w:rPr>
                <w:rFonts w:ascii="Times New Roman" w:hAnsi="Times New Roman" w:cs="Times New Roman"/>
                <w:b/>
                <w:color w:val="auto"/>
                <w:kern w:val="2"/>
                <w:sz w:val="15"/>
                <w:szCs w:val="15"/>
              </w:rPr>
            </w:pPr>
            <w:r>
              <w:rPr>
                <w:rFonts w:ascii="Times New Roman" w:hAnsi="Times New Roman" w:cs="Times New Roman"/>
                <w:b/>
                <w:color w:val="auto"/>
                <w:kern w:val="2"/>
                <w:sz w:val="15"/>
                <w:szCs w:val="15"/>
              </w:rPr>
              <w:t>所占比例（%）</w:t>
            </w:r>
          </w:p>
        </w:tc>
        <w:tc>
          <w:tcPr>
            <w:tcW w:w="2501" w:type="dxa"/>
            <w:gridSpan w:val="3"/>
            <w:vAlign w:val="center"/>
          </w:tcPr>
          <w:p>
            <w:pPr>
              <w:pStyle w:val="33"/>
              <w:jc w:val="center"/>
              <w:rPr>
                <w:rFonts w:ascii="Times New Roman" w:hAnsi="Times New Roman" w:cs="Times New Roman"/>
                <w:b/>
                <w:color w:val="auto"/>
                <w:kern w:val="2"/>
                <w:sz w:val="15"/>
                <w:szCs w:val="15"/>
              </w:rPr>
            </w:pPr>
            <w:r>
              <w:rPr>
                <w:rFonts w:hint="eastAsia" w:ascii="Times New Roman" w:hAnsi="Times New Roman" w:cs="Times New Roman"/>
                <w:b/>
                <w:color w:val="auto"/>
                <w:kern w:val="2"/>
                <w:sz w:val="15"/>
                <w:szCs w:val="15"/>
              </w:rPr>
              <w:t>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实际总投资</w:t>
            </w:r>
          </w:p>
        </w:tc>
        <w:tc>
          <w:tcPr>
            <w:tcW w:w="5406" w:type="dxa"/>
            <w:gridSpan w:val="7"/>
            <w:vAlign w:val="center"/>
          </w:tcPr>
          <w:p>
            <w:pPr>
              <w:pStyle w:val="33"/>
              <w:jc w:val="center"/>
              <w:rPr>
                <w:rFonts w:ascii="Times New Roman" w:hAnsi="Times New Roman" w:cs="Times New Roman"/>
                <w:b/>
                <w:color w:val="auto"/>
                <w:kern w:val="2"/>
                <w:sz w:val="15"/>
                <w:szCs w:val="15"/>
              </w:rPr>
            </w:pPr>
            <w:r>
              <w:rPr>
                <w:rFonts w:hint="eastAsia" w:ascii="Times New Roman" w:hAnsi="Times New Roman" w:cs="Times New Roman"/>
                <w:b/>
                <w:color w:val="auto"/>
                <w:kern w:val="2"/>
                <w:sz w:val="15"/>
                <w:szCs w:val="15"/>
              </w:rPr>
              <w:t>900</w:t>
            </w:r>
          </w:p>
        </w:tc>
        <w:tc>
          <w:tcPr>
            <w:tcW w:w="2238"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实际环保投资（万元）</w:t>
            </w:r>
          </w:p>
        </w:tc>
        <w:tc>
          <w:tcPr>
            <w:tcW w:w="1839" w:type="dxa"/>
            <w:vAlign w:val="center"/>
          </w:tcPr>
          <w:p>
            <w:pPr>
              <w:spacing w:after="0"/>
              <w:jc w:val="center"/>
              <w:rPr>
                <w:rFonts w:ascii="Times New Roman" w:hAnsi="Times New Roman" w:eastAsia="宋体"/>
                <w:b/>
                <w:color w:val="auto"/>
                <w:kern w:val="2"/>
                <w:sz w:val="15"/>
                <w:szCs w:val="15"/>
              </w:rPr>
            </w:pPr>
            <w:r>
              <w:rPr>
                <w:rFonts w:hint="eastAsia" w:ascii="Times New Roman" w:hAnsi="Times New Roman" w:eastAsia="宋体"/>
                <w:b/>
                <w:color w:val="auto"/>
                <w:kern w:val="2"/>
                <w:sz w:val="15"/>
                <w:szCs w:val="15"/>
              </w:rPr>
              <w:t>26</w:t>
            </w:r>
          </w:p>
        </w:tc>
        <w:tc>
          <w:tcPr>
            <w:tcW w:w="1735" w:type="dxa"/>
            <w:gridSpan w:val="2"/>
            <w:vAlign w:val="center"/>
          </w:tcPr>
          <w:p>
            <w:pPr>
              <w:spacing w:after="0"/>
              <w:jc w:val="center"/>
              <w:rPr>
                <w:rFonts w:ascii="Times New Roman" w:hAnsi="Times New Roman" w:eastAsia="宋体"/>
                <w:b/>
                <w:color w:val="auto"/>
                <w:kern w:val="2"/>
                <w:sz w:val="15"/>
                <w:szCs w:val="15"/>
              </w:rPr>
            </w:pPr>
            <w:r>
              <w:rPr>
                <w:rFonts w:ascii="Times New Roman" w:hAnsi="Times New Roman" w:eastAsia="宋体"/>
                <w:b/>
                <w:color w:val="auto"/>
                <w:kern w:val="2"/>
                <w:sz w:val="15"/>
                <w:szCs w:val="15"/>
              </w:rPr>
              <w:t>所占比例（%）</w:t>
            </w:r>
          </w:p>
        </w:tc>
        <w:tc>
          <w:tcPr>
            <w:tcW w:w="2501" w:type="dxa"/>
            <w:gridSpan w:val="3"/>
            <w:vAlign w:val="center"/>
          </w:tcPr>
          <w:p>
            <w:pPr>
              <w:pStyle w:val="33"/>
              <w:jc w:val="center"/>
              <w:rPr>
                <w:rFonts w:ascii="Times New Roman" w:hAnsi="Times New Roman" w:cs="Times New Roman"/>
                <w:b/>
                <w:color w:val="auto"/>
                <w:kern w:val="2"/>
                <w:sz w:val="15"/>
                <w:szCs w:val="15"/>
              </w:rPr>
            </w:pPr>
            <w:r>
              <w:rPr>
                <w:rFonts w:hint="eastAsia" w:ascii="Times New Roman" w:hAnsi="Times New Roman" w:cs="Times New Roman"/>
                <w:b/>
                <w:color w:val="auto"/>
                <w:kern w:val="2"/>
                <w:sz w:val="15"/>
                <w:szCs w:val="15"/>
              </w:rPr>
              <w:t>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废水治理（万元）</w:t>
            </w:r>
          </w:p>
        </w:tc>
        <w:tc>
          <w:tcPr>
            <w:tcW w:w="710" w:type="dxa"/>
            <w:vAlign w:val="center"/>
          </w:tcPr>
          <w:p>
            <w:pPr>
              <w:spacing w:after="0"/>
              <w:jc w:val="center"/>
              <w:rPr>
                <w:rFonts w:ascii="Times New Roman" w:hAnsi="Times New Roman" w:eastAsia="宋体"/>
                <w:b/>
                <w:color w:val="auto"/>
                <w:sz w:val="15"/>
                <w:szCs w:val="15"/>
              </w:rPr>
            </w:pPr>
          </w:p>
        </w:tc>
        <w:tc>
          <w:tcPr>
            <w:tcW w:w="1609"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废气治理（万元）</w:t>
            </w:r>
          </w:p>
        </w:tc>
        <w:tc>
          <w:tcPr>
            <w:tcW w:w="936" w:type="dxa"/>
            <w:vAlign w:val="center"/>
          </w:tcPr>
          <w:p>
            <w:pPr>
              <w:spacing w:after="0"/>
              <w:jc w:val="center"/>
              <w:rPr>
                <w:rFonts w:ascii="Times New Roman" w:hAnsi="Times New Roman" w:eastAsia="宋体"/>
                <w:b/>
                <w:color w:val="auto"/>
                <w:sz w:val="15"/>
                <w:szCs w:val="15"/>
              </w:rPr>
            </w:pPr>
          </w:p>
        </w:tc>
        <w:tc>
          <w:tcPr>
            <w:tcW w:w="147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噪声治理（万元）</w:t>
            </w:r>
          </w:p>
        </w:tc>
        <w:tc>
          <w:tcPr>
            <w:tcW w:w="673" w:type="dxa"/>
            <w:vAlign w:val="center"/>
          </w:tcPr>
          <w:p>
            <w:pPr>
              <w:spacing w:after="0"/>
              <w:jc w:val="center"/>
              <w:rPr>
                <w:rFonts w:ascii="Times New Roman" w:hAnsi="Times New Roman" w:eastAsia="宋体"/>
                <w:b/>
                <w:color w:val="auto"/>
                <w:sz w:val="15"/>
                <w:szCs w:val="15"/>
              </w:rPr>
            </w:pP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固体废物治理（万元）</w:t>
            </w:r>
          </w:p>
        </w:tc>
        <w:tc>
          <w:tcPr>
            <w:tcW w:w="1839" w:type="dxa"/>
            <w:vAlign w:val="center"/>
          </w:tcPr>
          <w:p>
            <w:pPr>
              <w:spacing w:after="0"/>
              <w:jc w:val="center"/>
              <w:rPr>
                <w:rFonts w:ascii="Times New Roman" w:hAnsi="Times New Roman" w:eastAsia="宋体"/>
                <w:b/>
                <w:color w:val="auto"/>
                <w:sz w:val="15"/>
                <w:szCs w:val="15"/>
              </w:rPr>
            </w:pP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绿化及生态（万元）</w:t>
            </w:r>
          </w:p>
        </w:tc>
        <w:tc>
          <w:tcPr>
            <w:tcW w:w="554" w:type="dxa"/>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其他（万元）</w:t>
            </w: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440" w:type="dxa"/>
            <w:vMerge w:val="continue"/>
            <w:vAlign w:val="center"/>
          </w:tcPr>
          <w:p>
            <w:pPr>
              <w:spacing w:after="0"/>
              <w:jc w:val="center"/>
              <w:rPr>
                <w:rFonts w:ascii="Times New Roman" w:hAnsi="Times New Roman" w:eastAsia="宋体"/>
                <w:b/>
                <w:color w:val="auto"/>
                <w:sz w:val="15"/>
                <w:szCs w:val="15"/>
              </w:rPr>
            </w:pPr>
          </w:p>
        </w:tc>
        <w:tc>
          <w:tcPr>
            <w:tcW w:w="2159"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新增废水处理设施能力</w:t>
            </w:r>
          </w:p>
        </w:tc>
        <w:tc>
          <w:tcPr>
            <w:tcW w:w="5406" w:type="dxa"/>
            <w:gridSpan w:val="7"/>
            <w:vAlign w:val="center"/>
          </w:tcPr>
          <w:p>
            <w:pPr>
              <w:spacing w:after="0"/>
              <w:jc w:val="center"/>
              <w:rPr>
                <w:rFonts w:ascii="Times New Roman" w:hAnsi="Times New Roman" w:eastAsia="宋体"/>
                <w:b/>
                <w:color w:val="auto"/>
                <w:sz w:val="15"/>
                <w:szCs w:val="15"/>
              </w:rPr>
            </w:pPr>
          </w:p>
        </w:tc>
        <w:tc>
          <w:tcPr>
            <w:tcW w:w="2238"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新增废气处理设施能力</w:t>
            </w:r>
          </w:p>
        </w:tc>
        <w:tc>
          <w:tcPr>
            <w:tcW w:w="1839" w:type="dxa"/>
            <w:vAlign w:val="center"/>
          </w:tcPr>
          <w:p>
            <w:pPr>
              <w:spacing w:after="0"/>
              <w:jc w:val="center"/>
              <w:rPr>
                <w:rFonts w:ascii="Times New Roman" w:hAnsi="Times New Roman" w:eastAsia="宋体"/>
                <w:b/>
                <w:color w:val="auto"/>
                <w:sz w:val="15"/>
                <w:szCs w:val="15"/>
              </w:rPr>
            </w:pP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年平均工作时</w:t>
            </w:r>
          </w:p>
        </w:tc>
        <w:tc>
          <w:tcPr>
            <w:tcW w:w="2501" w:type="dxa"/>
            <w:gridSpan w:val="3"/>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1440</w:t>
            </w:r>
            <w:r>
              <w:rPr>
                <w:rFonts w:ascii="Times New Roman" w:hAnsi="Times New Roman" w:eastAsia="宋体"/>
                <w:b/>
                <w:color w:val="auto"/>
                <w:sz w:val="15"/>
                <w:szCs w:val="15"/>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2599" w:type="dxa"/>
            <w:gridSpan w:val="4"/>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运营单位</w:t>
            </w:r>
          </w:p>
        </w:tc>
        <w:tc>
          <w:tcPr>
            <w:tcW w:w="4115" w:type="dxa"/>
            <w:gridSpan w:val="5"/>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北大荒集团黑龙江共青农场粮贸中心</w:t>
            </w:r>
          </w:p>
        </w:tc>
        <w:tc>
          <w:tcPr>
            <w:tcW w:w="3529" w:type="dxa"/>
            <w:gridSpan w:val="4"/>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运营单位社会统一信用代码（或组织机构代码）</w:t>
            </w:r>
          </w:p>
        </w:tc>
        <w:tc>
          <w:tcPr>
            <w:tcW w:w="1839" w:type="dxa"/>
            <w:vAlign w:val="center"/>
          </w:tcPr>
          <w:p>
            <w:pPr>
              <w:spacing w:after="0"/>
              <w:jc w:val="center"/>
              <w:rPr>
                <w:rFonts w:ascii="Times New Roman" w:hAnsi="Times New Roman" w:eastAsia="宋体"/>
                <w:b/>
                <w:color w:val="auto"/>
                <w:sz w:val="15"/>
                <w:szCs w:val="15"/>
              </w:rPr>
            </w:pPr>
          </w:p>
        </w:tc>
        <w:tc>
          <w:tcPr>
            <w:tcW w:w="173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验收时间</w:t>
            </w:r>
          </w:p>
        </w:tc>
        <w:tc>
          <w:tcPr>
            <w:tcW w:w="2501" w:type="dxa"/>
            <w:gridSpan w:val="3"/>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202</w:t>
            </w:r>
            <w:r>
              <w:rPr>
                <w:rFonts w:hint="eastAsia" w:ascii="Times New Roman" w:hAnsi="Times New Roman" w:eastAsia="宋体"/>
                <w:b/>
                <w:color w:val="auto"/>
                <w:sz w:val="15"/>
                <w:szCs w:val="15"/>
              </w:rPr>
              <w:t>4</w:t>
            </w:r>
            <w:r>
              <w:rPr>
                <w:rFonts w:ascii="Times New Roman" w:hAnsi="Times New Roman" w:eastAsia="宋体"/>
                <w:b/>
                <w:color w:val="auto"/>
                <w:sz w:val="15"/>
                <w:szCs w:val="15"/>
              </w:rPr>
              <w:t>.</w:t>
            </w:r>
            <w:r>
              <w:rPr>
                <w:rFonts w:hint="eastAsia" w:ascii="Times New Roman" w:hAnsi="Times New Roman" w:eastAsia="宋体"/>
                <w:b/>
                <w:color w:val="auto"/>
                <w:sz w:val="15"/>
                <w:szCs w:val="15"/>
              </w:rPr>
              <w:t>02.29</w:t>
            </w:r>
            <w:r>
              <w:rPr>
                <w:rFonts w:ascii="Times New Roman" w:hAnsi="Times New Roman" w:eastAsia="宋体"/>
                <w:b/>
                <w:color w:val="auto"/>
                <w:sz w:val="15"/>
                <w:szCs w:val="15"/>
              </w:rPr>
              <w:t>-20</w:t>
            </w:r>
            <w:r>
              <w:rPr>
                <w:rFonts w:hint="eastAsia" w:ascii="Times New Roman" w:hAnsi="Times New Roman" w:eastAsia="宋体"/>
                <w:b/>
                <w:color w:val="auto"/>
                <w:sz w:val="15"/>
                <w:szCs w:val="15"/>
              </w:rPr>
              <w:t>24.03.01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exact"/>
          <w:jc w:val="center"/>
        </w:trPr>
        <w:tc>
          <w:tcPr>
            <w:tcW w:w="614" w:type="dxa"/>
            <w:gridSpan w:val="2"/>
            <w:vMerge w:val="restart"/>
            <w:vAlign w:val="center"/>
          </w:tcPr>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污染</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物排</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放达</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标与</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总量</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控制（工</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业建</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设项</w:t>
            </w:r>
          </w:p>
          <w:p>
            <w:pPr>
              <w:spacing w:after="0"/>
              <w:jc w:val="center"/>
              <w:rPr>
                <w:rFonts w:ascii="Times New Roman" w:hAnsi="Times New Roman" w:eastAsia="宋体"/>
                <w:b/>
                <w:color w:val="auto"/>
                <w:spacing w:val="20"/>
                <w:sz w:val="15"/>
                <w:szCs w:val="15"/>
              </w:rPr>
            </w:pPr>
            <w:r>
              <w:rPr>
                <w:rFonts w:ascii="Times New Roman" w:hAnsi="Times New Roman" w:eastAsia="宋体"/>
                <w:b/>
                <w:color w:val="auto"/>
                <w:spacing w:val="20"/>
                <w:sz w:val="15"/>
                <w:szCs w:val="15"/>
              </w:rPr>
              <w:t>目详填）</w:t>
            </w: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污染物</w:t>
            </w:r>
          </w:p>
        </w:tc>
        <w:tc>
          <w:tcPr>
            <w:tcW w:w="710"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原有排</w:t>
            </w:r>
          </w:p>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放量(1)</w:t>
            </w:r>
          </w:p>
        </w:tc>
        <w:tc>
          <w:tcPr>
            <w:tcW w:w="1418"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本期工程实际排放浓度(2)</w:t>
            </w:r>
          </w:p>
        </w:tc>
        <w:tc>
          <w:tcPr>
            <w:tcW w:w="1127"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本期工程允许排放浓度(3)</w:t>
            </w:r>
          </w:p>
        </w:tc>
        <w:tc>
          <w:tcPr>
            <w:tcW w:w="860"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本期工程产生量(4)</w:t>
            </w:r>
          </w:p>
        </w:tc>
        <w:tc>
          <w:tcPr>
            <w:tcW w:w="1291"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本期工程自身削减量(5)</w:t>
            </w:r>
          </w:p>
        </w:tc>
        <w:tc>
          <w:tcPr>
            <w:tcW w:w="1169"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本期工程实际排放量(6)</w:t>
            </w:r>
          </w:p>
        </w:tc>
        <w:tc>
          <w:tcPr>
            <w:tcW w:w="1069"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本期工程核定排放总量(7)</w:t>
            </w:r>
          </w:p>
        </w:tc>
        <w:tc>
          <w:tcPr>
            <w:tcW w:w="1839"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本期工程“以新带老”削减量(8)</w:t>
            </w:r>
          </w:p>
        </w:tc>
        <w:tc>
          <w:tcPr>
            <w:tcW w:w="1010"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全厂实际排放总量(9)</w:t>
            </w:r>
          </w:p>
        </w:tc>
        <w:tc>
          <w:tcPr>
            <w:tcW w:w="1279"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全厂核定排放总量(10)</w:t>
            </w:r>
          </w:p>
        </w:tc>
        <w:tc>
          <w:tcPr>
            <w:tcW w:w="1133"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区域平衡替代削减量(11)</w:t>
            </w:r>
          </w:p>
        </w:tc>
        <w:tc>
          <w:tcPr>
            <w:tcW w:w="814" w:type="dxa"/>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废水</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化学需氧量</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kern w:val="2"/>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氨氮</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kern w:val="2"/>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石油类</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废气</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颗粒物</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25</w:t>
            </w:r>
          </w:p>
        </w:tc>
        <w:tc>
          <w:tcPr>
            <w:tcW w:w="1127"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200</w:t>
            </w:r>
          </w:p>
        </w:tc>
        <w:tc>
          <w:tcPr>
            <w:tcW w:w="860" w:type="dxa"/>
            <w:vAlign w:val="center"/>
          </w:tcPr>
          <w:p>
            <w:pPr>
              <w:spacing w:after="0"/>
              <w:jc w:val="center"/>
              <w:rPr>
                <w:rFonts w:ascii="Times New Roman" w:hAnsi="Times New Roman" w:eastAsia="宋体"/>
                <w:b/>
                <w:color w:val="auto"/>
                <w:kern w:val="2"/>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0.55t/a</w:t>
            </w:r>
          </w:p>
        </w:tc>
        <w:tc>
          <w:tcPr>
            <w:tcW w:w="10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0.722t/a</w:t>
            </w: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0.55t/a</w:t>
            </w:r>
          </w:p>
        </w:tc>
        <w:tc>
          <w:tcPr>
            <w:tcW w:w="1279"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0.722t/a</w:t>
            </w:r>
          </w:p>
        </w:tc>
        <w:tc>
          <w:tcPr>
            <w:tcW w:w="1133" w:type="dxa"/>
            <w:vAlign w:val="center"/>
          </w:tcPr>
          <w:p>
            <w:pPr>
              <w:spacing w:after="0"/>
              <w:jc w:val="center"/>
              <w:textAlignment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二氧化硫</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hint="default" w:ascii="Times New Roman" w:hAnsi="Times New Roman" w:eastAsia="宋体"/>
                <w:b/>
                <w:color w:val="auto"/>
                <w:sz w:val="15"/>
                <w:szCs w:val="15"/>
                <w:lang w:val="en-US" w:eastAsia="zh-CN"/>
              </w:rPr>
            </w:pPr>
            <w:r>
              <w:rPr>
                <w:rFonts w:hint="eastAsia" w:ascii="Times New Roman" w:hAnsi="Times New Roman" w:eastAsia="宋体"/>
                <w:b/>
                <w:color w:val="auto"/>
                <w:sz w:val="15"/>
                <w:szCs w:val="15"/>
                <w:lang w:val="en-US" w:eastAsia="zh-CN"/>
              </w:rPr>
              <w:t>64.5</w:t>
            </w:r>
          </w:p>
        </w:tc>
        <w:tc>
          <w:tcPr>
            <w:tcW w:w="1127"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850</w:t>
            </w:r>
          </w:p>
        </w:tc>
        <w:tc>
          <w:tcPr>
            <w:tcW w:w="860" w:type="dxa"/>
            <w:vAlign w:val="center"/>
          </w:tcPr>
          <w:p>
            <w:pPr>
              <w:spacing w:after="0"/>
              <w:jc w:val="center"/>
              <w:rPr>
                <w:rFonts w:ascii="Times New Roman" w:hAnsi="Times New Roman" w:eastAsia="宋体"/>
                <w:b/>
                <w:color w:val="auto"/>
                <w:kern w:val="2"/>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lang w:val="en-US" w:eastAsia="zh-CN"/>
              </w:rPr>
              <w:t>1.44</w:t>
            </w:r>
            <w:r>
              <w:rPr>
                <w:rFonts w:hint="eastAsia" w:ascii="Times New Roman" w:hAnsi="Times New Roman" w:eastAsia="宋体"/>
                <w:b/>
                <w:color w:val="auto"/>
                <w:sz w:val="15"/>
                <w:szCs w:val="15"/>
              </w:rPr>
              <w:t>t/a</w:t>
            </w:r>
          </w:p>
        </w:tc>
        <w:tc>
          <w:tcPr>
            <w:tcW w:w="10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1.705t/a</w:t>
            </w: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lang w:val="en-US" w:eastAsia="zh-CN"/>
              </w:rPr>
              <w:t>1.44</w:t>
            </w:r>
            <w:r>
              <w:rPr>
                <w:rFonts w:hint="eastAsia" w:ascii="Times New Roman" w:hAnsi="Times New Roman" w:eastAsia="宋体"/>
                <w:b/>
                <w:color w:val="auto"/>
                <w:sz w:val="15"/>
                <w:szCs w:val="15"/>
              </w:rPr>
              <w:t>t/a</w:t>
            </w:r>
          </w:p>
        </w:tc>
        <w:tc>
          <w:tcPr>
            <w:tcW w:w="1279"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1.705t/a</w:t>
            </w:r>
          </w:p>
        </w:tc>
        <w:tc>
          <w:tcPr>
            <w:tcW w:w="1133" w:type="dxa"/>
            <w:vAlign w:val="center"/>
          </w:tcPr>
          <w:p>
            <w:pPr>
              <w:spacing w:after="0"/>
              <w:jc w:val="center"/>
              <w:textAlignment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氮氧化物</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hint="default" w:ascii="Times New Roman" w:hAnsi="Times New Roman" w:eastAsia="宋体"/>
                <w:b/>
                <w:color w:val="auto"/>
                <w:sz w:val="15"/>
                <w:szCs w:val="15"/>
                <w:lang w:val="en-US" w:eastAsia="zh-CN"/>
              </w:rPr>
            </w:pPr>
            <w:r>
              <w:rPr>
                <w:rFonts w:hint="eastAsia" w:ascii="Times New Roman" w:hAnsi="Times New Roman" w:eastAsia="宋体"/>
                <w:b/>
                <w:color w:val="auto"/>
                <w:sz w:val="15"/>
                <w:szCs w:val="15"/>
                <w:lang w:val="en-US" w:eastAsia="zh-CN"/>
              </w:rPr>
              <w:t>68.2</w:t>
            </w: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kern w:val="2"/>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lang w:val="en-US" w:eastAsia="zh-CN"/>
              </w:rPr>
              <w:t>1.51</w:t>
            </w:r>
            <w:r>
              <w:rPr>
                <w:rFonts w:hint="eastAsia" w:ascii="Times New Roman" w:hAnsi="Times New Roman" w:eastAsia="宋体"/>
                <w:b/>
                <w:color w:val="auto"/>
                <w:sz w:val="15"/>
                <w:szCs w:val="15"/>
              </w:rPr>
              <w:t>t/a</w:t>
            </w:r>
          </w:p>
        </w:tc>
        <w:tc>
          <w:tcPr>
            <w:tcW w:w="1069"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3.45t/a</w:t>
            </w: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lang w:val="en-US" w:eastAsia="zh-CN"/>
              </w:rPr>
              <w:t>1.51</w:t>
            </w:r>
            <w:r>
              <w:rPr>
                <w:rFonts w:hint="eastAsia" w:ascii="Times New Roman" w:hAnsi="Times New Roman" w:eastAsia="宋体"/>
                <w:b/>
                <w:color w:val="auto"/>
                <w:sz w:val="15"/>
                <w:szCs w:val="15"/>
              </w:rPr>
              <w:t>t/a</w:t>
            </w:r>
          </w:p>
        </w:tc>
        <w:tc>
          <w:tcPr>
            <w:tcW w:w="1279" w:type="dxa"/>
            <w:gridSpan w:val="2"/>
            <w:vAlign w:val="center"/>
          </w:tcPr>
          <w:p>
            <w:pPr>
              <w:spacing w:after="0"/>
              <w:jc w:val="center"/>
              <w:rPr>
                <w:rFonts w:ascii="Times New Roman" w:hAnsi="Times New Roman" w:eastAsia="宋体"/>
                <w:b/>
                <w:color w:val="auto"/>
                <w:sz w:val="15"/>
                <w:szCs w:val="15"/>
              </w:rPr>
            </w:pPr>
            <w:r>
              <w:rPr>
                <w:rFonts w:hint="eastAsia" w:ascii="Times New Roman" w:hAnsi="Times New Roman" w:eastAsia="宋体"/>
                <w:b/>
                <w:color w:val="auto"/>
                <w:sz w:val="15"/>
                <w:szCs w:val="15"/>
              </w:rPr>
              <w:t>3.45t/a</w:t>
            </w: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985" w:type="dxa"/>
            <w:gridSpan w:val="2"/>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工业固体废物</w:t>
            </w: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129" w:type="dxa"/>
            <w:vMerge w:val="restart"/>
            <w:vAlign w:val="center"/>
          </w:tcPr>
          <w:p>
            <w:pPr>
              <w:spacing w:after="0"/>
              <w:jc w:val="center"/>
              <w:rPr>
                <w:rFonts w:ascii="Times New Roman" w:hAnsi="Times New Roman" w:eastAsia="宋体"/>
                <w:b/>
                <w:color w:val="auto"/>
                <w:sz w:val="15"/>
                <w:szCs w:val="15"/>
              </w:rPr>
            </w:pPr>
            <w:r>
              <w:rPr>
                <w:rFonts w:ascii="Times New Roman" w:hAnsi="Times New Roman" w:eastAsia="宋体"/>
                <w:b/>
                <w:color w:val="auto"/>
                <w:sz w:val="15"/>
                <w:szCs w:val="15"/>
              </w:rPr>
              <w:t>与项目有关的其他特征污染物</w:t>
            </w:r>
          </w:p>
        </w:tc>
        <w:tc>
          <w:tcPr>
            <w:tcW w:w="856" w:type="dxa"/>
            <w:vAlign w:val="center"/>
          </w:tcPr>
          <w:p>
            <w:pPr>
              <w:spacing w:after="0"/>
              <w:jc w:val="center"/>
              <w:rPr>
                <w:rFonts w:ascii="Times New Roman" w:hAnsi="Times New Roman" w:eastAsia="宋体"/>
                <w:b/>
                <w:color w:val="auto"/>
                <w:sz w:val="15"/>
                <w:szCs w:val="15"/>
              </w:rPr>
            </w:pP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129" w:type="dxa"/>
            <w:vMerge w:val="continue"/>
            <w:vAlign w:val="center"/>
          </w:tcPr>
          <w:p>
            <w:pPr>
              <w:spacing w:after="0"/>
              <w:jc w:val="center"/>
              <w:rPr>
                <w:rFonts w:ascii="Times New Roman" w:hAnsi="Times New Roman" w:eastAsia="宋体"/>
                <w:b/>
                <w:color w:val="auto"/>
                <w:sz w:val="15"/>
                <w:szCs w:val="15"/>
              </w:rPr>
            </w:pPr>
          </w:p>
        </w:tc>
        <w:tc>
          <w:tcPr>
            <w:tcW w:w="856" w:type="dxa"/>
            <w:vAlign w:val="center"/>
          </w:tcPr>
          <w:p>
            <w:pPr>
              <w:spacing w:after="0"/>
              <w:jc w:val="center"/>
              <w:rPr>
                <w:rFonts w:ascii="Times New Roman" w:hAnsi="Times New Roman" w:eastAsia="宋体"/>
                <w:b/>
                <w:color w:val="auto"/>
                <w:sz w:val="15"/>
                <w:szCs w:val="15"/>
              </w:rPr>
            </w:pP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exact"/>
          <w:jc w:val="center"/>
        </w:trPr>
        <w:tc>
          <w:tcPr>
            <w:tcW w:w="614" w:type="dxa"/>
            <w:gridSpan w:val="2"/>
            <w:vMerge w:val="continue"/>
            <w:vAlign w:val="center"/>
          </w:tcPr>
          <w:p>
            <w:pPr>
              <w:spacing w:after="0"/>
              <w:jc w:val="center"/>
              <w:rPr>
                <w:rFonts w:ascii="Times New Roman" w:hAnsi="Times New Roman" w:eastAsia="宋体"/>
                <w:b/>
                <w:color w:val="auto"/>
                <w:sz w:val="15"/>
                <w:szCs w:val="15"/>
              </w:rPr>
            </w:pPr>
          </w:p>
        </w:tc>
        <w:tc>
          <w:tcPr>
            <w:tcW w:w="1129" w:type="dxa"/>
            <w:vMerge w:val="continue"/>
            <w:vAlign w:val="center"/>
          </w:tcPr>
          <w:p>
            <w:pPr>
              <w:spacing w:after="0"/>
              <w:jc w:val="center"/>
              <w:rPr>
                <w:rFonts w:ascii="Times New Roman" w:hAnsi="Times New Roman" w:eastAsia="宋体"/>
                <w:b/>
                <w:color w:val="auto"/>
                <w:sz w:val="15"/>
                <w:szCs w:val="15"/>
              </w:rPr>
            </w:pPr>
          </w:p>
        </w:tc>
        <w:tc>
          <w:tcPr>
            <w:tcW w:w="856" w:type="dxa"/>
            <w:vAlign w:val="center"/>
          </w:tcPr>
          <w:p>
            <w:pPr>
              <w:spacing w:after="0"/>
              <w:jc w:val="center"/>
              <w:rPr>
                <w:rFonts w:ascii="Times New Roman" w:hAnsi="Times New Roman" w:eastAsia="宋体"/>
                <w:b/>
                <w:color w:val="auto"/>
                <w:sz w:val="15"/>
                <w:szCs w:val="15"/>
              </w:rPr>
            </w:pPr>
          </w:p>
        </w:tc>
        <w:tc>
          <w:tcPr>
            <w:tcW w:w="710" w:type="dxa"/>
            <w:vAlign w:val="center"/>
          </w:tcPr>
          <w:p>
            <w:pPr>
              <w:spacing w:after="0"/>
              <w:jc w:val="center"/>
              <w:rPr>
                <w:rFonts w:ascii="Times New Roman" w:hAnsi="Times New Roman" w:eastAsia="宋体"/>
                <w:b/>
                <w:color w:val="auto"/>
                <w:sz w:val="15"/>
                <w:szCs w:val="15"/>
              </w:rPr>
            </w:pPr>
          </w:p>
        </w:tc>
        <w:tc>
          <w:tcPr>
            <w:tcW w:w="1418" w:type="dxa"/>
            <w:vAlign w:val="center"/>
          </w:tcPr>
          <w:p>
            <w:pPr>
              <w:spacing w:after="0"/>
              <w:jc w:val="center"/>
              <w:rPr>
                <w:rFonts w:ascii="Times New Roman" w:hAnsi="Times New Roman" w:eastAsia="宋体"/>
                <w:b/>
                <w:color w:val="auto"/>
                <w:sz w:val="15"/>
                <w:szCs w:val="15"/>
              </w:rPr>
            </w:pPr>
          </w:p>
        </w:tc>
        <w:tc>
          <w:tcPr>
            <w:tcW w:w="1127" w:type="dxa"/>
            <w:gridSpan w:val="2"/>
            <w:vAlign w:val="center"/>
          </w:tcPr>
          <w:p>
            <w:pPr>
              <w:spacing w:after="0"/>
              <w:jc w:val="center"/>
              <w:rPr>
                <w:rFonts w:ascii="Times New Roman" w:hAnsi="Times New Roman" w:eastAsia="宋体"/>
                <w:b/>
                <w:color w:val="auto"/>
                <w:sz w:val="15"/>
                <w:szCs w:val="15"/>
              </w:rPr>
            </w:pPr>
          </w:p>
        </w:tc>
        <w:tc>
          <w:tcPr>
            <w:tcW w:w="860" w:type="dxa"/>
            <w:vAlign w:val="center"/>
          </w:tcPr>
          <w:p>
            <w:pPr>
              <w:spacing w:after="0"/>
              <w:jc w:val="center"/>
              <w:rPr>
                <w:rFonts w:ascii="Times New Roman" w:hAnsi="Times New Roman" w:eastAsia="宋体"/>
                <w:b/>
                <w:color w:val="auto"/>
                <w:sz w:val="15"/>
                <w:szCs w:val="15"/>
              </w:rPr>
            </w:pPr>
          </w:p>
        </w:tc>
        <w:tc>
          <w:tcPr>
            <w:tcW w:w="1291" w:type="dxa"/>
            <w:gridSpan w:val="2"/>
            <w:vAlign w:val="center"/>
          </w:tcPr>
          <w:p>
            <w:pPr>
              <w:spacing w:after="0"/>
              <w:jc w:val="center"/>
              <w:rPr>
                <w:rFonts w:ascii="Times New Roman" w:hAnsi="Times New Roman" w:eastAsia="宋体"/>
                <w:b/>
                <w:color w:val="auto"/>
                <w:sz w:val="15"/>
                <w:szCs w:val="15"/>
              </w:rPr>
            </w:pPr>
          </w:p>
        </w:tc>
        <w:tc>
          <w:tcPr>
            <w:tcW w:w="1169" w:type="dxa"/>
            <w:vAlign w:val="center"/>
          </w:tcPr>
          <w:p>
            <w:pPr>
              <w:spacing w:after="0"/>
              <w:jc w:val="center"/>
              <w:rPr>
                <w:rFonts w:ascii="Times New Roman" w:hAnsi="Times New Roman" w:eastAsia="宋体"/>
                <w:b/>
                <w:color w:val="auto"/>
                <w:sz w:val="15"/>
                <w:szCs w:val="15"/>
              </w:rPr>
            </w:pPr>
          </w:p>
        </w:tc>
        <w:tc>
          <w:tcPr>
            <w:tcW w:w="1069" w:type="dxa"/>
            <w:vAlign w:val="center"/>
          </w:tcPr>
          <w:p>
            <w:pPr>
              <w:spacing w:after="0"/>
              <w:jc w:val="center"/>
              <w:rPr>
                <w:rFonts w:ascii="Times New Roman" w:hAnsi="Times New Roman" w:eastAsia="宋体"/>
                <w:b/>
                <w:color w:val="auto"/>
                <w:sz w:val="15"/>
                <w:szCs w:val="15"/>
              </w:rPr>
            </w:pPr>
          </w:p>
        </w:tc>
        <w:tc>
          <w:tcPr>
            <w:tcW w:w="1839" w:type="dxa"/>
            <w:vAlign w:val="center"/>
          </w:tcPr>
          <w:p>
            <w:pPr>
              <w:spacing w:after="0"/>
              <w:jc w:val="center"/>
              <w:rPr>
                <w:rFonts w:ascii="Times New Roman" w:hAnsi="Times New Roman" w:eastAsia="宋体"/>
                <w:b/>
                <w:color w:val="auto"/>
                <w:sz w:val="15"/>
                <w:szCs w:val="15"/>
              </w:rPr>
            </w:pPr>
          </w:p>
        </w:tc>
        <w:tc>
          <w:tcPr>
            <w:tcW w:w="1010" w:type="dxa"/>
            <w:vAlign w:val="center"/>
          </w:tcPr>
          <w:p>
            <w:pPr>
              <w:spacing w:after="0"/>
              <w:jc w:val="center"/>
              <w:rPr>
                <w:rFonts w:ascii="Times New Roman" w:hAnsi="Times New Roman" w:eastAsia="宋体"/>
                <w:b/>
                <w:color w:val="auto"/>
                <w:sz w:val="15"/>
                <w:szCs w:val="15"/>
              </w:rPr>
            </w:pPr>
          </w:p>
        </w:tc>
        <w:tc>
          <w:tcPr>
            <w:tcW w:w="1279" w:type="dxa"/>
            <w:gridSpan w:val="2"/>
            <w:vAlign w:val="center"/>
          </w:tcPr>
          <w:p>
            <w:pPr>
              <w:spacing w:after="0"/>
              <w:jc w:val="center"/>
              <w:rPr>
                <w:rFonts w:ascii="Times New Roman" w:hAnsi="Times New Roman" w:eastAsia="宋体"/>
                <w:b/>
                <w:color w:val="auto"/>
                <w:sz w:val="15"/>
                <w:szCs w:val="15"/>
              </w:rPr>
            </w:pPr>
          </w:p>
        </w:tc>
        <w:tc>
          <w:tcPr>
            <w:tcW w:w="1133" w:type="dxa"/>
            <w:vAlign w:val="center"/>
          </w:tcPr>
          <w:p>
            <w:pPr>
              <w:spacing w:after="0"/>
              <w:jc w:val="center"/>
              <w:rPr>
                <w:rFonts w:ascii="Times New Roman" w:hAnsi="Times New Roman" w:eastAsia="宋体"/>
                <w:b/>
                <w:color w:val="auto"/>
                <w:sz w:val="15"/>
                <w:szCs w:val="15"/>
              </w:rPr>
            </w:pPr>
          </w:p>
        </w:tc>
        <w:tc>
          <w:tcPr>
            <w:tcW w:w="814" w:type="dxa"/>
            <w:vAlign w:val="center"/>
          </w:tcPr>
          <w:p>
            <w:pPr>
              <w:spacing w:after="0"/>
              <w:jc w:val="center"/>
              <w:rPr>
                <w:rFonts w:ascii="Times New Roman" w:hAnsi="Times New Roman" w:eastAsia="宋体"/>
                <w:b/>
                <w:color w:val="auto"/>
                <w:sz w:val="15"/>
                <w:szCs w:val="15"/>
              </w:rPr>
            </w:pPr>
          </w:p>
        </w:tc>
      </w:tr>
    </w:tbl>
    <w:p>
      <w:pPr>
        <w:rPr>
          <w:rFonts w:ascii="Times New Roman" w:hAnsi="Times New Roman" w:eastAsia="宋体"/>
          <w:b/>
          <w:bCs/>
          <w:color w:val="auto"/>
          <w:sz w:val="24"/>
        </w:rPr>
        <w:sectPr>
          <w:footerReference r:id="rId10" w:type="default"/>
          <w:pgSz w:w="16840" w:h="11907" w:orient="landscape"/>
          <w:pgMar w:top="1440" w:right="1080" w:bottom="1440" w:left="1080" w:header="284" w:footer="851" w:gutter="0"/>
          <w:cols w:space="720" w:num="1"/>
          <w:docGrid w:linePitch="285" w:charSpace="0"/>
        </w:sectPr>
      </w:pPr>
      <w:r>
        <w:rPr>
          <w:rFonts w:ascii="Times New Roman" w:hAnsi="Times New Roman" w:eastAsia="宋体"/>
          <w:b/>
          <w:color w:val="auto"/>
          <w:sz w:val="15"/>
          <w:szCs w:val="15"/>
        </w:rPr>
        <w:t>注</w:t>
      </w:r>
      <w:r>
        <w:rPr>
          <w:rFonts w:ascii="Times New Roman" w:hAnsi="Times New Roman" w:eastAsia="宋体"/>
          <w:color w:val="auto"/>
          <w:sz w:val="15"/>
          <w:szCs w:val="15"/>
        </w:rPr>
        <w:t>：1、</w:t>
      </w:r>
      <w:r>
        <w:rPr>
          <w:rFonts w:ascii="Times New Roman" w:hAnsi="Times New Roman" w:eastAsia="宋体"/>
          <w:color w:val="auto"/>
          <w:spacing w:val="-4"/>
          <w:sz w:val="15"/>
          <w:szCs w:val="15"/>
        </w:rPr>
        <w:t>排放增减量：（+）表示增加，（-）表示减少。2、(12)=(6)-(8)-(11)，（9）= (4)-(5)-(8)- (11) +（1）。3、计量单位：废水排放量——万吨/年；废气排放量——万标立方米/年；工业固体废物排放</w:t>
      </w:r>
      <w:r>
        <w:rPr>
          <w:rFonts w:ascii="Times New Roman" w:hAnsi="Times New Roman" w:eastAsia="宋体"/>
          <w:color w:val="auto"/>
          <w:sz w:val="15"/>
          <w:szCs w:val="15"/>
        </w:rPr>
        <w:t>量——万吨/年；水污染物排放浓度——毫克/升</w:t>
      </w:r>
    </w:p>
    <w:p>
      <w:pPr>
        <w:pStyle w:val="60"/>
        <w:ind w:firstLine="562"/>
        <w:outlineLvl w:val="0"/>
        <w:rPr>
          <w:b/>
          <w:color w:val="auto"/>
          <w:sz w:val="28"/>
          <w:szCs w:val="28"/>
        </w:rPr>
      </w:pPr>
      <w:bookmarkStart w:id="38" w:name="_Toc29479"/>
      <w:r>
        <w:rPr>
          <w:b/>
          <w:color w:val="auto"/>
          <w:sz w:val="28"/>
          <w:szCs w:val="28"/>
        </w:rPr>
        <w:t>附图1：项目地理位置图</w:t>
      </w:r>
      <w:bookmarkEnd w:id="38"/>
    </w:p>
    <w:p>
      <w:pPr>
        <w:pStyle w:val="60"/>
        <w:ind w:firstLine="400"/>
        <w:jc w:val="center"/>
        <w:rPr>
          <w:color w:val="auto"/>
        </w:rPr>
      </w:pPr>
      <w:r>
        <w:rPr>
          <w:rFonts w:hint="eastAsia"/>
          <w:color w:val="auto"/>
        </w:rPr>
        <w:drawing>
          <wp:inline distT="0" distB="0" distL="114300" distR="114300">
            <wp:extent cx="6114415" cy="4354830"/>
            <wp:effectExtent l="0" t="0" r="12065" b="3810"/>
            <wp:docPr id="1" name="图片 1" descr="d5f73ccf8299aeb9de9af691c36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5f73ccf8299aeb9de9af691c366398"/>
                    <pic:cNvPicPr>
                      <a:picLocks noChangeAspect="1"/>
                    </pic:cNvPicPr>
                  </pic:nvPicPr>
                  <pic:blipFill>
                    <a:blip r:embed="rId18"/>
                    <a:stretch>
                      <a:fillRect/>
                    </a:stretch>
                  </pic:blipFill>
                  <pic:spPr>
                    <a:xfrm>
                      <a:off x="0" y="0"/>
                      <a:ext cx="6114415" cy="4354830"/>
                    </a:xfrm>
                    <a:prstGeom prst="rect">
                      <a:avLst/>
                    </a:prstGeom>
                  </pic:spPr>
                </pic:pic>
              </a:graphicData>
            </a:graphic>
          </wp:inline>
        </w:drawing>
      </w:r>
    </w:p>
    <w:p>
      <w:pPr>
        <w:rPr>
          <w:rFonts w:ascii="Times New Roman" w:hAnsi="Times New Roman"/>
          <w:b/>
          <w:color w:val="auto"/>
          <w:sz w:val="28"/>
          <w:szCs w:val="28"/>
        </w:rPr>
        <w:sectPr>
          <w:pgSz w:w="16838" w:h="11906" w:orient="landscape"/>
          <w:pgMar w:top="1440" w:right="1080" w:bottom="1440" w:left="1080" w:header="624" w:footer="595" w:gutter="0"/>
          <w:cols w:space="720" w:num="1"/>
          <w:docGrid w:type="lines" w:linePitch="313" w:charSpace="0"/>
        </w:sectPr>
      </w:pPr>
    </w:p>
    <w:p>
      <w:pPr>
        <w:outlineLvl w:val="0"/>
        <w:rPr>
          <w:rFonts w:ascii="Times New Roman" w:hAnsi="Times New Roman" w:eastAsia="宋体"/>
          <w:b/>
          <w:color w:val="auto"/>
          <w:sz w:val="28"/>
          <w:szCs w:val="28"/>
        </w:rPr>
      </w:pPr>
      <w:bookmarkStart w:id="39" w:name="_Toc19797"/>
      <w:r>
        <w:rPr>
          <w:rFonts w:ascii="Times New Roman" w:hAnsi="Times New Roman" w:eastAsia="宋体"/>
          <w:b/>
          <w:color w:val="auto"/>
          <w:sz w:val="28"/>
          <w:szCs w:val="28"/>
        </w:rPr>
        <w:t>附图2：总平面布置图</w:t>
      </w:r>
      <w:bookmarkEnd w:id="39"/>
    </w:p>
    <w:p>
      <w:pPr>
        <w:jc w:val="center"/>
        <w:rPr>
          <w:color w:val="auto"/>
        </w:rPr>
        <w:sectPr>
          <w:pgSz w:w="16838" w:h="11906" w:orient="landscape"/>
          <w:pgMar w:top="1080" w:right="1440" w:bottom="1080" w:left="1440" w:header="624" w:footer="595" w:gutter="0"/>
          <w:cols w:space="720" w:num="1"/>
          <w:docGrid w:type="lines" w:linePitch="312" w:charSpace="0"/>
        </w:sectPr>
      </w:pPr>
      <w:r>
        <w:rPr>
          <w:color w:val="auto"/>
        </w:rPr>
        <w:drawing>
          <wp:inline distT="0" distB="0" distL="114300" distR="114300">
            <wp:extent cx="6118225" cy="4376420"/>
            <wp:effectExtent l="0" t="0" r="8255" b="12700"/>
            <wp:docPr id="27" name="图片 27" descr="a5a7df439645559fa095aeffdaa8e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a5a7df439645559fa095aeffdaa8e09"/>
                    <pic:cNvPicPr>
                      <a:picLocks noChangeAspect="1"/>
                    </pic:cNvPicPr>
                  </pic:nvPicPr>
                  <pic:blipFill>
                    <a:blip r:embed="rId19"/>
                    <a:stretch>
                      <a:fillRect/>
                    </a:stretch>
                  </pic:blipFill>
                  <pic:spPr>
                    <a:xfrm>
                      <a:off x="0" y="0"/>
                      <a:ext cx="6118225" cy="4376420"/>
                    </a:xfrm>
                    <a:prstGeom prst="rect">
                      <a:avLst/>
                    </a:prstGeom>
                  </pic:spPr>
                </pic:pic>
              </a:graphicData>
            </a:graphic>
          </wp:inline>
        </w:drawing>
      </w:r>
      <w:r>
        <w:rPr>
          <w:rFonts w:ascii="Times New Roman" w:hAnsi="Times New Roman"/>
          <w:color w:val="auto"/>
        </w:rPr>
        <mc:AlternateContent>
          <mc:Choice Requires="wps">
            <w:drawing>
              <wp:anchor distT="0" distB="0" distL="114300" distR="114300" simplePos="0" relativeHeight="251659264" behindDoc="0" locked="0" layoutInCell="1" allowOverlap="1">
                <wp:simplePos x="0" y="0"/>
                <wp:positionH relativeFrom="column">
                  <wp:posOffset>4610735</wp:posOffset>
                </wp:positionH>
                <wp:positionV relativeFrom="paragraph">
                  <wp:posOffset>1122045</wp:posOffset>
                </wp:positionV>
                <wp:extent cx="222250" cy="97155"/>
                <wp:effectExtent l="0" t="0" r="6350" b="9525"/>
                <wp:wrapNone/>
                <wp:docPr id="73" name="矩形 73"/>
                <wp:cNvGraphicFramePr/>
                <a:graphic xmlns:a="http://schemas.openxmlformats.org/drawingml/2006/main">
                  <a:graphicData uri="http://schemas.microsoft.com/office/word/2010/wordprocessingShape">
                    <wps:wsp>
                      <wps:cNvSpPr/>
                      <wps:spPr>
                        <a:xfrm>
                          <a:off x="0" y="0"/>
                          <a:ext cx="222250" cy="971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3.05pt;margin-top:88.35pt;height:7.65pt;width:17.5pt;z-index:251659264;v-text-anchor:middle;mso-width-relative:page;mso-height-relative:page;" fillcolor="#FFFFFF [3212]" filled="t" stroked="f" coordsize="21600,21600" o:gfxdata="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wHmH+1QAA&#10;AAsBAAAPAAAAAAAAAAEAIAAAACIAAABkcnMvZG93bnJldi54bWxQSwECFAAUAAAACACHTuJAENBZ&#10;RFoCAAC0BAAADgAAAAAAAAABACAAAAAkAQAAZHJzL2Uyb0RvYy54bWxQSwUGAAAAAAYABgBZAQAA&#10;8AUAAAAA&#10;">
                <v:fill on="t" focussize="0,0"/>
                <v:stroke on="f" weight="2pt"/>
                <v:imagedata o:title=""/>
                <o:lock v:ext="edit" aspectratio="f"/>
              </v:rect>
            </w:pict>
          </mc:Fallback>
        </mc:AlternateContent>
      </w:r>
      <w:r>
        <w:rPr>
          <w:color w:val="auto"/>
        </w:rPr>
        <mc:AlternateContent>
          <mc:Choice Requires="wps">
            <w:drawing>
              <wp:anchor distT="0" distB="0" distL="114300" distR="114300" simplePos="0" relativeHeight="251668480" behindDoc="0" locked="0" layoutInCell="1" allowOverlap="1">
                <wp:simplePos x="0" y="0"/>
                <wp:positionH relativeFrom="column">
                  <wp:posOffset>2986405</wp:posOffset>
                </wp:positionH>
                <wp:positionV relativeFrom="paragraph">
                  <wp:posOffset>2437130</wp:posOffset>
                </wp:positionV>
                <wp:extent cx="595630" cy="817880"/>
                <wp:effectExtent l="0" t="0" r="0" b="0"/>
                <wp:wrapNone/>
                <wp:docPr id="50" name="任意多边形 50"/>
                <wp:cNvGraphicFramePr/>
                <a:graphic xmlns:a="http://schemas.openxmlformats.org/drawingml/2006/main">
                  <a:graphicData uri="http://schemas.microsoft.com/office/word/2010/wordprocessingShape">
                    <wps:wsp>
                      <wps:cNvSpPr/>
                      <wps:spPr>
                        <a:xfrm>
                          <a:off x="0" y="0"/>
                          <a:ext cx="595630" cy="817880"/>
                        </a:xfrm>
                        <a:custGeom>
                          <a:avLst/>
                          <a:gdLst/>
                          <a:ahLst/>
                          <a:cxnLst/>
                          <a:rect l="0" t="0" r="0" b="0"/>
                          <a:pathLst>
                            <a:path w="938" h="1288">
                              <a:moveTo>
                                <a:pt x="0" y="138"/>
                              </a:moveTo>
                              <a:lnTo>
                                <a:pt x="738" y="0"/>
                              </a:lnTo>
                              <a:lnTo>
                                <a:pt x="938" y="1163"/>
                              </a:lnTo>
                              <a:lnTo>
                                <a:pt x="138" y="1288"/>
                              </a:lnTo>
                              <a:lnTo>
                                <a:pt x="0" y="138"/>
                              </a:lnTo>
                              <a:close/>
                            </a:path>
                          </a:pathLst>
                        </a:custGeom>
                        <a:noFill/>
                        <a:ln>
                          <a:noFill/>
                        </a:ln>
                      </wps:spPr>
                      <wps:bodyPr upright="1"/>
                    </wps:wsp>
                  </a:graphicData>
                </a:graphic>
              </wp:anchor>
            </w:drawing>
          </mc:Choice>
          <mc:Fallback>
            <w:pict>
              <v:shape id="_x0000_s1026" o:spid="_x0000_s1026" o:spt="100" style="position:absolute;left:0pt;margin-left:235.15pt;margin-top:191.9pt;height:64.4pt;width:46.9pt;z-index:251668480;mso-width-relative:page;mso-height-relative:page;" filled="f" stroked="f" coordsize="938,1288" o:gfxdata="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JbbDP2QAAAAsBAAAP&#10;AAAAAAAAAAEAIAAAACIAAABkcnMvZG93bnJldi54bWxQSwECFAAUAAAACACHTuJAkBezxxcCAAB/&#10;BAAADgAAAAAAAAABACAAAAAoAQAAZHJzL2Uyb0RvYy54bWxQSwUGAAAAAAYABgBZAQAAsQUAAAAA&#10;" path="m0,138l738,0,938,1163,138,1288,0,138xe">
                <v:fill on="f" focussize="0,0"/>
                <v:stroke on="f"/>
                <v:imagedata o:title=""/>
                <o:lock v:ext="edit" aspectratio="f"/>
              </v:shape>
            </w:pict>
          </mc:Fallback>
        </mc:AlternateContent>
      </w:r>
      <w:r>
        <w:rPr>
          <w:color w:val="auto"/>
        </w:rPr>
        <mc:AlternateContent>
          <mc:Choice Requires="wps">
            <w:drawing>
              <wp:anchor distT="0" distB="0" distL="114300" distR="114300" simplePos="0" relativeHeight="251667456" behindDoc="0" locked="0" layoutInCell="1" allowOverlap="1">
                <wp:simplePos x="0" y="0"/>
                <wp:positionH relativeFrom="column">
                  <wp:posOffset>2052320</wp:posOffset>
                </wp:positionH>
                <wp:positionV relativeFrom="paragraph">
                  <wp:posOffset>2793365</wp:posOffset>
                </wp:positionV>
                <wp:extent cx="914400" cy="914400"/>
                <wp:effectExtent l="0" t="0" r="0" b="0"/>
                <wp:wrapNone/>
                <wp:docPr id="79" name="矩形 79"/>
                <wp:cNvGraphicFramePr/>
                <a:graphic xmlns:a="http://schemas.openxmlformats.org/drawingml/2006/main">
                  <a:graphicData uri="http://schemas.microsoft.com/office/word/2010/wordprocessingShape">
                    <wps:wsp>
                      <wps:cNvSpPr/>
                      <wps:spPr>
                        <a:xfrm>
                          <a:off x="0" y="0"/>
                          <a:ext cx="914400" cy="914400"/>
                        </a:xfrm>
                        <a:prstGeom prst="rect">
                          <a:avLst/>
                        </a:prstGeom>
                        <a:noFill/>
                        <a:ln>
                          <a:noFill/>
                        </a:ln>
                      </wps:spPr>
                      <wps:bodyPr upright="1"/>
                    </wps:wsp>
                  </a:graphicData>
                </a:graphic>
              </wp:anchor>
            </w:drawing>
          </mc:Choice>
          <mc:Fallback>
            <w:pict>
              <v:rect id="_x0000_s1026" o:spid="_x0000_s1026" o:spt="1" style="position:absolute;left:0pt;margin-left:161.6pt;margin-top:219.95pt;height:72pt;width:72pt;z-index:251667456;mso-width-relative:page;mso-height-relative:page;" filled="f" stroked="f" coordsize="21600,21600" o:gfxdata="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RCeld0AAAALAQAADwAAAAAAAAAB&#10;ACAAAAAiAAAAZHJzL2Rvd25yZXYueG1sUEsBAhQAFAAAAAgAh07iQB96cY6ZAQAANwMAAA4AAAAA&#10;AAAAAQAgAAAALAEAAGRycy9lMm9Eb2MueG1sUEsFBgAAAAAGAAYAWQEAADcFAAAAAA==&#10;">
                <v:fill on="f" focussize="0,0"/>
                <v:stroke on="f"/>
                <v:imagedata o:title=""/>
                <o:lock v:ext="edit" aspectratio="f"/>
              </v:rect>
            </w:pict>
          </mc:Fallback>
        </mc:AlternateContent>
      </w:r>
      <w:r>
        <w:rPr>
          <w:color w:val="auto"/>
        </w:rPr>
        <mc:AlternateContent>
          <mc:Choice Requires="wps">
            <w:drawing>
              <wp:anchor distT="0" distB="0" distL="114300" distR="114300" simplePos="0" relativeHeight="251666432" behindDoc="0" locked="0" layoutInCell="1" allowOverlap="1">
                <wp:simplePos x="0" y="0"/>
                <wp:positionH relativeFrom="column">
                  <wp:posOffset>8093710</wp:posOffset>
                </wp:positionH>
                <wp:positionV relativeFrom="paragraph">
                  <wp:posOffset>153670</wp:posOffset>
                </wp:positionV>
                <wp:extent cx="783590" cy="908685"/>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783590" cy="908685"/>
                        </a:xfrm>
                        <a:prstGeom prst="rect">
                          <a:avLst/>
                        </a:prstGeom>
                        <a:noFill/>
                        <a:ln>
                          <a:noFill/>
                        </a:ln>
                      </wps:spPr>
                      <wps:txbx>
                        <w:txbxContent>
                          <w:p/>
                        </w:txbxContent>
                      </wps:txbx>
                      <wps:bodyPr upright="1"/>
                    </wps:wsp>
                  </a:graphicData>
                </a:graphic>
              </wp:anchor>
            </w:drawing>
          </mc:Choice>
          <mc:Fallback>
            <w:pict>
              <v:shape id="_x0000_s1026" o:spid="_x0000_s1026" o:spt="202" type="#_x0000_t202" style="position:absolute;left:0pt;margin-left:637.3pt;margin-top:12.1pt;height:71.55pt;width:61.7pt;z-index:251666432;mso-width-relative:page;mso-height-relative:page;" filled="f" stroked="f" coordsize="21600,21600" o:gfxdata="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qKkpjdgA&#10;AAAMAQAADwAAAAAAAAABACAAAAAiAAAAZHJzL2Rvd25yZXYueG1sUEsBAhQAFAAAAAgAh07iQArA&#10;A5itAQAATwMAAA4AAAAAAAAAAQAgAAAAJwEAAGRycy9lMm9Eb2MueG1sUEsFBgAAAAAGAAYAWQEA&#10;AEYFAAAAAA==&#10;">
                <v:fill on="f" focussize="0,0"/>
                <v:stroke on="f"/>
                <v:imagedata o:title=""/>
                <o:lock v:ext="edit" aspectratio="f"/>
                <v:textbox>
                  <w:txbxContent>
                    <w:p/>
                  </w:txbxContent>
                </v:textbox>
              </v:shape>
            </w:pict>
          </mc:Fallback>
        </mc:AlternateContent>
      </w:r>
      <w:bookmarkStart w:id="40" w:name="_Toc19385"/>
      <w:bookmarkStart w:id="41" w:name="_Toc4668"/>
    </w:p>
    <w:p>
      <w:pPr>
        <w:outlineLvl w:val="0"/>
        <w:rPr>
          <w:rFonts w:ascii="Times New Roman" w:hAnsi="Times New Roman"/>
          <w:color w:val="auto"/>
        </w:rPr>
      </w:pPr>
      <w:bookmarkStart w:id="42" w:name="_Toc5804"/>
      <w:r>
        <w:rPr>
          <w:rFonts w:ascii="Times New Roman" w:hAnsi="Times New Roman" w:eastAsia="宋体"/>
          <w:b/>
          <w:color w:val="auto"/>
          <w:sz w:val="28"/>
          <w:szCs w:val="28"/>
        </w:rPr>
        <w:t>附图3：项目现场照片</w:t>
      </w:r>
      <w:bookmarkEnd w:id="40"/>
      <w:bookmarkEnd w:id="41"/>
      <w:bookmarkEnd w:id="42"/>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5"/>
        <w:gridCol w:w="4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drawing>
                <wp:inline distT="0" distB="0" distL="114300" distR="114300">
                  <wp:extent cx="2392680" cy="1794510"/>
                  <wp:effectExtent l="0" t="0" r="0" b="3810"/>
                  <wp:docPr id="28" name="图片 28" descr="1cb1410224893714246f81c31cca2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cb1410224893714246f81c31cca2a1"/>
                          <pic:cNvPicPr>
                            <a:picLocks noChangeAspect="1"/>
                          </pic:cNvPicPr>
                        </pic:nvPicPr>
                        <pic:blipFill>
                          <a:blip r:embed="rId20"/>
                          <a:stretch>
                            <a:fillRect/>
                          </a:stretch>
                        </pic:blipFill>
                        <pic:spPr>
                          <a:xfrm>
                            <a:off x="0" y="0"/>
                            <a:ext cx="2392680" cy="1794510"/>
                          </a:xfrm>
                          <a:prstGeom prst="rect">
                            <a:avLst/>
                          </a:prstGeom>
                        </pic:spPr>
                      </pic:pic>
                    </a:graphicData>
                  </a:graphic>
                </wp:inline>
              </w:drawing>
            </w:r>
          </w:p>
        </w:tc>
        <w:tc>
          <w:tcPr>
            <w:tcW w:w="4047" w:type="dxa"/>
          </w:tcPr>
          <w:p>
            <w:pPr>
              <w:pStyle w:val="60"/>
              <w:ind w:firstLine="0" w:firstLineChars="0"/>
              <w:rPr>
                <w:color w:val="auto"/>
              </w:rPr>
            </w:pPr>
            <w:r>
              <w:rPr>
                <w:color w:val="auto"/>
              </w:rPr>
              <w:drawing>
                <wp:inline distT="0" distB="0" distL="114300" distR="114300">
                  <wp:extent cx="2151380" cy="2868930"/>
                  <wp:effectExtent l="0" t="0" r="12700" b="11430"/>
                  <wp:docPr id="29" name="图片 29" descr="85e50c2ddb145ae4d14ed17b787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85e50c2ddb145ae4d14ed17b7872390"/>
                          <pic:cNvPicPr>
                            <a:picLocks noChangeAspect="1"/>
                          </pic:cNvPicPr>
                        </pic:nvPicPr>
                        <pic:blipFill>
                          <a:blip r:embed="rId21"/>
                          <a:stretch>
                            <a:fillRect/>
                          </a:stretch>
                        </pic:blipFill>
                        <pic:spPr>
                          <a:xfrm>
                            <a:off x="0" y="0"/>
                            <a:ext cx="2151380" cy="28689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t>厂区</w:t>
            </w:r>
          </w:p>
        </w:tc>
        <w:tc>
          <w:tcPr>
            <w:tcW w:w="4047" w:type="dxa"/>
          </w:tcPr>
          <w:p>
            <w:pPr>
              <w:pStyle w:val="60"/>
              <w:ind w:firstLine="0" w:firstLineChars="0"/>
              <w:rPr>
                <w:color w:val="auto"/>
              </w:rPr>
            </w:pPr>
            <w:r>
              <w:rPr>
                <w:color w:val="auto"/>
              </w:rPr>
              <w:t>厂界东北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drawing>
                <wp:inline distT="0" distB="0" distL="114300" distR="114300">
                  <wp:extent cx="2542540" cy="3390900"/>
                  <wp:effectExtent l="0" t="0" r="2540" b="7620"/>
                  <wp:docPr id="30" name="图片 30" descr="bae0874efa6d61222eaa44647a105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bae0874efa6d61222eaa44647a105ae"/>
                          <pic:cNvPicPr>
                            <a:picLocks noChangeAspect="1"/>
                          </pic:cNvPicPr>
                        </pic:nvPicPr>
                        <pic:blipFill>
                          <a:blip r:embed="rId22"/>
                          <a:stretch>
                            <a:fillRect/>
                          </a:stretch>
                        </pic:blipFill>
                        <pic:spPr>
                          <a:xfrm>
                            <a:off x="0" y="0"/>
                            <a:ext cx="2542540" cy="3390900"/>
                          </a:xfrm>
                          <a:prstGeom prst="rect">
                            <a:avLst/>
                          </a:prstGeom>
                        </pic:spPr>
                      </pic:pic>
                    </a:graphicData>
                  </a:graphic>
                </wp:inline>
              </w:drawing>
            </w:r>
          </w:p>
        </w:tc>
        <w:tc>
          <w:tcPr>
            <w:tcW w:w="4047" w:type="dxa"/>
          </w:tcPr>
          <w:p>
            <w:pPr>
              <w:pStyle w:val="60"/>
              <w:ind w:firstLine="0" w:firstLineChars="0"/>
              <w:rPr>
                <w:color w:val="auto"/>
              </w:rPr>
            </w:pPr>
            <w:r>
              <w:rPr>
                <w:color w:val="auto"/>
              </w:rPr>
              <w:drawing>
                <wp:inline distT="0" distB="0" distL="114300" distR="114300">
                  <wp:extent cx="2129155" cy="2839085"/>
                  <wp:effectExtent l="0" t="0" r="4445" b="10795"/>
                  <wp:docPr id="31" name="图片 31" descr="117bf01009fed8bd7f6f0c9bb2235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17bf01009fed8bd7f6f0c9bb22356e"/>
                          <pic:cNvPicPr>
                            <a:picLocks noChangeAspect="1"/>
                          </pic:cNvPicPr>
                        </pic:nvPicPr>
                        <pic:blipFill>
                          <a:blip r:embed="rId23"/>
                          <a:stretch>
                            <a:fillRect/>
                          </a:stretch>
                        </pic:blipFill>
                        <pic:spPr>
                          <a:xfrm>
                            <a:off x="0" y="0"/>
                            <a:ext cx="2129155" cy="28390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475" w:type="dxa"/>
          </w:tcPr>
          <w:p>
            <w:pPr>
              <w:pStyle w:val="60"/>
              <w:ind w:firstLine="0" w:firstLineChars="0"/>
              <w:rPr>
                <w:color w:val="auto"/>
              </w:rPr>
            </w:pPr>
            <w:r>
              <w:rPr>
                <w:color w:val="auto"/>
              </w:rPr>
              <w:t>厂界西南</w:t>
            </w:r>
          </w:p>
        </w:tc>
        <w:tc>
          <w:tcPr>
            <w:tcW w:w="4047" w:type="dxa"/>
          </w:tcPr>
          <w:p>
            <w:pPr>
              <w:pStyle w:val="60"/>
              <w:ind w:firstLine="0" w:firstLineChars="0"/>
              <w:rPr>
                <w:color w:val="auto"/>
              </w:rPr>
            </w:pPr>
            <w:r>
              <w:rPr>
                <w:color w:val="auto"/>
              </w:rPr>
              <w:t>厂界东南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drawing>
                <wp:inline distT="0" distB="0" distL="114300" distR="114300">
                  <wp:extent cx="1869440" cy="2493010"/>
                  <wp:effectExtent l="0" t="0" r="5080" b="6350"/>
                  <wp:docPr id="32" name="图片 32" descr="9647805d1ff45bb5b036d0114c609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9647805d1ff45bb5b036d0114c609c7"/>
                          <pic:cNvPicPr>
                            <a:picLocks noChangeAspect="1"/>
                          </pic:cNvPicPr>
                        </pic:nvPicPr>
                        <pic:blipFill>
                          <a:blip r:embed="rId24"/>
                          <a:stretch>
                            <a:fillRect/>
                          </a:stretch>
                        </pic:blipFill>
                        <pic:spPr>
                          <a:xfrm>
                            <a:off x="0" y="0"/>
                            <a:ext cx="1869440" cy="2493010"/>
                          </a:xfrm>
                          <a:prstGeom prst="rect">
                            <a:avLst/>
                          </a:prstGeom>
                        </pic:spPr>
                      </pic:pic>
                    </a:graphicData>
                  </a:graphic>
                </wp:inline>
              </w:drawing>
            </w:r>
          </w:p>
        </w:tc>
        <w:tc>
          <w:tcPr>
            <w:tcW w:w="4047" w:type="dxa"/>
          </w:tcPr>
          <w:p>
            <w:pPr>
              <w:pStyle w:val="60"/>
              <w:ind w:firstLine="0" w:firstLineChars="0"/>
              <w:rPr>
                <w:rFonts w:hint="eastAsia" w:eastAsia="宋体"/>
                <w:color w:val="auto"/>
                <w:lang w:eastAsia="zh-CN"/>
              </w:rPr>
            </w:pPr>
            <w:r>
              <w:rPr>
                <w:rFonts w:hint="eastAsia"/>
                <w:color w:val="auto"/>
                <w:lang w:eastAsia="zh-CN"/>
              </w:rPr>
              <w:drawing>
                <wp:inline distT="0" distB="0" distL="114300" distR="114300">
                  <wp:extent cx="1448435" cy="2575560"/>
                  <wp:effectExtent l="0" t="0" r="14605" b="0"/>
                  <wp:docPr id="2" name="图片 2" descr="80fb278c582b2b5a62172bc729f9d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0fb278c582b2b5a62172bc729f9d1b"/>
                          <pic:cNvPicPr>
                            <a:picLocks noChangeAspect="1"/>
                          </pic:cNvPicPr>
                        </pic:nvPicPr>
                        <pic:blipFill>
                          <a:blip r:embed="rId25"/>
                          <a:stretch>
                            <a:fillRect/>
                          </a:stretch>
                        </pic:blipFill>
                        <pic:spPr>
                          <a:xfrm>
                            <a:off x="0" y="0"/>
                            <a:ext cx="1448435" cy="25755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475" w:type="dxa"/>
          </w:tcPr>
          <w:p>
            <w:pPr>
              <w:pStyle w:val="60"/>
              <w:ind w:firstLine="0" w:firstLineChars="0"/>
              <w:rPr>
                <w:color w:val="auto"/>
              </w:rPr>
            </w:pPr>
            <w:r>
              <w:rPr>
                <w:color w:val="auto"/>
              </w:rPr>
              <w:t>传输带</w:t>
            </w:r>
          </w:p>
        </w:tc>
        <w:tc>
          <w:tcPr>
            <w:tcW w:w="4047" w:type="dxa"/>
          </w:tcPr>
          <w:p>
            <w:pPr>
              <w:pStyle w:val="60"/>
              <w:ind w:firstLine="0" w:firstLineChars="0"/>
              <w:rPr>
                <w:color w:val="auto"/>
              </w:rPr>
            </w:pPr>
            <w:r>
              <w:rPr>
                <w:color w:val="auto"/>
              </w:rPr>
              <w:t>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drawing>
                <wp:inline distT="0" distB="0" distL="114300" distR="114300">
                  <wp:extent cx="2443480" cy="3258185"/>
                  <wp:effectExtent l="0" t="0" r="10160" b="3175"/>
                  <wp:docPr id="35" name="图片 35" descr="6372451c22317104726f383e2dde7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6372451c22317104726f383e2dde7cd"/>
                          <pic:cNvPicPr>
                            <a:picLocks noChangeAspect="1"/>
                          </pic:cNvPicPr>
                        </pic:nvPicPr>
                        <pic:blipFill>
                          <a:blip r:embed="rId26"/>
                          <a:stretch>
                            <a:fillRect/>
                          </a:stretch>
                        </pic:blipFill>
                        <pic:spPr>
                          <a:xfrm>
                            <a:off x="0" y="0"/>
                            <a:ext cx="2443480" cy="3258185"/>
                          </a:xfrm>
                          <a:prstGeom prst="rect">
                            <a:avLst/>
                          </a:prstGeom>
                        </pic:spPr>
                      </pic:pic>
                    </a:graphicData>
                  </a:graphic>
                </wp:inline>
              </w:drawing>
            </w:r>
          </w:p>
        </w:tc>
        <w:tc>
          <w:tcPr>
            <w:tcW w:w="4047" w:type="dxa"/>
          </w:tcPr>
          <w:p>
            <w:pPr>
              <w:pStyle w:val="60"/>
              <w:ind w:firstLine="0" w:firstLineChars="0"/>
              <w:rPr>
                <w:color w:val="auto"/>
              </w:rPr>
            </w:pPr>
            <w:r>
              <w:rPr>
                <w:color w:val="auto"/>
              </w:rPr>
              <w:drawing>
                <wp:inline distT="0" distB="0" distL="114300" distR="114300">
                  <wp:extent cx="2329815" cy="3107055"/>
                  <wp:effectExtent l="0" t="0" r="1905" b="1905"/>
                  <wp:docPr id="36" name="图片 36" descr="906cd659695ab623fc744f26ef3ef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906cd659695ab623fc744f26ef3ef45"/>
                          <pic:cNvPicPr>
                            <a:picLocks noChangeAspect="1"/>
                          </pic:cNvPicPr>
                        </pic:nvPicPr>
                        <pic:blipFill>
                          <a:blip r:embed="rId27"/>
                          <a:stretch>
                            <a:fillRect/>
                          </a:stretch>
                        </pic:blipFill>
                        <pic:spPr>
                          <a:xfrm>
                            <a:off x="0" y="0"/>
                            <a:ext cx="2329815" cy="310705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5" w:type="dxa"/>
          </w:tcPr>
          <w:p>
            <w:pPr>
              <w:pStyle w:val="60"/>
              <w:ind w:firstLine="0" w:firstLineChars="0"/>
              <w:rPr>
                <w:color w:val="auto"/>
              </w:rPr>
            </w:pPr>
            <w:r>
              <w:rPr>
                <w:color w:val="auto"/>
              </w:rPr>
              <w:t>除尘器</w:t>
            </w:r>
          </w:p>
        </w:tc>
        <w:tc>
          <w:tcPr>
            <w:tcW w:w="4047" w:type="dxa"/>
          </w:tcPr>
          <w:p>
            <w:pPr>
              <w:pStyle w:val="60"/>
              <w:ind w:firstLine="0" w:firstLineChars="0"/>
              <w:rPr>
                <w:color w:val="auto"/>
              </w:rPr>
            </w:pPr>
            <w:r>
              <w:rPr>
                <w:color w:val="auto"/>
              </w:rPr>
              <w:t>烘干塔</w:t>
            </w:r>
          </w:p>
        </w:tc>
      </w:tr>
    </w:tbl>
    <w:p>
      <w:pPr>
        <w:pStyle w:val="60"/>
        <w:ind w:firstLine="0" w:firstLineChars="0"/>
        <w:rPr>
          <w:color w:val="auto"/>
        </w:rPr>
        <w:sectPr>
          <w:pgSz w:w="11906" w:h="16838"/>
          <w:pgMar w:top="1440" w:right="1080" w:bottom="1440" w:left="1080" w:header="624" w:footer="595" w:gutter="0"/>
          <w:cols w:space="720" w:num="1"/>
          <w:docGrid w:type="lines" w:linePitch="312" w:charSpace="0"/>
        </w:sectPr>
      </w:pPr>
    </w:p>
    <w:p>
      <w:pPr>
        <w:pStyle w:val="2"/>
        <w:snapToGrid/>
        <w:spacing w:before="0" w:after="0" w:line="360" w:lineRule="auto"/>
        <w:rPr>
          <w:rFonts w:ascii="Times New Roman" w:hAnsi="Times New Roman"/>
          <w:color w:val="auto"/>
          <w:sz w:val="28"/>
          <w:szCs w:val="28"/>
        </w:rPr>
      </w:pPr>
      <w:bookmarkStart w:id="43" w:name="_Toc19765"/>
      <w:r>
        <w:rPr>
          <w:rFonts w:ascii="Times New Roman" w:hAnsi="Times New Roman" w:eastAsia="宋体"/>
          <w:bCs w:val="0"/>
          <w:color w:val="auto"/>
          <w:sz w:val="28"/>
          <w:szCs w:val="28"/>
        </w:rPr>
        <w:t>附件1：环评批复</w:t>
      </w:r>
      <w:bookmarkEnd w:id="43"/>
    </w:p>
    <w:p>
      <w:pPr>
        <w:jc w:val="center"/>
        <w:rPr>
          <w:color w:val="auto"/>
        </w:rPr>
      </w:pPr>
      <w:r>
        <w:rPr>
          <w:color w:val="auto"/>
        </w:rPr>
        <w:drawing>
          <wp:inline distT="0" distB="0" distL="114300" distR="114300">
            <wp:extent cx="5750560" cy="7664450"/>
            <wp:effectExtent l="0" t="0" r="10160" b="1270"/>
            <wp:docPr id="40" name="图片 40" descr="32638b38977992963aa1149585341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32638b38977992963aa11495853418e"/>
                    <pic:cNvPicPr>
                      <a:picLocks noChangeAspect="1"/>
                    </pic:cNvPicPr>
                  </pic:nvPicPr>
                  <pic:blipFill>
                    <a:blip r:embed="rId28"/>
                    <a:stretch>
                      <a:fillRect/>
                    </a:stretch>
                  </pic:blipFill>
                  <pic:spPr>
                    <a:xfrm>
                      <a:off x="0" y="0"/>
                      <a:ext cx="5750560" cy="7664450"/>
                    </a:xfrm>
                    <a:prstGeom prst="rect">
                      <a:avLst/>
                    </a:prstGeom>
                  </pic:spPr>
                </pic:pic>
              </a:graphicData>
            </a:graphic>
          </wp:inline>
        </w:drawing>
      </w:r>
    </w:p>
    <w:p>
      <w:pPr>
        <w:jc w:val="center"/>
        <w:rPr>
          <w:color w:val="auto"/>
        </w:rPr>
      </w:pPr>
      <w:r>
        <w:rPr>
          <w:color w:val="auto"/>
        </w:rPr>
        <w:drawing>
          <wp:inline distT="0" distB="0" distL="114300" distR="114300">
            <wp:extent cx="5584825" cy="7444105"/>
            <wp:effectExtent l="0" t="0" r="8255" b="8255"/>
            <wp:docPr id="42" name="图片 42" descr="b061b8562ddb8aefd24443485fbfb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b061b8562ddb8aefd24443485fbfb42"/>
                    <pic:cNvPicPr>
                      <a:picLocks noChangeAspect="1"/>
                    </pic:cNvPicPr>
                  </pic:nvPicPr>
                  <pic:blipFill>
                    <a:blip r:embed="rId29"/>
                    <a:stretch>
                      <a:fillRect/>
                    </a:stretch>
                  </pic:blipFill>
                  <pic:spPr>
                    <a:xfrm>
                      <a:off x="0" y="0"/>
                      <a:ext cx="5584825" cy="7444105"/>
                    </a:xfrm>
                    <a:prstGeom prst="rect">
                      <a:avLst/>
                    </a:prstGeom>
                  </pic:spPr>
                </pic:pic>
              </a:graphicData>
            </a:graphic>
          </wp:inline>
        </w:drawing>
      </w:r>
    </w:p>
    <w:p>
      <w:pPr>
        <w:jc w:val="center"/>
        <w:rPr>
          <w:color w:val="auto"/>
        </w:rPr>
      </w:pPr>
      <w:r>
        <w:rPr>
          <w:color w:val="auto"/>
        </w:rPr>
        <w:drawing>
          <wp:inline distT="0" distB="0" distL="114300" distR="114300">
            <wp:extent cx="5791835" cy="7719695"/>
            <wp:effectExtent l="0" t="0" r="14605" b="6985"/>
            <wp:docPr id="44" name="图片 44" descr="68ce3428e14967a7c3262951e6cdd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68ce3428e14967a7c3262951e6cdd98"/>
                    <pic:cNvPicPr>
                      <a:picLocks noChangeAspect="1"/>
                    </pic:cNvPicPr>
                  </pic:nvPicPr>
                  <pic:blipFill>
                    <a:blip r:embed="rId30"/>
                    <a:stretch>
                      <a:fillRect/>
                    </a:stretch>
                  </pic:blipFill>
                  <pic:spPr>
                    <a:xfrm>
                      <a:off x="0" y="0"/>
                      <a:ext cx="5791835" cy="7719695"/>
                    </a:xfrm>
                    <a:prstGeom prst="rect">
                      <a:avLst/>
                    </a:prstGeom>
                  </pic:spPr>
                </pic:pic>
              </a:graphicData>
            </a:graphic>
          </wp:inline>
        </w:drawing>
      </w:r>
    </w:p>
    <w:p>
      <w:pPr>
        <w:pStyle w:val="33"/>
        <w:jc w:val="center"/>
        <w:rPr>
          <w:rFonts w:ascii="Times New Roman" w:hAnsi="Times New Roman" w:cs="Times New Roman"/>
          <w:color w:val="auto"/>
        </w:rPr>
      </w:pPr>
    </w:p>
    <w:p>
      <w:pPr>
        <w:pStyle w:val="33"/>
        <w:jc w:val="center"/>
        <w:rPr>
          <w:rFonts w:ascii="Times New Roman" w:hAnsi="Times New Roman" w:cs="Times New Roman"/>
          <w:color w:val="auto"/>
        </w:rPr>
      </w:pPr>
    </w:p>
    <w:p>
      <w:pPr>
        <w:pStyle w:val="33"/>
        <w:snapToGrid/>
        <w:jc w:val="center"/>
        <w:rPr>
          <w:rFonts w:ascii="Times New Roman" w:hAnsi="Times New Roman" w:cs="Times New Roman"/>
          <w:b/>
          <w:bCs/>
          <w:color w:val="auto"/>
        </w:rPr>
        <w:sectPr>
          <w:footerReference r:id="rId11" w:type="default"/>
          <w:pgSz w:w="11906" w:h="16838"/>
          <w:pgMar w:top="1440" w:right="1080" w:bottom="1440" w:left="1080" w:header="992" w:footer="992" w:gutter="0"/>
          <w:cols w:space="720" w:num="1"/>
          <w:docGrid w:type="lines" w:linePitch="312" w:charSpace="0"/>
        </w:sectPr>
      </w:pPr>
    </w:p>
    <w:p>
      <w:pPr>
        <w:pStyle w:val="33"/>
        <w:snapToGrid/>
        <w:outlineLvl w:val="0"/>
        <w:rPr>
          <w:rFonts w:ascii="Times New Roman" w:hAnsi="Times New Roman" w:cs="Times New Roman"/>
          <w:b/>
          <w:bCs/>
          <w:color w:val="auto"/>
          <w:sz w:val="28"/>
          <w:szCs w:val="28"/>
        </w:rPr>
      </w:pPr>
      <w:bookmarkStart w:id="44" w:name="_Toc25440"/>
      <w:bookmarkStart w:id="45" w:name="_Toc15811"/>
      <w:r>
        <w:rPr>
          <w:rFonts w:ascii="Times New Roman" w:hAnsi="Times New Roman" w:cs="Times New Roman"/>
          <w:b/>
          <w:bCs/>
          <w:color w:val="auto"/>
          <w:sz w:val="28"/>
          <w:szCs w:val="28"/>
        </w:rPr>
        <w:t>附件</w:t>
      </w:r>
      <w:r>
        <w:rPr>
          <w:rFonts w:hint="eastAsia" w:ascii="Times New Roman" w:hAnsi="Times New Roman" w:cs="Times New Roman"/>
          <w:b/>
          <w:bCs/>
          <w:color w:val="auto"/>
          <w:sz w:val="28"/>
          <w:szCs w:val="28"/>
        </w:rPr>
        <w:t>2</w:t>
      </w:r>
      <w:r>
        <w:rPr>
          <w:rFonts w:ascii="Times New Roman" w:hAnsi="Times New Roman" w:cs="Times New Roman"/>
          <w:b/>
          <w:bCs/>
          <w:color w:val="auto"/>
          <w:sz w:val="28"/>
          <w:szCs w:val="28"/>
        </w:rPr>
        <w:t>：</w:t>
      </w:r>
      <w:r>
        <w:rPr>
          <w:rFonts w:hint="eastAsia" w:ascii="Times New Roman" w:hAnsi="Times New Roman" w:cs="Times New Roman"/>
          <w:b/>
          <w:bCs/>
          <w:color w:val="auto"/>
          <w:sz w:val="28"/>
          <w:szCs w:val="28"/>
        </w:rPr>
        <w:t>排污许可证</w:t>
      </w:r>
      <w:bookmarkEnd w:id="44"/>
      <w:bookmarkEnd w:id="45"/>
    </w:p>
    <w:p>
      <w:pPr>
        <w:widowControl w:val="0"/>
        <w:autoSpaceDE w:val="0"/>
        <w:autoSpaceDN w:val="0"/>
        <w:snapToGrid/>
        <w:jc w:val="center"/>
        <w:outlineLvl w:val="0"/>
        <w:rPr>
          <w:color w:val="auto"/>
        </w:rPr>
      </w:pPr>
      <w:bookmarkStart w:id="46" w:name="_Toc24379"/>
      <w:r>
        <w:rPr>
          <w:color w:val="auto"/>
        </w:rPr>
        <w:drawing>
          <wp:inline distT="0" distB="0" distL="114300" distR="114300">
            <wp:extent cx="5885815" cy="7844790"/>
            <wp:effectExtent l="0" t="0" r="12065" b="3810"/>
            <wp:docPr id="47" name="图片 47" descr="86fba6503575ab230801741f55b7c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86fba6503575ab230801741f55b7c69"/>
                    <pic:cNvPicPr>
                      <a:picLocks noChangeAspect="1"/>
                    </pic:cNvPicPr>
                  </pic:nvPicPr>
                  <pic:blipFill>
                    <a:blip r:embed="rId31"/>
                    <a:stretch>
                      <a:fillRect/>
                    </a:stretch>
                  </pic:blipFill>
                  <pic:spPr>
                    <a:xfrm>
                      <a:off x="0" y="0"/>
                      <a:ext cx="5885815" cy="7844790"/>
                    </a:xfrm>
                    <a:prstGeom prst="rect">
                      <a:avLst/>
                    </a:prstGeom>
                  </pic:spPr>
                </pic:pic>
              </a:graphicData>
            </a:graphic>
          </wp:inline>
        </w:drawing>
      </w:r>
      <w:bookmarkEnd w:id="46"/>
    </w:p>
    <w:p>
      <w:pPr>
        <w:rPr>
          <w:color w:val="auto"/>
        </w:rPr>
      </w:pPr>
      <w:r>
        <w:rPr>
          <w:color w:val="auto"/>
        </w:rPr>
        <w:br w:type="page"/>
      </w:r>
    </w:p>
    <w:p>
      <w:pPr>
        <w:widowControl w:val="0"/>
        <w:autoSpaceDE w:val="0"/>
        <w:autoSpaceDN w:val="0"/>
        <w:snapToGrid/>
        <w:outlineLvl w:val="0"/>
        <w:rPr>
          <w:rFonts w:ascii="Times New Roman" w:hAnsi="Times New Roman" w:eastAsia="宋体"/>
          <w:b/>
          <w:bCs/>
          <w:color w:val="auto"/>
          <w:sz w:val="28"/>
          <w:szCs w:val="28"/>
        </w:rPr>
      </w:pPr>
      <w:bookmarkStart w:id="47" w:name="_Toc11658"/>
      <w:r>
        <w:rPr>
          <w:rFonts w:ascii="Times New Roman" w:hAnsi="Times New Roman" w:eastAsia="宋体"/>
          <w:b/>
          <w:bCs/>
          <w:color w:val="auto"/>
          <w:sz w:val="28"/>
          <w:szCs w:val="28"/>
        </w:rPr>
        <w:t>附件</w:t>
      </w:r>
      <w:r>
        <w:rPr>
          <w:rFonts w:hint="eastAsia" w:ascii="Times New Roman" w:hAnsi="Times New Roman" w:eastAsia="宋体"/>
          <w:b/>
          <w:bCs/>
          <w:color w:val="auto"/>
          <w:sz w:val="28"/>
          <w:szCs w:val="28"/>
        </w:rPr>
        <w:t>3</w:t>
      </w:r>
      <w:r>
        <w:rPr>
          <w:rFonts w:ascii="Times New Roman" w:hAnsi="Times New Roman" w:eastAsia="宋体"/>
          <w:b/>
          <w:bCs/>
          <w:color w:val="auto"/>
          <w:sz w:val="28"/>
          <w:szCs w:val="28"/>
        </w:rPr>
        <w:t>：</w:t>
      </w:r>
      <w:r>
        <w:rPr>
          <w:rFonts w:hint="eastAsia" w:ascii="Times New Roman" w:hAnsi="Times New Roman" w:eastAsia="宋体"/>
          <w:b/>
          <w:bCs/>
          <w:color w:val="auto"/>
          <w:sz w:val="28"/>
          <w:szCs w:val="28"/>
        </w:rPr>
        <w:t>监测单位纸质</w:t>
      </w:r>
      <w:bookmarkEnd w:id="47"/>
    </w:p>
    <w:p>
      <w:pPr>
        <w:rPr>
          <w:color w:val="auto"/>
        </w:rPr>
      </w:pPr>
      <w:r>
        <w:rPr>
          <w:color w:val="auto"/>
        </w:rPr>
        <w:drawing>
          <wp:inline distT="0" distB="0" distL="114300" distR="114300">
            <wp:extent cx="5760720" cy="8061960"/>
            <wp:effectExtent l="0" t="0" r="0" b="0"/>
            <wp:docPr id="112" name="图片 112" descr="f4a22314223dc8cce9384c3674bf8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f4a22314223dc8cce9384c3674bf85a"/>
                    <pic:cNvPicPr>
                      <a:picLocks noChangeAspect="1"/>
                    </pic:cNvPicPr>
                  </pic:nvPicPr>
                  <pic:blipFill>
                    <a:blip r:embed="rId32"/>
                    <a:stretch>
                      <a:fillRect/>
                    </a:stretch>
                  </pic:blipFill>
                  <pic:spPr>
                    <a:xfrm>
                      <a:off x="0" y="0"/>
                      <a:ext cx="5760720" cy="8061960"/>
                    </a:xfrm>
                    <a:prstGeom prst="rect">
                      <a:avLst/>
                    </a:prstGeom>
                  </pic:spPr>
                </pic:pic>
              </a:graphicData>
            </a:graphic>
          </wp:inline>
        </w:drawing>
      </w:r>
    </w:p>
    <w:p>
      <w:pPr>
        <w:rPr>
          <w:color w:val="auto"/>
        </w:rPr>
      </w:pPr>
      <w:r>
        <w:rPr>
          <w:color w:val="auto"/>
        </w:rPr>
        <w:br w:type="page"/>
      </w:r>
    </w:p>
    <w:p>
      <w:pPr>
        <w:widowControl w:val="0"/>
        <w:autoSpaceDE w:val="0"/>
        <w:autoSpaceDN w:val="0"/>
        <w:snapToGrid/>
        <w:outlineLvl w:val="0"/>
        <w:rPr>
          <w:rFonts w:ascii="Times New Roman" w:hAnsi="Times New Roman" w:eastAsia="宋体"/>
          <w:b/>
          <w:bCs/>
          <w:color w:val="auto"/>
          <w:sz w:val="28"/>
          <w:szCs w:val="28"/>
        </w:rPr>
      </w:pPr>
      <w:bookmarkStart w:id="48" w:name="_Toc17962"/>
      <w:r>
        <w:rPr>
          <w:rStyle w:val="32"/>
          <w:rFonts w:hint="eastAsia"/>
          <w:color w:val="auto"/>
          <w:lang w:eastAsia="zh-CN"/>
        </w:rPr>
        <w:drawing>
          <wp:anchor distT="0" distB="0" distL="114300" distR="114300" simplePos="0" relativeHeight="251670528" behindDoc="0" locked="0" layoutInCell="1" allowOverlap="1">
            <wp:simplePos x="0" y="0"/>
            <wp:positionH relativeFrom="column">
              <wp:posOffset>279400</wp:posOffset>
            </wp:positionH>
            <wp:positionV relativeFrom="paragraph">
              <wp:posOffset>467360</wp:posOffset>
            </wp:positionV>
            <wp:extent cx="5322570" cy="7905115"/>
            <wp:effectExtent l="0" t="0" r="11430" b="4445"/>
            <wp:wrapNone/>
            <wp:docPr id="3" name="图片 3" descr="847d47e592356219732240bf2db40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47d47e592356219732240bf2db40b5"/>
                    <pic:cNvPicPr>
                      <a:picLocks noChangeAspect="1"/>
                    </pic:cNvPicPr>
                  </pic:nvPicPr>
                  <pic:blipFill>
                    <a:blip r:embed="rId33"/>
                    <a:stretch>
                      <a:fillRect/>
                    </a:stretch>
                  </pic:blipFill>
                  <pic:spPr>
                    <a:xfrm>
                      <a:off x="0" y="0"/>
                      <a:ext cx="5322570" cy="7905115"/>
                    </a:xfrm>
                    <a:prstGeom prst="rect">
                      <a:avLst/>
                    </a:prstGeom>
                  </pic:spPr>
                </pic:pic>
              </a:graphicData>
            </a:graphic>
          </wp:anchor>
        </w:drawing>
      </w:r>
      <w:r>
        <w:rPr>
          <w:rFonts w:ascii="Times New Roman" w:hAnsi="Times New Roman" w:eastAsia="宋体"/>
          <w:b/>
          <w:bCs/>
          <w:color w:val="auto"/>
          <w:sz w:val="28"/>
          <w:szCs w:val="28"/>
        </w:rPr>
        <w:t>附件</w:t>
      </w:r>
      <w:r>
        <w:rPr>
          <w:rFonts w:hint="eastAsia" w:ascii="Times New Roman" w:hAnsi="Times New Roman" w:eastAsia="宋体"/>
          <w:b/>
          <w:bCs/>
          <w:color w:val="auto"/>
          <w:sz w:val="28"/>
          <w:szCs w:val="28"/>
        </w:rPr>
        <w:t>4</w:t>
      </w:r>
      <w:r>
        <w:rPr>
          <w:rFonts w:ascii="Times New Roman" w:hAnsi="Times New Roman" w:eastAsia="宋体"/>
          <w:b/>
          <w:bCs/>
          <w:color w:val="auto"/>
          <w:sz w:val="28"/>
          <w:szCs w:val="28"/>
        </w:rPr>
        <w:t>：</w:t>
      </w:r>
      <w:r>
        <w:rPr>
          <w:rFonts w:hint="eastAsia" w:ascii="Times New Roman" w:hAnsi="Times New Roman" w:eastAsia="宋体"/>
          <w:b/>
          <w:bCs/>
          <w:color w:val="auto"/>
          <w:sz w:val="28"/>
          <w:szCs w:val="28"/>
        </w:rPr>
        <w:t>监测报告</w:t>
      </w:r>
      <w:bookmarkEnd w:id="48"/>
    </w:p>
    <w:p>
      <w:pPr>
        <w:jc w:val="center"/>
        <w:rPr>
          <w:rFonts w:hint="eastAsia" w:eastAsia="微软雅黑"/>
          <w:color w:val="auto"/>
          <w:lang w:eastAsia="zh-CN"/>
        </w:rPr>
      </w:pPr>
      <w:r>
        <w:rPr>
          <w:rStyle w:val="32"/>
          <w:rFonts w:hint="eastAsia"/>
          <w:color w:val="auto"/>
          <w:lang w:eastAsia="zh-CN"/>
        </w:rPr>
        <w:drawing>
          <wp:inline distT="0" distB="0" distL="114300" distR="114300">
            <wp:extent cx="5105400" cy="7443470"/>
            <wp:effectExtent l="0" t="0" r="0" b="8890"/>
            <wp:docPr id="4" name="图片 4" descr="8d8ab2131723fdac40779035d9518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d8ab2131723fdac40779035d95186b"/>
                    <pic:cNvPicPr>
                      <a:picLocks noChangeAspect="1"/>
                    </pic:cNvPicPr>
                  </pic:nvPicPr>
                  <pic:blipFill>
                    <a:blip r:embed="rId34"/>
                    <a:stretch>
                      <a:fillRect/>
                    </a:stretch>
                  </pic:blipFill>
                  <pic:spPr>
                    <a:xfrm>
                      <a:off x="0" y="0"/>
                      <a:ext cx="5105400" cy="7443470"/>
                    </a:xfrm>
                    <a:prstGeom prst="rect">
                      <a:avLst/>
                    </a:prstGeom>
                  </pic:spPr>
                </pic:pic>
              </a:graphicData>
            </a:graphic>
          </wp:inline>
        </w:drawing>
      </w:r>
      <w:r>
        <w:rPr>
          <w:rStyle w:val="32"/>
          <w:rFonts w:hint="eastAsia"/>
          <w:color w:val="auto"/>
          <w:lang w:eastAsia="zh-CN"/>
        </w:rPr>
        <w:drawing>
          <wp:inline distT="0" distB="0" distL="114300" distR="114300">
            <wp:extent cx="5444490" cy="8070850"/>
            <wp:effectExtent l="0" t="0" r="11430" b="6350"/>
            <wp:docPr id="6" name="图片 6" descr="a38303b5e583b9542721f909838d7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38303b5e583b9542721f909838d76f"/>
                    <pic:cNvPicPr>
                      <a:picLocks noChangeAspect="1"/>
                    </pic:cNvPicPr>
                  </pic:nvPicPr>
                  <pic:blipFill>
                    <a:blip r:embed="rId35"/>
                    <a:stretch>
                      <a:fillRect/>
                    </a:stretch>
                  </pic:blipFill>
                  <pic:spPr>
                    <a:xfrm>
                      <a:off x="0" y="0"/>
                      <a:ext cx="5444490" cy="8070850"/>
                    </a:xfrm>
                    <a:prstGeom prst="rect">
                      <a:avLst/>
                    </a:prstGeom>
                  </pic:spPr>
                </pic:pic>
              </a:graphicData>
            </a:graphic>
          </wp:inline>
        </w:drawing>
      </w:r>
      <w:r>
        <w:rPr>
          <w:rStyle w:val="32"/>
          <w:rFonts w:hint="eastAsia"/>
          <w:color w:val="auto"/>
          <w:lang w:eastAsia="zh-CN"/>
        </w:rPr>
        <w:drawing>
          <wp:inline distT="0" distB="0" distL="114300" distR="114300">
            <wp:extent cx="5831205" cy="8426450"/>
            <wp:effectExtent l="0" t="0" r="5715" b="1270"/>
            <wp:docPr id="8" name="图片 8" descr="27f3366b8eafb27c11011466334c6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7f3366b8eafb27c11011466334c6e3"/>
                    <pic:cNvPicPr>
                      <a:picLocks noChangeAspect="1"/>
                    </pic:cNvPicPr>
                  </pic:nvPicPr>
                  <pic:blipFill>
                    <a:blip r:embed="rId36"/>
                    <a:stretch>
                      <a:fillRect/>
                    </a:stretch>
                  </pic:blipFill>
                  <pic:spPr>
                    <a:xfrm>
                      <a:off x="0" y="0"/>
                      <a:ext cx="5831205" cy="8426450"/>
                    </a:xfrm>
                    <a:prstGeom prst="rect">
                      <a:avLst/>
                    </a:prstGeom>
                  </pic:spPr>
                </pic:pic>
              </a:graphicData>
            </a:graphic>
          </wp:inline>
        </w:drawing>
      </w:r>
      <w:r>
        <w:rPr>
          <w:rStyle w:val="32"/>
          <w:rFonts w:hint="eastAsia"/>
          <w:color w:val="auto"/>
          <w:lang w:eastAsia="zh-CN"/>
        </w:rPr>
        <w:drawing>
          <wp:inline distT="0" distB="0" distL="114300" distR="114300">
            <wp:extent cx="5587365" cy="8241030"/>
            <wp:effectExtent l="0" t="0" r="5715" b="3810"/>
            <wp:docPr id="9" name="图片 9" descr="e87efeac997aa34b230698316a1c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87efeac997aa34b230698316a1c416"/>
                    <pic:cNvPicPr>
                      <a:picLocks noChangeAspect="1"/>
                    </pic:cNvPicPr>
                  </pic:nvPicPr>
                  <pic:blipFill>
                    <a:blip r:embed="rId37"/>
                    <a:stretch>
                      <a:fillRect/>
                    </a:stretch>
                  </pic:blipFill>
                  <pic:spPr>
                    <a:xfrm>
                      <a:off x="0" y="0"/>
                      <a:ext cx="5587365" cy="8241030"/>
                    </a:xfrm>
                    <a:prstGeom prst="rect">
                      <a:avLst/>
                    </a:prstGeom>
                  </pic:spPr>
                </pic:pic>
              </a:graphicData>
            </a:graphic>
          </wp:inline>
        </w:drawing>
      </w:r>
      <w:r>
        <w:rPr>
          <w:rStyle w:val="32"/>
          <w:rFonts w:hint="eastAsia"/>
          <w:color w:val="auto"/>
          <w:lang w:eastAsia="zh-CN"/>
        </w:rPr>
        <w:drawing>
          <wp:inline distT="0" distB="0" distL="114300" distR="114300">
            <wp:extent cx="5661025" cy="8173720"/>
            <wp:effectExtent l="0" t="0" r="8255" b="10160"/>
            <wp:docPr id="10" name="图片 10" descr="74dae843f0d1cab5af106c911cdb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74dae843f0d1cab5af106c911cdb4a2"/>
                    <pic:cNvPicPr>
                      <a:picLocks noChangeAspect="1"/>
                    </pic:cNvPicPr>
                  </pic:nvPicPr>
                  <pic:blipFill>
                    <a:blip r:embed="rId38"/>
                    <a:stretch>
                      <a:fillRect/>
                    </a:stretch>
                  </pic:blipFill>
                  <pic:spPr>
                    <a:xfrm>
                      <a:off x="0" y="0"/>
                      <a:ext cx="5661025" cy="8173720"/>
                    </a:xfrm>
                    <a:prstGeom prst="rect">
                      <a:avLst/>
                    </a:prstGeom>
                  </pic:spPr>
                </pic:pic>
              </a:graphicData>
            </a:graphic>
          </wp:inline>
        </w:drawing>
      </w:r>
      <w:r>
        <w:rPr>
          <w:rStyle w:val="32"/>
          <w:rFonts w:hint="eastAsia"/>
          <w:color w:val="auto"/>
          <w:lang w:eastAsia="zh-CN"/>
        </w:rPr>
        <w:drawing>
          <wp:inline distT="0" distB="0" distL="114300" distR="114300">
            <wp:extent cx="5841365" cy="8848725"/>
            <wp:effectExtent l="0" t="0" r="10795" b="5715"/>
            <wp:docPr id="13" name="图片 13" descr="5fdbad111a27979fff679ac11d5f2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fdbad111a27979fff679ac11d5f29f"/>
                    <pic:cNvPicPr>
                      <a:picLocks noChangeAspect="1"/>
                    </pic:cNvPicPr>
                  </pic:nvPicPr>
                  <pic:blipFill>
                    <a:blip r:embed="rId39"/>
                    <a:stretch>
                      <a:fillRect/>
                    </a:stretch>
                  </pic:blipFill>
                  <pic:spPr>
                    <a:xfrm>
                      <a:off x="0" y="0"/>
                      <a:ext cx="5841365" cy="8848725"/>
                    </a:xfrm>
                    <a:prstGeom prst="rect">
                      <a:avLst/>
                    </a:prstGeom>
                  </pic:spPr>
                </pic:pic>
              </a:graphicData>
            </a:graphic>
          </wp:inline>
        </w:drawing>
      </w: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after="0"/>
      <w:ind w:right="360" w:firstLine="360"/>
      <w:jc w:val="center"/>
      <w:rPr>
        <w:rFonts w:hint="eastAsia" w:ascii="Tahoma" w:hAnsi="Tahoma" w:eastAsia="微软雅黑" w:cs="Times New Roman"/>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spacing w:after="0"/>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LWjgsAgAAVwQAAA4AAABkcnMvZTJvRG9jLnhtbK1UzY7TMBC+I/EO&#10;lu80aRGrUj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0taOCwCAABXBAAADgAAAAAAAAABACAAAAAfAQAAZHJzL2Uyb0RvYy54bWxQSwUGAAAAAAYA&#10;BgBZAQAAvQUAAAAA&#10;">
              <v:fill on="f" focussize="0,0"/>
              <v:stroke on="f" weight="0.5pt"/>
              <v:imagedata o:title=""/>
              <o:lock v:ext="edit" aspectratio="f"/>
              <v:textbox inset="0mm,0mm,0mm,0mm" style="mso-fit-shape-to-text:t;">
                <w:txbxContent>
                  <w:p>
                    <w:pPr>
                      <w:pStyle w:val="19"/>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after="0"/>
      <w:ind w:right="360"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after="0"/>
      <w:ind w:right="360"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VIII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VIII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XXI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XXI</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XXVIII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XXVIII</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14935" cy="131445"/>
              <wp:effectExtent l="0" t="0" r="0" b="0"/>
              <wp:wrapNone/>
              <wp:docPr id="46" name="文本框1"/>
              <wp:cNvGraphicFramePr/>
              <a:graphic xmlns:a="http://schemas.openxmlformats.org/drawingml/2006/main">
                <a:graphicData uri="http://schemas.microsoft.com/office/word/2010/wordprocessingShape">
                  <wps:wsp>
                    <wps:cNvSpPr/>
                    <wps:spPr>
                      <a:xfrm>
                        <a:off x="0" y="0"/>
                        <a:ext cx="114935" cy="131445"/>
                      </a:xfrm>
                      <a:prstGeom prst="rect">
                        <a:avLst/>
                      </a:prstGeom>
                      <a:noFill/>
                      <a:ln>
                        <a:noFill/>
                      </a:ln>
                    </wps:spPr>
                    <wps:txbx>
                      <w:txbxContent>
                        <w:p>
                          <w:pPr>
                            <w:rPr>
                              <w:sz w:val="18"/>
                            </w:rPr>
                          </w:pPr>
                        </w:p>
                      </w:txbxContent>
                    </wps:txbx>
                    <wps:bodyPr wrap="none" lIns="0" tIns="0" rIns="0" bIns="0">
                      <a:spAutoFit/>
                    </wps:bodyPr>
                  </wps:wsp>
                </a:graphicData>
              </a:graphic>
            </wp:anchor>
          </w:drawing>
        </mc:Choice>
        <mc:Fallback>
          <w:pict>
            <v:rect id="文本框1" o:spid="_x0000_s1026" o:spt="1" style="position:absolute;left:0pt;margin-top:0pt;height:10.35pt;width:9.05pt;mso-position-horizontal:right;mso-position-horizontal-relative:margin;mso-wrap-style:none;z-index:251660288;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L/SwtAAAAADAQAADwAAAAAAAAABACAAAAAiAAAAZHJzL2Rvd25yZXYueG1sUEsBAhQA&#10;FAAAAAgAh07iQP4/O/zBAQAAgQMAAA4AAAAAAAAAAQAgAAAAHwEAAGRycy9lMm9Eb2MueG1sUEsF&#10;BgAAAAAGAAYAWQEAAFIFAAAAAA==&#10;">
              <v:fill on="f" focussize="0,0"/>
              <v:stroke on="f"/>
              <v:imagedata o:title=""/>
              <o:lock v:ext="edit" aspectratio="f"/>
              <v:textbox inset="0mm,0mm,0mm,0mm" style="mso-fit-shape-to-text:t;">
                <w:txbxContent>
                  <w:p>
                    <w:pPr>
                      <w:rPr>
                        <w:sz w:val="18"/>
                      </w:rP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adjustRightInd w:val="0"/>
      <w:snapToGrid w:val="0"/>
      <w:spacing w:after="200"/>
      <w:jc w:val="left"/>
      <w:rPr>
        <w:rFonts w:hint="eastAsia" w:ascii="仿宋" w:hAnsi="仿宋" w:eastAsia="仿宋" w:cs="Times New Roman"/>
        <w:sz w:val="21"/>
        <w:szCs w:val="21"/>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jc w:val="left"/>
      <w:rPr>
        <w:rFonts w:ascii="仿宋" w:hAnsi="仿宋" w:eastAsia="仿宋"/>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705BFD"/>
    <w:multiLevelType w:val="multilevel"/>
    <w:tmpl w:val="2D705BFD"/>
    <w:lvl w:ilvl="0" w:tentative="0">
      <w:start w:val="1"/>
      <w:numFmt w:val="lowerLetter"/>
      <w:lvlText w:val="%1）"/>
      <w:lvlJc w:val="left"/>
      <w:pPr>
        <w:tabs>
          <w:tab w:val="left" w:pos="1335"/>
        </w:tabs>
        <w:ind w:left="1335" w:hanging="855"/>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pStyle w:val="14"/>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220"/>
  <w:drawingGridVerticalSpacing w:val="184"/>
  <w:doNotShadeFormData w:val="1"/>
  <w:noPunctuationKerning w:val="1"/>
  <w:characterSpacingControl w:val="doNotCompress"/>
  <w:doNotValidateAgainstSchema/>
  <w:doNotDemarcateInvalidXml/>
  <w:footnotePr>
    <w:footnote w:id="0"/>
    <w:footnote w:id="1"/>
  </w:footnotePr>
  <w:compat>
    <w:spaceForUL/>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3NzgwOWM3YWY1NTBjODdjMWIxN2E2ZmIwN2JiZDIifQ=="/>
  </w:docVars>
  <w:rsids>
    <w:rsidRoot w:val="00172A27"/>
    <w:rsid w:val="0000498F"/>
    <w:rsid w:val="0001185F"/>
    <w:rsid w:val="0001503C"/>
    <w:rsid w:val="00035122"/>
    <w:rsid w:val="0005000C"/>
    <w:rsid w:val="00053522"/>
    <w:rsid w:val="0005556A"/>
    <w:rsid w:val="00062054"/>
    <w:rsid w:val="00073A1A"/>
    <w:rsid w:val="00074A1F"/>
    <w:rsid w:val="00081983"/>
    <w:rsid w:val="0008207E"/>
    <w:rsid w:val="00082A99"/>
    <w:rsid w:val="00087434"/>
    <w:rsid w:val="000879C8"/>
    <w:rsid w:val="000A0351"/>
    <w:rsid w:val="000A5BD0"/>
    <w:rsid w:val="000B0596"/>
    <w:rsid w:val="000B1112"/>
    <w:rsid w:val="000B6029"/>
    <w:rsid w:val="000C3879"/>
    <w:rsid w:val="000C3B81"/>
    <w:rsid w:val="000C64FF"/>
    <w:rsid w:val="000E1E0A"/>
    <w:rsid w:val="000E778A"/>
    <w:rsid w:val="000F462A"/>
    <w:rsid w:val="00100388"/>
    <w:rsid w:val="00106F52"/>
    <w:rsid w:val="00111FE8"/>
    <w:rsid w:val="001149F7"/>
    <w:rsid w:val="00125092"/>
    <w:rsid w:val="001272DF"/>
    <w:rsid w:val="001352D4"/>
    <w:rsid w:val="00140136"/>
    <w:rsid w:val="00140543"/>
    <w:rsid w:val="001427BF"/>
    <w:rsid w:val="00145E89"/>
    <w:rsid w:val="00162E86"/>
    <w:rsid w:val="00164AA2"/>
    <w:rsid w:val="00170CA6"/>
    <w:rsid w:val="00172A27"/>
    <w:rsid w:val="00175E8B"/>
    <w:rsid w:val="00184306"/>
    <w:rsid w:val="001A3F6A"/>
    <w:rsid w:val="001A555B"/>
    <w:rsid w:val="001A6F39"/>
    <w:rsid w:val="001A7DAB"/>
    <w:rsid w:val="001B6AB7"/>
    <w:rsid w:val="001C1972"/>
    <w:rsid w:val="001D3926"/>
    <w:rsid w:val="001D51FD"/>
    <w:rsid w:val="001D720B"/>
    <w:rsid w:val="001D7B88"/>
    <w:rsid w:val="001E24E4"/>
    <w:rsid w:val="001E602C"/>
    <w:rsid w:val="001F2FA1"/>
    <w:rsid w:val="001F3666"/>
    <w:rsid w:val="00207E75"/>
    <w:rsid w:val="00210207"/>
    <w:rsid w:val="002102DC"/>
    <w:rsid w:val="002133E0"/>
    <w:rsid w:val="00230C56"/>
    <w:rsid w:val="0023445A"/>
    <w:rsid w:val="00244B30"/>
    <w:rsid w:val="00253868"/>
    <w:rsid w:val="002753D2"/>
    <w:rsid w:val="00295739"/>
    <w:rsid w:val="002A0F83"/>
    <w:rsid w:val="002A2BEA"/>
    <w:rsid w:val="002A40C7"/>
    <w:rsid w:val="002A622D"/>
    <w:rsid w:val="002B1C84"/>
    <w:rsid w:val="002B784F"/>
    <w:rsid w:val="002C48D1"/>
    <w:rsid w:val="002D187C"/>
    <w:rsid w:val="002E218B"/>
    <w:rsid w:val="002F195F"/>
    <w:rsid w:val="002F4476"/>
    <w:rsid w:val="002F5324"/>
    <w:rsid w:val="002F5790"/>
    <w:rsid w:val="003059C2"/>
    <w:rsid w:val="003144EF"/>
    <w:rsid w:val="00314589"/>
    <w:rsid w:val="00325BC9"/>
    <w:rsid w:val="00332F90"/>
    <w:rsid w:val="0033736F"/>
    <w:rsid w:val="003376A9"/>
    <w:rsid w:val="003427EC"/>
    <w:rsid w:val="003434EA"/>
    <w:rsid w:val="00350093"/>
    <w:rsid w:val="003617E8"/>
    <w:rsid w:val="00362845"/>
    <w:rsid w:val="00364089"/>
    <w:rsid w:val="00373492"/>
    <w:rsid w:val="00377D8F"/>
    <w:rsid w:val="00377E78"/>
    <w:rsid w:val="00380575"/>
    <w:rsid w:val="0038078D"/>
    <w:rsid w:val="00381FF9"/>
    <w:rsid w:val="00390FF1"/>
    <w:rsid w:val="003D4E59"/>
    <w:rsid w:val="003D5CB0"/>
    <w:rsid w:val="003D7337"/>
    <w:rsid w:val="003E2BA8"/>
    <w:rsid w:val="0040110F"/>
    <w:rsid w:val="00424F07"/>
    <w:rsid w:val="0043489A"/>
    <w:rsid w:val="004425C2"/>
    <w:rsid w:val="00455362"/>
    <w:rsid w:val="00460158"/>
    <w:rsid w:val="00460744"/>
    <w:rsid w:val="00465F74"/>
    <w:rsid w:val="00474178"/>
    <w:rsid w:val="00476699"/>
    <w:rsid w:val="0049089A"/>
    <w:rsid w:val="00493669"/>
    <w:rsid w:val="004B04DB"/>
    <w:rsid w:val="004B6663"/>
    <w:rsid w:val="004C1022"/>
    <w:rsid w:val="004C2D3A"/>
    <w:rsid w:val="004C4A9F"/>
    <w:rsid w:val="004C6859"/>
    <w:rsid w:val="004C6B07"/>
    <w:rsid w:val="004D2FDD"/>
    <w:rsid w:val="004F0AFD"/>
    <w:rsid w:val="004F2546"/>
    <w:rsid w:val="004F3366"/>
    <w:rsid w:val="004F406F"/>
    <w:rsid w:val="004F500B"/>
    <w:rsid w:val="004F545B"/>
    <w:rsid w:val="0050146E"/>
    <w:rsid w:val="00504EC1"/>
    <w:rsid w:val="00515764"/>
    <w:rsid w:val="00522057"/>
    <w:rsid w:val="00526A7D"/>
    <w:rsid w:val="005275FD"/>
    <w:rsid w:val="00534ED2"/>
    <w:rsid w:val="00541523"/>
    <w:rsid w:val="005434B8"/>
    <w:rsid w:val="00550CA7"/>
    <w:rsid w:val="005601A5"/>
    <w:rsid w:val="005741BD"/>
    <w:rsid w:val="005745EF"/>
    <w:rsid w:val="005775B4"/>
    <w:rsid w:val="00592995"/>
    <w:rsid w:val="00593CB8"/>
    <w:rsid w:val="005A5C00"/>
    <w:rsid w:val="005A6F91"/>
    <w:rsid w:val="005A7CB0"/>
    <w:rsid w:val="005C21E8"/>
    <w:rsid w:val="005C28AF"/>
    <w:rsid w:val="005C332C"/>
    <w:rsid w:val="005D1944"/>
    <w:rsid w:val="005D739B"/>
    <w:rsid w:val="005E08F3"/>
    <w:rsid w:val="005E139D"/>
    <w:rsid w:val="005E5F2F"/>
    <w:rsid w:val="005F1137"/>
    <w:rsid w:val="00600658"/>
    <w:rsid w:val="00607058"/>
    <w:rsid w:val="00607B07"/>
    <w:rsid w:val="00620C0F"/>
    <w:rsid w:val="006331F3"/>
    <w:rsid w:val="00634458"/>
    <w:rsid w:val="006364AE"/>
    <w:rsid w:val="00644A60"/>
    <w:rsid w:val="006464E1"/>
    <w:rsid w:val="00647403"/>
    <w:rsid w:val="006515FF"/>
    <w:rsid w:val="00652BF6"/>
    <w:rsid w:val="0066031D"/>
    <w:rsid w:val="00663989"/>
    <w:rsid w:val="00665674"/>
    <w:rsid w:val="00665E41"/>
    <w:rsid w:val="0068220A"/>
    <w:rsid w:val="006834D5"/>
    <w:rsid w:val="00684190"/>
    <w:rsid w:val="00684C73"/>
    <w:rsid w:val="00694BAB"/>
    <w:rsid w:val="006B25C0"/>
    <w:rsid w:val="006C51D9"/>
    <w:rsid w:val="006C549E"/>
    <w:rsid w:val="006E3529"/>
    <w:rsid w:val="006E57BC"/>
    <w:rsid w:val="006F067B"/>
    <w:rsid w:val="006F123E"/>
    <w:rsid w:val="006F2EFE"/>
    <w:rsid w:val="006F526B"/>
    <w:rsid w:val="00702608"/>
    <w:rsid w:val="00703F14"/>
    <w:rsid w:val="00704505"/>
    <w:rsid w:val="00704670"/>
    <w:rsid w:val="007149FA"/>
    <w:rsid w:val="007242EF"/>
    <w:rsid w:val="00731C5C"/>
    <w:rsid w:val="00731D85"/>
    <w:rsid w:val="007368BC"/>
    <w:rsid w:val="00737003"/>
    <w:rsid w:val="00742ADC"/>
    <w:rsid w:val="00750725"/>
    <w:rsid w:val="00751308"/>
    <w:rsid w:val="00753E34"/>
    <w:rsid w:val="0075525F"/>
    <w:rsid w:val="007741CC"/>
    <w:rsid w:val="00794579"/>
    <w:rsid w:val="007A505F"/>
    <w:rsid w:val="007A6EFD"/>
    <w:rsid w:val="007C34B5"/>
    <w:rsid w:val="007D362B"/>
    <w:rsid w:val="007E68FA"/>
    <w:rsid w:val="007F243C"/>
    <w:rsid w:val="007F3E49"/>
    <w:rsid w:val="007F660C"/>
    <w:rsid w:val="0080193F"/>
    <w:rsid w:val="00804ADC"/>
    <w:rsid w:val="00804D4B"/>
    <w:rsid w:val="00811540"/>
    <w:rsid w:val="00823A59"/>
    <w:rsid w:val="00827583"/>
    <w:rsid w:val="0083461F"/>
    <w:rsid w:val="00842CA3"/>
    <w:rsid w:val="00854252"/>
    <w:rsid w:val="0085617C"/>
    <w:rsid w:val="008561BE"/>
    <w:rsid w:val="008636DD"/>
    <w:rsid w:val="00867056"/>
    <w:rsid w:val="008711C5"/>
    <w:rsid w:val="00871FB1"/>
    <w:rsid w:val="00874A94"/>
    <w:rsid w:val="008836E6"/>
    <w:rsid w:val="00891B34"/>
    <w:rsid w:val="008C0348"/>
    <w:rsid w:val="008C0F62"/>
    <w:rsid w:val="008C2B20"/>
    <w:rsid w:val="008D471D"/>
    <w:rsid w:val="008D5D0B"/>
    <w:rsid w:val="008E0670"/>
    <w:rsid w:val="008F36A1"/>
    <w:rsid w:val="008F4B98"/>
    <w:rsid w:val="008F5655"/>
    <w:rsid w:val="00901775"/>
    <w:rsid w:val="009021CF"/>
    <w:rsid w:val="00903570"/>
    <w:rsid w:val="0090401A"/>
    <w:rsid w:val="009044B3"/>
    <w:rsid w:val="009073BA"/>
    <w:rsid w:val="00915147"/>
    <w:rsid w:val="00921586"/>
    <w:rsid w:val="00925915"/>
    <w:rsid w:val="00932272"/>
    <w:rsid w:val="009324CA"/>
    <w:rsid w:val="00940774"/>
    <w:rsid w:val="009429A8"/>
    <w:rsid w:val="00945343"/>
    <w:rsid w:val="00953B24"/>
    <w:rsid w:val="0095488F"/>
    <w:rsid w:val="00972C71"/>
    <w:rsid w:val="00976110"/>
    <w:rsid w:val="0097657D"/>
    <w:rsid w:val="0097799D"/>
    <w:rsid w:val="00982BD9"/>
    <w:rsid w:val="00993F3E"/>
    <w:rsid w:val="009A62D1"/>
    <w:rsid w:val="009B27F7"/>
    <w:rsid w:val="009B2E9A"/>
    <w:rsid w:val="009B5533"/>
    <w:rsid w:val="009B6DAC"/>
    <w:rsid w:val="009D0892"/>
    <w:rsid w:val="009D1EB1"/>
    <w:rsid w:val="009D2927"/>
    <w:rsid w:val="009D5AFA"/>
    <w:rsid w:val="009F4870"/>
    <w:rsid w:val="009F692B"/>
    <w:rsid w:val="00A022A2"/>
    <w:rsid w:val="00A0584D"/>
    <w:rsid w:val="00A202AE"/>
    <w:rsid w:val="00A323F1"/>
    <w:rsid w:val="00A360A5"/>
    <w:rsid w:val="00A40819"/>
    <w:rsid w:val="00A47029"/>
    <w:rsid w:val="00A53A3D"/>
    <w:rsid w:val="00A574ED"/>
    <w:rsid w:val="00A61047"/>
    <w:rsid w:val="00A634FE"/>
    <w:rsid w:val="00A6401D"/>
    <w:rsid w:val="00A663FA"/>
    <w:rsid w:val="00A66536"/>
    <w:rsid w:val="00A67ECA"/>
    <w:rsid w:val="00A714BF"/>
    <w:rsid w:val="00A8578F"/>
    <w:rsid w:val="00A901DA"/>
    <w:rsid w:val="00A9056B"/>
    <w:rsid w:val="00A97672"/>
    <w:rsid w:val="00A97C8F"/>
    <w:rsid w:val="00AB125B"/>
    <w:rsid w:val="00AB38EA"/>
    <w:rsid w:val="00AC4392"/>
    <w:rsid w:val="00AC6424"/>
    <w:rsid w:val="00AC6D53"/>
    <w:rsid w:val="00AF4862"/>
    <w:rsid w:val="00AF74BC"/>
    <w:rsid w:val="00B00772"/>
    <w:rsid w:val="00B0503D"/>
    <w:rsid w:val="00B06BFF"/>
    <w:rsid w:val="00B32B97"/>
    <w:rsid w:val="00B35E0F"/>
    <w:rsid w:val="00B362F8"/>
    <w:rsid w:val="00B37307"/>
    <w:rsid w:val="00B504A7"/>
    <w:rsid w:val="00B5532A"/>
    <w:rsid w:val="00B56A68"/>
    <w:rsid w:val="00B61A29"/>
    <w:rsid w:val="00B90A27"/>
    <w:rsid w:val="00B91012"/>
    <w:rsid w:val="00B965DF"/>
    <w:rsid w:val="00BA3D23"/>
    <w:rsid w:val="00BA6054"/>
    <w:rsid w:val="00BB1931"/>
    <w:rsid w:val="00BC1137"/>
    <w:rsid w:val="00BC4665"/>
    <w:rsid w:val="00BE198C"/>
    <w:rsid w:val="00BE457C"/>
    <w:rsid w:val="00BF1577"/>
    <w:rsid w:val="00C1231C"/>
    <w:rsid w:val="00C20678"/>
    <w:rsid w:val="00C2408E"/>
    <w:rsid w:val="00C27F98"/>
    <w:rsid w:val="00C30840"/>
    <w:rsid w:val="00C40CB8"/>
    <w:rsid w:val="00C46767"/>
    <w:rsid w:val="00C5092D"/>
    <w:rsid w:val="00C602DD"/>
    <w:rsid w:val="00C73C4C"/>
    <w:rsid w:val="00C74727"/>
    <w:rsid w:val="00C8141F"/>
    <w:rsid w:val="00C82518"/>
    <w:rsid w:val="00C979DB"/>
    <w:rsid w:val="00CA2F77"/>
    <w:rsid w:val="00CA531A"/>
    <w:rsid w:val="00CA5E2C"/>
    <w:rsid w:val="00CB08A6"/>
    <w:rsid w:val="00CB24AE"/>
    <w:rsid w:val="00CB58BC"/>
    <w:rsid w:val="00CC59EC"/>
    <w:rsid w:val="00CC6482"/>
    <w:rsid w:val="00CC6B22"/>
    <w:rsid w:val="00CC6E73"/>
    <w:rsid w:val="00CD5B32"/>
    <w:rsid w:val="00CE0F9E"/>
    <w:rsid w:val="00CF49E3"/>
    <w:rsid w:val="00D0355C"/>
    <w:rsid w:val="00D11B31"/>
    <w:rsid w:val="00D1255A"/>
    <w:rsid w:val="00D1373D"/>
    <w:rsid w:val="00D35464"/>
    <w:rsid w:val="00D35A51"/>
    <w:rsid w:val="00D557FE"/>
    <w:rsid w:val="00D657F5"/>
    <w:rsid w:val="00D66C99"/>
    <w:rsid w:val="00D746BB"/>
    <w:rsid w:val="00D817B6"/>
    <w:rsid w:val="00DA0174"/>
    <w:rsid w:val="00DA0714"/>
    <w:rsid w:val="00DA3B47"/>
    <w:rsid w:val="00DA5450"/>
    <w:rsid w:val="00DB30A6"/>
    <w:rsid w:val="00DB626D"/>
    <w:rsid w:val="00DC1542"/>
    <w:rsid w:val="00DC35E3"/>
    <w:rsid w:val="00DC4475"/>
    <w:rsid w:val="00DF3DCE"/>
    <w:rsid w:val="00DF53DC"/>
    <w:rsid w:val="00DF5C29"/>
    <w:rsid w:val="00E0277A"/>
    <w:rsid w:val="00E03143"/>
    <w:rsid w:val="00E0540F"/>
    <w:rsid w:val="00E066FC"/>
    <w:rsid w:val="00E1129D"/>
    <w:rsid w:val="00E16F3C"/>
    <w:rsid w:val="00E26783"/>
    <w:rsid w:val="00E34B0B"/>
    <w:rsid w:val="00E416DB"/>
    <w:rsid w:val="00E45AF0"/>
    <w:rsid w:val="00E57DCD"/>
    <w:rsid w:val="00E72BDA"/>
    <w:rsid w:val="00E73F1C"/>
    <w:rsid w:val="00E919AD"/>
    <w:rsid w:val="00E94D06"/>
    <w:rsid w:val="00E97E52"/>
    <w:rsid w:val="00EA6262"/>
    <w:rsid w:val="00EA6270"/>
    <w:rsid w:val="00EA7B75"/>
    <w:rsid w:val="00EC25D0"/>
    <w:rsid w:val="00ED2E49"/>
    <w:rsid w:val="00ED313B"/>
    <w:rsid w:val="00ED76BD"/>
    <w:rsid w:val="00EE3A28"/>
    <w:rsid w:val="00EE60CB"/>
    <w:rsid w:val="00F140B3"/>
    <w:rsid w:val="00F169A2"/>
    <w:rsid w:val="00F2406E"/>
    <w:rsid w:val="00F251D1"/>
    <w:rsid w:val="00F276DC"/>
    <w:rsid w:val="00F332C2"/>
    <w:rsid w:val="00F35965"/>
    <w:rsid w:val="00F71B65"/>
    <w:rsid w:val="00F71D04"/>
    <w:rsid w:val="00F750B5"/>
    <w:rsid w:val="00F83BC5"/>
    <w:rsid w:val="00F92448"/>
    <w:rsid w:val="00F93836"/>
    <w:rsid w:val="00FA3A94"/>
    <w:rsid w:val="00FC2A10"/>
    <w:rsid w:val="00FC388E"/>
    <w:rsid w:val="00FC771B"/>
    <w:rsid w:val="00FD2084"/>
    <w:rsid w:val="00FE0D61"/>
    <w:rsid w:val="00FE210B"/>
    <w:rsid w:val="00FE6A5E"/>
    <w:rsid w:val="00FF4B5A"/>
    <w:rsid w:val="00FF59B1"/>
    <w:rsid w:val="00FF67AB"/>
    <w:rsid w:val="014A4B87"/>
    <w:rsid w:val="01EE19B6"/>
    <w:rsid w:val="024C0DD3"/>
    <w:rsid w:val="0277496A"/>
    <w:rsid w:val="02876325"/>
    <w:rsid w:val="03373831"/>
    <w:rsid w:val="037E6FB3"/>
    <w:rsid w:val="04184C80"/>
    <w:rsid w:val="047F2E62"/>
    <w:rsid w:val="04CF3FE6"/>
    <w:rsid w:val="04E06561"/>
    <w:rsid w:val="050D4849"/>
    <w:rsid w:val="05CF3471"/>
    <w:rsid w:val="06BF46D9"/>
    <w:rsid w:val="071B2D26"/>
    <w:rsid w:val="07AA54C3"/>
    <w:rsid w:val="08494679"/>
    <w:rsid w:val="085B6217"/>
    <w:rsid w:val="09060CCF"/>
    <w:rsid w:val="09AF2373"/>
    <w:rsid w:val="0A9F5791"/>
    <w:rsid w:val="0AFE39F0"/>
    <w:rsid w:val="0B1A0CC5"/>
    <w:rsid w:val="0B1C3A38"/>
    <w:rsid w:val="0B531804"/>
    <w:rsid w:val="0BF776F5"/>
    <w:rsid w:val="0C5965C6"/>
    <w:rsid w:val="0D78730B"/>
    <w:rsid w:val="0F492922"/>
    <w:rsid w:val="0FB8553C"/>
    <w:rsid w:val="103C2486"/>
    <w:rsid w:val="10437BAD"/>
    <w:rsid w:val="11D32976"/>
    <w:rsid w:val="11E909E0"/>
    <w:rsid w:val="12051897"/>
    <w:rsid w:val="12586924"/>
    <w:rsid w:val="125E6BEC"/>
    <w:rsid w:val="12660DD1"/>
    <w:rsid w:val="12F44216"/>
    <w:rsid w:val="13071CE4"/>
    <w:rsid w:val="13225090"/>
    <w:rsid w:val="137F7355"/>
    <w:rsid w:val="13BA4CC8"/>
    <w:rsid w:val="142C636E"/>
    <w:rsid w:val="152A0E4C"/>
    <w:rsid w:val="15302130"/>
    <w:rsid w:val="15402B24"/>
    <w:rsid w:val="154F4D83"/>
    <w:rsid w:val="15B37995"/>
    <w:rsid w:val="169C77DB"/>
    <w:rsid w:val="16A50D85"/>
    <w:rsid w:val="17FE4A2B"/>
    <w:rsid w:val="192F127D"/>
    <w:rsid w:val="1A2C70C8"/>
    <w:rsid w:val="1B8847D2"/>
    <w:rsid w:val="1C672639"/>
    <w:rsid w:val="1CC348D5"/>
    <w:rsid w:val="1D4C7B56"/>
    <w:rsid w:val="1E2E0A6A"/>
    <w:rsid w:val="1EA827A1"/>
    <w:rsid w:val="1EC07EE4"/>
    <w:rsid w:val="1EEB2AB1"/>
    <w:rsid w:val="1F463125"/>
    <w:rsid w:val="1F915A44"/>
    <w:rsid w:val="1FBF278C"/>
    <w:rsid w:val="20BD052C"/>
    <w:rsid w:val="212D65AF"/>
    <w:rsid w:val="21466D23"/>
    <w:rsid w:val="221C66D0"/>
    <w:rsid w:val="225B3C0B"/>
    <w:rsid w:val="22BA4BA3"/>
    <w:rsid w:val="23393E3B"/>
    <w:rsid w:val="237C294C"/>
    <w:rsid w:val="23EA221E"/>
    <w:rsid w:val="244A6AC8"/>
    <w:rsid w:val="24871C3E"/>
    <w:rsid w:val="258F05E5"/>
    <w:rsid w:val="27AD2980"/>
    <w:rsid w:val="28084A33"/>
    <w:rsid w:val="282D543B"/>
    <w:rsid w:val="284C60A1"/>
    <w:rsid w:val="28E65831"/>
    <w:rsid w:val="29514455"/>
    <w:rsid w:val="29EA10A7"/>
    <w:rsid w:val="2A1F65FD"/>
    <w:rsid w:val="2A742AF1"/>
    <w:rsid w:val="2A8E3487"/>
    <w:rsid w:val="2ACF456C"/>
    <w:rsid w:val="2B082877"/>
    <w:rsid w:val="2C842D93"/>
    <w:rsid w:val="2CDB1E05"/>
    <w:rsid w:val="2D130609"/>
    <w:rsid w:val="2D1D0EF3"/>
    <w:rsid w:val="2D324265"/>
    <w:rsid w:val="2D822E79"/>
    <w:rsid w:val="2DA65395"/>
    <w:rsid w:val="2E795DDC"/>
    <w:rsid w:val="2EDA4B20"/>
    <w:rsid w:val="2F0744AE"/>
    <w:rsid w:val="2FCC6F2B"/>
    <w:rsid w:val="3159625A"/>
    <w:rsid w:val="315C608D"/>
    <w:rsid w:val="3288519D"/>
    <w:rsid w:val="341312C5"/>
    <w:rsid w:val="341F204B"/>
    <w:rsid w:val="352E06EF"/>
    <w:rsid w:val="36BB3856"/>
    <w:rsid w:val="36D06EE3"/>
    <w:rsid w:val="37012676"/>
    <w:rsid w:val="374E0226"/>
    <w:rsid w:val="37976071"/>
    <w:rsid w:val="37B66ED9"/>
    <w:rsid w:val="3ACB6A0D"/>
    <w:rsid w:val="3AD60E7E"/>
    <w:rsid w:val="3AF54296"/>
    <w:rsid w:val="3CF65CBB"/>
    <w:rsid w:val="3D470DC0"/>
    <w:rsid w:val="3DDA1943"/>
    <w:rsid w:val="3DE03BA2"/>
    <w:rsid w:val="3EED513E"/>
    <w:rsid w:val="3EF805A7"/>
    <w:rsid w:val="3F8B53D3"/>
    <w:rsid w:val="3FE9104C"/>
    <w:rsid w:val="40D445CB"/>
    <w:rsid w:val="417D171B"/>
    <w:rsid w:val="42D35B43"/>
    <w:rsid w:val="42F65120"/>
    <w:rsid w:val="430622FC"/>
    <w:rsid w:val="439C1A4B"/>
    <w:rsid w:val="44187533"/>
    <w:rsid w:val="442B1774"/>
    <w:rsid w:val="44344EC9"/>
    <w:rsid w:val="44D244DF"/>
    <w:rsid w:val="44DE7539"/>
    <w:rsid w:val="45195FA7"/>
    <w:rsid w:val="45BC6CA2"/>
    <w:rsid w:val="462A00B0"/>
    <w:rsid w:val="462E384B"/>
    <w:rsid w:val="46974916"/>
    <w:rsid w:val="470D1EAB"/>
    <w:rsid w:val="471320C0"/>
    <w:rsid w:val="475764BC"/>
    <w:rsid w:val="477C2B8D"/>
    <w:rsid w:val="47C14E2C"/>
    <w:rsid w:val="47C61A64"/>
    <w:rsid w:val="47D11466"/>
    <w:rsid w:val="47E829C4"/>
    <w:rsid w:val="480451C0"/>
    <w:rsid w:val="480F57AF"/>
    <w:rsid w:val="48115614"/>
    <w:rsid w:val="48342D0B"/>
    <w:rsid w:val="4848045E"/>
    <w:rsid w:val="494B5CCD"/>
    <w:rsid w:val="4A331C29"/>
    <w:rsid w:val="4A4E75FB"/>
    <w:rsid w:val="4A5A4578"/>
    <w:rsid w:val="4A934476"/>
    <w:rsid w:val="4AF04B7C"/>
    <w:rsid w:val="4C1B6783"/>
    <w:rsid w:val="4C9449BD"/>
    <w:rsid w:val="4C950580"/>
    <w:rsid w:val="4DE57614"/>
    <w:rsid w:val="4E297B5E"/>
    <w:rsid w:val="4E4A12EF"/>
    <w:rsid w:val="4F5B1765"/>
    <w:rsid w:val="4FA7451F"/>
    <w:rsid w:val="4FDE2637"/>
    <w:rsid w:val="51535659"/>
    <w:rsid w:val="5180785D"/>
    <w:rsid w:val="52987ADA"/>
    <w:rsid w:val="53A05E55"/>
    <w:rsid w:val="53D64E6D"/>
    <w:rsid w:val="544C2BD5"/>
    <w:rsid w:val="54B779F6"/>
    <w:rsid w:val="557B6445"/>
    <w:rsid w:val="56B84750"/>
    <w:rsid w:val="577722CF"/>
    <w:rsid w:val="58D925C7"/>
    <w:rsid w:val="595E1A61"/>
    <w:rsid w:val="59A43E1E"/>
    <w:rsid w:val="59D2663D"/>
    <w:rsid w:val="5AC34FE6"/>
    <w:rsid w:val="5BED775E"/>
    <w:rsid w:val="5CA84985"/>
    <w:rsid w:val="5DB83D2F"/>
    <w:rsid w:val="5DC34C1A"/>
    <w:rsid w:val="5DD51884"/>
    <w:rsid w:val="5E1A47B6"/>
    <w:rsid w:val="5E1E62F4"/>
    <w:rsid w:val="5E742DA7"/>
    <w:rsid w:val="5E9358E7"/>
    <w:rsid w:val="5FFC0C17"/>
    <w:rsid w:val="610D597E"/>
    <w:rsid w:val="6136402A"/>
    <w:rsid w:val="61745909"/>
    <w:rsid w:val="61A95C5D"/>
    <w:rsid w:val="62AC3ECF"/>
    <w:rsid w:val="62DA67BC"/>
    <w:rsid w:val="63122E76"/>
    <w:rsid w:val="63C81A1B"/>
    <w:rsid w:val="64705DA4"/>
    <w:rsid w:val="64FD367D"/>
    <w:rsid w:val="65D6683E"/>
    <w:rsid w:val="661C3EE3"/>
    <w:rsid w:val="66E55C01"/>
    <w:rsid w:val="67515193"/>
    <w:rsid w:val="678F1AD6"/>
    <w:rsid w:val="67C23C91"/>
    <w:rsid w:val="6893562C"/>
    <w:rsid w:val="68AC10D0"/>
    <w:rsid w:val="6BE207F7"/>
    <w:rsid w:val="6C11769C"/>
    <w:rsid w:val="6C126D62"/>
    <w:rsid w:val="6CE41B15"/>
    <w:rsid w:val="6E835B20"/>
    <w:rsid w:val="702F3B6E"/>
    <w:rsid w:val="70452BFE"/>
    <w:rsid w:val="70754591"/>
    <w:rsid w:val="70C93E90"/>
    <w:rsid w:val="70E17439"/>
    <w:rsid w:val="712437CA"/>
    <w:rsid w:val="71D8620D"/>
    <w:rsid w:val="720C21F6"/>
    <w:rsid w:val="72115F40"/>
    <w:rsid w:val="7292145A"/>
    <w:rsid w:val="72F21DD2"/>
    <w:rsid w:val="730B18FD"/>
    <w:rsid w:val="73871C90"/>
    <w:rsid w:val="73F844EA"/>
    <w:rsid w:val="73FC0A2E"/>
    <w:rsid w:val="742C4E6F"/>
    <w:rsid w:val="74A54AB9"/>
    <w:rsid w:val="758945E6"/>
    <w:rsid w:val="75AD3D8E"/>
    <w:rsid w:val="760616F0"/>
    <w:rsid w:val="76244FF0"/>
    <w:rsid w:val="76565EE2"/>
    <w:rsid w:val="768368B5"/>
    <w:rsid w:val="76BA50B7"/>
    <w:rsid w:val="77B30164"/>
    <w:rsid w:val="77C413D7"/>
    <w:rsid w:val="786A4D84"/>
    <w:rsid w:val="78CD4747"/>
    <w:rsid w:val="79826362"/>
    <w:rsid w:val="7A3362B1"/>
    <w:rsid w:val="7A892F6C"/>
    <w:rsid w:val="7A9326C0"/>
    <w:rsid w:val="7A9754AF"/>
    <w:rsid w:val="7B2C7E4B"/>
    <w:rsid w:val="7B5F3D7C"/>
    <w:rsid w:val="7C553B54"/>
    <w:rsid w:val="7C66738C"/>
    <w:rsid w:val="7CFA3452"/>
    <w:rsid w:val="7D796C4C"/>
    <w:rsid w:val="7E4E67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link w:val="9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9"/>
    <w:autoRedefine/>
    <w:qFormat/>
    <w:uiPriority w:val="0"/>
    <w:pPr>
      <w:keepNext/>
      <w:keepLines/>
      <w:widowControl w:val="0"/>
      <w:adjustRightInd/>
      <w:snapToGrid/>
      <w:spacing w:after="0" w:line="360" w:lineRule="exact"/>
      <w:jc w:val="both"/>
      <w:outlineLvl w:val="1"/>
    </w:pPr>
    <w:rPr>
      <w:rFonts w:ascii="Times New Roman" w:hAnsi="Times New Roman" w:eastAsia="宋体"/>
      <w:bCs/>
      <w:kern w:val="2"/>
      <w:sz w:val="21"/>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spacing w:before="120" w:after="320" w:line="500" w:lineRule="exact"/>
      <w:ind w:firstLine="420"/>
    </w:pPr>
    <w:rPr>
      <w:rFonts w:ascii="宋体" w:hAnsi="宋体" w:eastAsia="宋体"/>
      <w:sz w:val="28"/>
      <w:szCs w:val="20"/>
    </w:rPr>
  </w:style>
  <w:style w:type="paragraph" w:styleId="7">
    <w:name w:val="Document Map"/>
    <w:basedOn w:val="1"/>
    <w:autoRedefine/>
    <w:semiHidden/>
    <w:qFormat/>
    <w:uiPriority w:val="0"/>
    <w:pPr>
      <w:shd w:val="clear" w:color="auto" w:fill="000080"/>
    </w:pPr>
  </w:style>
  <w:style w:type="paragraph" w:styleId="8">
    <w:name w:val="annotation text"/>
    <w:basedOn w:val="1"/>
    <w:link w:val="65"/>
    <w:autoRedefine/>
    <w:qFormat/>
    <w:uiPriority w:val="0"/>
  </w:style>
  <w:style w:type="paragraph" w:styleId="9">
    <w:name w:val="Body Text"/>
    <w:basedOn w:val="1"/>
    <w:next w:val="10"/>
    <w:autoRedefine/>
    <w:qFormat/>
    <w:uiPriority w:val="0"/>
    <w:pPr>
      <w:spacing w:after="120"/>
    </w:pPr>
  </w:style>
  <w:style w:type="paragraph" w:customStyle="1" w:styleId="10">
    <w:name w:val="Normal (Web)1"/>
    <w:basedOn w:val="1"/>
    <w:next w:val="11"/>
    <w:autoRedefine/>
    <w:qFormat/>
    <w:uiPriority w:val="0"/>
    <w:rPr>
      <w:rFonts w:ascii="宋体"/>
      <w:sz w:val="24"/>
      <w:szCs w:val="21"/>
    </w:rPr>
  </w:style>
  <w:style w:type="paragraph" w:customStyle="1" w:styleId="11">
    <w:name w:val="Date1"/>
    <w:basedOn w:val="1"/>
    <w:next w:val="1"/>
    <w:autoRedefine/>
    <w:qFormat/>
    <w:uiPriority w:val="0"/>
    <w:pPr>
      <w:ind w:left="2500" w:leftChars="2500"/>
    </w:pPr>
  </w:style>
  <w:style w:type="paragraph" w:styleId="12">
    <w:name w:val="Body Text Indent"/>
    <w:basedOn w:val="1"/>
    <w:next w:val="13"/>
    <w:autoRedefine/>
    <w:qFormat/>
    <w:uiPriority w:val="0"/>
    <w:pPr>
      <w:widowControl w:val="0"/>
      <w:adjustRightInd/>
      <w:snapToGrid/>
      <w:spacing w:after="120"/>
      <w:ind w:left="420" w:leftChars="200"/>
      <w:jc w:val="both"/>
    </w:pPr>
    <w:rPr>
      <w:rFonts w:ascii="Times New Roman" w:hAnsi="Times New Roman" w:eastAsia="宋体"/>
      <w:kern w:val="2"/>
      <w:sz w:val="21"/>
      <w:szCs w:val="24"/>
    </w:rPr>
  </w:style>
  <w:style w:type="paragraph" w:styleId="13">
    <w:name w:val="header"/>
    <w:basedOn w:val="1"/>
    <w:next w:val="14"/>
    <w:link w:val="66"/>
    <w:autoRedefine/>
    <w:qFormat/>
    <w:uiPriority w:val="0"/>
    <w:pPr>
      <w:pBdr>
        <w:bottom w:val="single" w:color="auto" w:sz="6" w:space="1"/>
      </w:pBdr>
      <w:tabs>
        <w:tab w:val="center" w:pos="4153"/>
        <w:tab w:val="right" w:pos="8306"/>
      </w:tabs>
      <w:jc w:val="center"/>
    </w:pPr>
    <w:rPr>
      <w:sz w:val="18"/>
      <w:szCs w:val="18"/>
    </w:rPr>
  </w:style>
  <w:style w:type="paragraph" w:customStyle="1" w:styleId="14">
    <w:name w:val="样式5"/>
    <w:basedOn w:val="6"/>
    <w:autoRedefine/>
    <w:qFormat/>
    <w:uiPriority w:val="0"/>
    <w:pPr>
      <w:numPr>
        <w:ilvl w:val="4"/>
        <w:numId w:val="1"/>
      </w:numPr>
    </w:pPr>
    <w:rPr>
      <w:szCs w:val="21"/>
    </w:rPr>
  </w:style>
  <w:style w:type="paragraph" w:styleId="15">
    <w:name w:val="Plain Text"/>
    <w:basedOn w:val="1"/>
    <w:autoRedefine/>
    <w:qFormat/>
    <w:uiPriority w:val="0"/>
    <w:rPr>
      <w:rFonts w:ascii="宋体" w:hAnsi="Courier New"/>
      <w:sz w:val="21"/>
      <w:szCs w:val="20"/>
    </w:rPr>
  </w:style>
  <w:style w:type="paragraph" w:styleId="16">
    <w:name w:val="Date"/>
    <w:basedOn w:val="1"/>
    <w:next w:val="1"/>
    <w:autoRedefine/>
    <w:qFormat/>
    <w:uiPriority w:val="0"/>
    <w:pPr>
      <w:ind w:left="100" w:leftChars="2500"/>
    </w:pPr>
    <w:rPr>
      <w:rFonts w:ascii="宋体" w:hAnsi="宋体" w:eastAsia="宋体"/>
      <w:bCs/>
      <w:color w:val="000000"/>
      <w:szCs w:val="24"/>
    </w:rPr>
  </w:style>
  <w:style w:type="paragraph" w:styleId="17">
    <w:name w:val="Body Text Indent 2"/>
    <w:basedOn w:val="1"/>
    <w:autoRedefine/>
    <w:qFormat/>
    <w:uiPriority w:val="0"/>
    <w:pPr>
      <w:spacing w:after="120" w:line="480" w:lineRule="auto"/>
      <w:ind w:left="420" w:leftChars="200"/>
    </w:pPr>
  </w:style>
  <w:style w:type="paragraph" w:styleId="18">
    <w:name w:val="Balloon Text"/>
    <w:basedOn w:val="1"/>
    <w:link w:val="79"/>
    <w:autoRedefine/>
    <w:qFormat/>
    <w:uiPriority w:val="0"/>
    <w:pPr>
      <w:spacing w:after="0"/>
    </w:pPr>
    <w:rPr>
      <w:sz w:val="18"/>
      <w:szCs w:val="18"/>
    </w:rPr>
  </w:style>
  <w:style w:type="paragraph" w:styleId="19">
    <w:name w:val="footer"/>
    <w:basedOn w:val="1"/>
    <w:next w:val="1"/>
    <w:link w:val="83"/>
    <w:autoRedefine/>
    <w:qFormat/>
    <w:uiPriority w:val="0"/>
    <w:pPr>
      <w:tabs>
        <w:tab w:val="center" w:pos="4153"/>
        <w:tab w:val="right" w:pos="8306"/>
      </w:tabs>
    </w:pPr>
    <w:rPr>
      <w:sz w:val="18"/>
      <w:szCs w:val="18"/>
    </w:rPr>
  </w:style>
  <w:style w:type="paragraph" w:styleId="20">
    <w:name w:val="toc 1"/>
    <w:basedOn w:val="1"/>
    <w:next w:val="1"/>
    <w:autoRedefine/>
    <w:qFormat/>
    <w:uiPriority w:val="0"/>
  </w:style>
  <w:style w:type="paragraph" w:styleId="21">
    <w:name w:val="toc 2"/>
    <w:basedOn w:val="1"/>
    <w:next w:val="1"/>
    <w:autoRedefine/>
    <w:qFormat/>
    <w:uiPriority w:val="0"/>
    <w:pPr>
      <w:ind w:left="420" w:leftChars="200"/>
    </w:pPr>
  </w:style>
  <w:style w:type="paragraph" w:styleId="22">
    <w:name w:val="Body Text 2"/>
    <w:basedOn w:val="1"/>
    <w:autoRedefine/>
    <w:qFormat/>
    <w:uiPriority w:val="0"/>
    <w:pPr>
      <w:spacing w:after="120" w:line="480" w:lineRule="auto"/>
    </w:pPr>
  </w:style>
  <w:style w:type="paragraph" w:styleId="23">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spacing w:line="520" w:lineRule="exact"/>
      <w:ind w:left="1080" w:leftChars="500" w:hanging="1080" w:hangingChars="500"/>
    </w:pPr>
    <w:rPr>
      <w:rFonts w:ascii="Arial" w:hAnsi="Arial" w:cs="Arial"/>
      <w:bCs/>
      <w:sz w:val="24"/>
    </w:rPr>
  </w:style>
  <w:style w:type="paragraph" w:styleId="24">
    <w:name w:val="annotation subject"/>
    <w:basedOn w:val="8"/>
    <w:next w:val="8"/>
    <w:link w:val="70"/>
    <w:autoRedefine/>
    <w:qFormat/>
    <w:uiPriority w:val="0"/>
    <w:rPr>
      <w:b/>
      <w:bCs/>
    </w:rPr>
  </w:style>
  <w:style w:type="paragraph" w:styleId="25">
    <w:name w:val="Body Text First Indent"/>
    <w:basedOn w:val="9"/>
    <w:next w:val="1"/>
    <w:autoRedefine/>
    <w:qFormat/>
    <w:uiPriority w:val="0"/>
    <w:pPr>
      <w:ind w:firstLine="420" w:firstLineChars="100"/>
    </w:pPr>
  </w:style>
  <w:style w:type="paragraph" w:styleId="26">
    <w:name w:val="Body Text First Indent 2"/>
    <w:basedOn w:val="12"/>
    <w:next w:val="1"/>
    <w:autoRedefine/>
    <w:qFormat/>
    <w:uiPriority w:val="0"/>
    <w:pPr>
      <w:ind w:firstLine="420" w:firstLineChars="200"/>
    </w:pPr>
    <w:rPr>
      <w:szCs w:val="20"/>
    </w:rPr>
  </w:style>
  <w:style w:type="table" w:styleId="28">
    <w:name w:val="Table Grid"/>
    <w:basedOn w:val="27"/>
    <w:autoRedefine/>
    <w:qFormat/>
    <w:uiPriority w:val="0"/>
    <w:pPr>
      <w:adjustRightInd w:val="0"/>
      <w:snapToGrid w:val="0"/>
      <w:spacing w:after="20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autoRedefine/>
    <w:qFormat/>
    <w:uiPriority w:val="0"/>
    <w:rPr>
      <w:b/>
      <w:bCs/>
    </w:rPr>
  </w:style>
  <w:style w:type="character" w:styleId="31">
    <w:name w:val="page number"/>
    <w:basedOn w:val="29"/>
    <w:autoRedefine/>
    <w:qFormat/>
    <w:uiPriority w:val="0"/>
  </w:style>
  <w:style w:type="character" w:styleId="32">
    <w:name w:val="annotation reference"/>
    <w:autoRedefine/>
    <w:qFormat/>
    <w:uiPriority w:val="0"/>
    <w:rPr>
      <w:sz w:val="21"/>
      <w:szCs w:val="21"/>
    </w:rPr>
  </w:style>
  <w:style w:type="paragraph" w:customStyle="1" w:styleId="33">
    <w:name w:val="Default"/>
    <w:basedOn w:val="34"/>
    <w:next w:val="1"/>
    <w:autoRedefine/>
    <w:qFormat/>
    <w:uiPriority w:val="0"/>
    <w:pPr>
      <w:widowControl w:val="0"/>
      <w:autoSpaceDE w:val="0"/>
      <w:autoSpaceDN w:val="0"/>
    </w:pPr>
    <w:rPr>
      <w:rFonts w:hAnsi="Calibri" w:eastAsia="宋体" w:cs="宋体"/>
      <w:color w:val="000000"/>
      <w:sz w:val="24"/>
      <w:szCs w:val="24"/>
    </w:rPr>
  </w:style>
  <w:style w:type="paragraph" w:customStyle="1" w:styleId="34">
    <w:name w:val="纯文本1"/>
    <w:basedOn w:val="1"/>
    <w:autoRedefine/>
    <w:qFormat/>
    <w:uiPriority w:val="0"/>
    <w:rPr>
      <w:rFonts w:ascii="宋体" w:hAnsi="Courier New"/>
      <w:szCs w:val="20"/>
    </w:rPr>
  </w:style>
  <w:style w:type="character" w:customStyle="1" w:styleId="35">
    <w:name w:val="标题 1 Char"/>
    <w:autoRedefine/>
    <w:qFormat/>
    <w:uiPriority w:val="0"/>
    <w:rPr>
      <w:rFonts w:ascii="Tahoma" w:hAnsi="Tahoma" w:eastAsia="微软雅黑"/>
      <w:b/>
      <w:bCs/>
      <w:kern w:val="44"/>
      <w:sz w:val="44"/>
      <w:szCs w:val="44"/>
    </w:rPr>
  </w:style>
  <w:style w:type="paragraph" w:customStyle="1" w:styleId="36">
    <w:name w:val="正文00"/>
    <w:basedOn w:val="1"/>
    <w:link w:val="84"/>
    <w:autoRedefine/>
    <w:qFormat/>
    <w:uiPriority w:val="0"/>
    <w:pPr>
      <w:widowControl w:val="0"/>
      <w:adjustRightInd/>
      <w:snapToGrid/>
      <w:spacing w:after="0" w:line="500" w:lineRule="exact"/>
      <w:ind w:firstLine="200" w:firstLineChars="200"/>
    </w:pPr>
    <w:rPr>
      <w:rFonts w:ascii="Times New Roman" w:hAnsi="Times New Roman" w:eastAsia="宋体"/>
      <w:kern w:val="2"/>
      <w:sz w:val="28"/>
      <w:szCs w:val="24"/>
    </w:rPr>
  </w:style>
  <w:style w:type="paragraph" w:customStyle="1" w:styleId="37">
    <w:name w:val="【表中文字】"/>
    <w:basedOn w:val="1"/>
    <w:link w:val="68"/>
    <w:autoRedefine/>
    <w:qFormat/>
    <w:uiPriority w:val="0"/>
    <w:pPr>
      <w:widowControl w:val="0"/>
      <w:adjustRightInd/>
      <w:snapToGrid/>
      <w:spacing w:after="0" w:line="380" w:lineRule="exact"/>
      <w:jc w:val="center"/>
    </w:pPr>
    <w:rPr>
      <w:rFonts w:ascii="Times New Roman" w:hAnsi="Times New Roman" w:eastAsia="宋体"/>
      <w:sz w:val="20"/>
      <w:szCs w:val="20"/>
    </w:rPr>
  </w:style>
  <w:style w:type="paragraph" w:customStyle="1" w:styleId="38">
    <w:name w:val="Char Char Char Char"/>
    <w:basedOn w:val="1"/>
    <w:autoRedefine/>
    <w:semiHidden/>
    <w:qFormat/>
    <w:uiPriority w:val="0"/>
    <w:pPr>
      <w:widowControl w:val="0"/>
      <w:adjustRightInd/>
      <w:snapToGrid/>
      <w:spacing w:after="0"/>
      <w:jc w:val="both"/>
    </w:pPr>
    <w:rPr>
      <w:rFonts w:ascii="Times New Roman" w:hAnsi="Times New Roman" w:eastAsia="宋体"/>
      <w:kern w:val="2"/>
      <w:sz w:val="21"/>
      <w:szCs w:val="24"/>
    </w:rPr>
  </w:style>
  <w:style w:type="paragraph" w:customStyle="1" w:styleId="39">
    <w:name w:val="批注主题1"/>
    <w:basedOn w:val="8"/>
    <w:next w:val="8"/>
    <w:link w:val="82"/>
    <w:autoRedefine/>
    <w:qFormat/>
    <w:uiPriority w:val="0"/>
    <w:rPr>
      <w:b/>
      <w:bCs/>
    </w:rPr>
  </w:style>
  <w:style w:type="paragraph" w:customStyle="1" w:styleId="40">
    <w:name w:val="表头"/>
    <w:basedOn w:val="1"/>
    <w:autoRedefine/>
    <w:qFormat/>
    <w:uiPriority w:val="0"/>
    <w:pPr>
      <w:widowControl w:val="0"/>
      <w:adjustRightInd/>
      <w:snapToGrid/>
      <w:spacing w:after="0" w:line="360" w:lineRule="auto"/>
      <w:jc w:val="center"/>
    </w:pPr>
    <w:rPr>
      <w:rFonts w:ascii="Times New Roman" w:hAnsi="Times New Roman" w:eastAsia="黑体"/>
      <w:kern w:val="2"/>
      <w:sz w:val="24"/>
      <w:szCs w:val="24"/>
    </w:rPr>
  </w:style>
  <w:style w:type="paragraph" w:customStyle="1" w:styleId="41">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42">
    <w:name w:val="正文文本缩进1"/>
    <w:basedOn w:val="1"/>
    <w:link w:val="75"/>
    <w:autoRedefine/>
    <w:qFormat/>
    <w:uiPriority w:val="0"/>
    <w:pPr>
      <w:widowControl w:val="0"/>
      <w:snapToGrid/>
      <w:spacing w:after="0" w:line="233" w:lineRule="auto"/>
      <w:ind w:firstLine="570"/>
      <w:jc w:val="both"/>
      <w:textAlignment w:val="baseline"/>
    </w:pPr>
    <w:rPr>
      <w:rFonts w:ascii="仿宋_GB2312" w:hAnsi="Times New Roman" w:eastAsia="仿宋_GB2312"/>
      <w:sz w:val="28"/>
      <w:szCs w:val="20"/>
    </w:rPr>
  </w:style>
  <w:style w:type="paragraph" w:customStyle="1" w:styleId="43">
    <w:name w:val="1、表内字"/>
    <w:basedOn w:val="1"/>
    <w:autoRedefine/>
    <w:qFormat/>
    <w:uiPriority w:val="0"/>
    <w:pPr>
      <w:widowControl w:val="0"/>
      <w:adjustRightInd/>
      <w:snapToGrid/>
      <w:spacing w:after="0"/>
      <w:jc w:val="center"/>
    </w:pPr>
    <w:rPr>
      <w:rFonts w:ascii="Times New Roman" w:hAnsi="Times New Roman" w:eastAsia="宋体"/>
      <w:sz w:val="21"/>
      <w:szCs w:val="21"/>
    </w:rPr>
  </w:style>
  <w:style w:type="paragraph" w:customStyle="1" w:styleId="44">
    <w:name w:val="文档结构图1"/>
    <w:basedOn w:val="1"/>
    <w:link w:val="74"/>
    <w:autoRedefine/>
    <w:qFormat/>
    <w:uiPriority w:val="0"/>
    <w:rPr>
      <w:rFonts w:ascii="宋体" w:eastAsia="宋体"/>
      <w:sz w:val="18"/>
      <w:szCs w:val="18"/>
    </w:rPr>
  </w:style>
  <w:style w:type="paragraph" w:customStyle="1" w:styleId="45">
    <w:name w:val="表格内容"/>
    <w:basedOn w:val="1"/>
    <w:next w:val="1"/>
    <w:autoRedefine/>
    <w:qFormat/>
    <w:uiPriority w:val="0"/>
    <w:pPr>
      <w:widowControl w:val="0"/>
      <w:adjustRightInd/>
      <w:snapToGrid/>
      <w:spacing w:after="0"/>
      <w:jc w:val="center"/>
    </w:pPr>
    <w:rPr>
      <w:rFonts w:ascii="Times New Roman" w:hAnsi="Times New Roman" w:eastAsia="宋体" w:cs="宋体"/>
      <w:kern w:val="2"/>
      <w:sz w:val="21"/>
      <w:szCs w:val="20"/>
    </w:rPr>
  </w:style>
  <w:style w:type="paragraph" w:customStyle="1" w:styleId="46">
    <w:name w:val="Char Char1 Char"/>
    <w:basedOn w:val="1"/>
    <w:next w:val="1"/>
    <w:autoRedefine/>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47">
    <w:name w:val="表内文字"/>
    <w:autoRedefine/>
    <w:qFormat/>
    <w:uiPriority w:val="0"/>
    <w:pPr>
      <w:adjustRightInd w:val="0"/>
      <w:snapToGrid w:val="0"/>
      <w:jc w:val="center"/>
    </w:pPr>
    <w:rPr>
      <w:rFonts w:ascii="Times New Roman" w:hAnsi="Times New Roman" w:eastAsia="宋体" w:cs="Times New Roman"/>
      <w:kern w:val="2"/>
      <w:sz w:val="21"/>
      <w:szCs w:val="21"/>
      <w:lang w:val="en-US" w:eastAsia="zh-CN" w:bidi="ar-SA"/>
    </w:rPr>
  </w:style>
  <w:style w:type="paragraph" w:customStyle="1" w:styleId="48">
    <w:name w:val="2222222222222222222222"/>
    <w:basedOn w:val="1"/>
    <w:autoRedefine/>
    <w:qFormat/>
    <w:uiPriority w:val="0"/>
    <w:pPr>
      <w:spacing w:line="440" w:lineRule="exact"/>
      <w:ind w:firstLine="420" w:firstLineChars="200"/>
    </w:pPr>
    <w:rPr>
      <w:sz w:val="28"/>
      <w:szCs w:val="20"/>
    </w:rPr>
  </w:style>
  <w:style w:type="paragraph" w:customStyle="1" w:styleId="49">
    <w:name w:val="日期1"/>
    <w:basedOn w:val="1"/>
    <w:next w:val="1"/>
    <w:link w:val="73"/>
    <w:autoRedefine/>
    <w:qFormat/>
    <w:uiPriority w:val="0"/>
    <w:pPr>
      <w:ind w:left="100" w:leftChars="2500"/>
    </w:pPr>
  </w:style>
  <w:style w:type="paragraph" w:customStyle="1" w:styleId="50">
    <w:name w:val="正文 New New"/>
    <w:autoRedefine/>
    <w:qFormat/>
    <w:uiPriority w:val="0"/>
    <w:pPr>
      <w:widowControl w:val="0"/>
      <w:spacing w:before="240" w:after="240" w:line="500" w:lineRule="exact"/>
      <w:ind w:firstLine="560" w:firstLineChars="200"/>
      <w:jc w:val="both"/>
    </w:pPr>
    <w:rPr>
      <w:rFonts w:ascii="Times New Roman" w:hAnsi="Times New Roman" w:eastAsia="宋体" w:cs="Times New Roman"/>
      <w:kern w:val="2"/>
      <w:sz w:val="28"/>
      <w:szCs w:val="24"/>
      <w:lang w:val="en-US" w:eastAsia="zh-CN" w:bidi="ar-SA"/>
    </w:rPr>
  </w:style>
  <w:style w:type="paragraph" w:customStyle="1" w:styleId="51">
    <w:name w:val="列出段落"/>
    <w:basedOn w:val="1"/>
    <w:autoRedefine/>
    <w:qFormat/>
    <w:uiPriority w:val="0"/>
    <w:pPr>
      <w:widowControl w:val="0"/>
      <w:adjustRightInd/>
      <w:snapToGrid/>
      <w:spacing w:after="0"/>
      <w:ind w:firstLine="420" w:firstLineChars="200"/>
      <w:jc w:val="both"/>
    </w:pPr>
    <w:rPr>
      <w:rFonts w:ascii="Times New Roman" w:hAnsi="Times New Roman" w:eastAsia="宋体"/>
      <w:kern w:val="2"/>
      <w:sz w:val="21"/>
      <w:szCs w:val="20"/>
    </w:rPr>
  </w:style>
  <w:style w:type="paragraph" w:customStyle="1" w:styleId="52">
    <w:name w:val="正文文本缩进 21"/>
    <w:basedOn w:val="1"/>
    <w:link w:val="71"/>
    <w:autoRedefine/>
    <w:qFormat/>
    <w:uiPriority w:val="0"/>
    <w:pPr>
      <w:widowControl w:val="0"/>
      <w:snapToGrid/>
      <w:spacing w:after="0" w:line="312" w:lineRule="atLeast"/>
      <w:ind w:firstLine="570"/>
      <w:jc w:val="distribute"/>
      <w:textAlignment w:val="baseline"/>
    </w:pPr>
    <w:rPr>
      <w:rFonts w:ascii="Times New Roman" w:hAnsi="Times New Roman" w:eastAsia="仿宋_GB2312"/>
      <w:sz w:val="28"/>
      <w:szCs w:val="20"/>
    </w:rPr>
  </w:style>
  <w:style w:type="paragraph" w:customStyle="1" w:styleId="53">
    <w:name w:val="Char Char Char Char Char Char Char2"/>
    <w:basedOn w:val="1"/>
    <w:autoRedefine/>
    <w:qFormat/>
    <w:uiPriority w:val="0"/>
    <w:pPr>
      <w:spacing w:line="360" w:lineRule="auto"/>
      <w:ind w:firstLine="529" w:firstLineChars="200"/>
    </w:pPr>
  </w:style>
  <w:style w:type="paragraph" w:customStyle="1" w:styleId="54">
    <w:name w:val="普通(网站)11"/>
    <w:basedOn w:val="1"/>
    <w:autoRedefine/>
    <w:qFormat/>
    <w:uiPriority w:val="0"/>
    <w:pPr>
      <w:adjustRightInd/>
      <w:snapToGrid/>
      <w:spacing w:before="100" w:beforeAutospacing="1" w:after="100" w:afterAutospacing="1"/>
    </w:pPr>
    <w:rPr>
      <w:rFonts w:hint="eastAsia" w:ascii="宋体" w:hAnsi="宋体" w:eastAsia="宋体"/>
      <w:sz w:val="24"/>
    </w:rPr>
  </w:style>
  <w:style w:type="paragraph" w:customStyle="1" w:styleId="55">
    <w:name w:val="表文"/>
    <w:basedOn w:val="1"/>
    <w:next w:val="1"/>
    <w:link w:val="76"/>
    <w:autoRedefine/>
    <w:qFormat/>
    <w:uiPriority w:val="0"/>
    <w:pPr>
      <w:widowControl w:val="0"/>
      <w:adjustRightInd/>
      <w:snapToGrid/>
      <w:spacing w:after="0"/>
      <w:jc w:val="center"/>
    </w:pPr>
    <w:rPr>
      <w:rFonts w:ascii="Times New Roman" w:hAnsi="Times New Roman" w:eastAsia="宋体" w:cs="宋体"/>
      <w:kern w:val="2"/>
      <w:sz w:val="24"/>
      <w:szCs w:val="24"/>
    </w:rPr>
  </w:style>
  <w:style w:type="paragraph" w:customStyle="1" w:styleId="56">
    <w:name w:val="表中文字"/>
    <w:basedOn w:val="1"/>
    <w:autoRedefine/>
    <w:qFormat/>
    <w:uiPriority w:val="0"/>
    <w:pPr>
      <w:widowControl w:val="0"/>
      <w:adjustRightInd/>
      <w:snapToGrid/>
      <w:spacing w:after="0"/>
      <w:jc w:val="center"/>
    </w:pPr>
    <w:rPr>
      <w:rFonts w:ascii="Times New Roman" w:hAnsi="Times New Roman" w:eastAsia="宋体"/>
      <w:kern w:val="2"/>
      <w:sz w:val="21"/>
      <w:szCs w:val="24"/>
    </w:rPr>
  </w:style>
  <w:style w:type="paragraph" w:customStyle="1" w:styleId="57">
    <w:name w:val="报告书正文"/>
    <w:basedOn w:val="1"/>
    <w:autoRedefine/>
    <w:qFormat/>
    <w:uiPriority w:val="0"/>
    <w:pPr>
      <w:widowControl w:val="0"/>
      <w:spacing w:after="0" w:line="360" w:lineRule="auto"/>
      <w:ind w:firstLine="425"/>
      <w:jc w:val="both"/>
      <w:textAlignment w:val="baseline"/>
    </w:pPr>
    <w:rPr>
      <w:rFonts w:ascii="Arial" w:hAnsi="Arial" w:eastAsia="宋体"/>
      <w:kern w:val="2"/>
      <w:sz w:val="24"/>
      <w:szCs w:val="20"/>
    </w:rPr>
  </w:style>
  <w:style w:type="paragraph" w:customStyle="1" w:styleId="58">
    <w:name w:val="纯文本2"/>
    <w:basedOn w:val="1"/>
    <w:link w:val="80"/>
    <w:autoRedefine/>
    <w:qFormat/>
    <w:uiPriority w:val="0"/>
    <w:pPr>
      <w:widowControl w:val="0"/>
      <w:adjustRightInd/>
      <w:snapToGrid/>
      <w:spacing w:after="0"/>
      <w:jc w:val="both"/>
    </w:pPr>
    <w:rPr>
      <w:rFonts w:ascii="宋体" w:hAnsi="Courier New" w:eastAsia="宋体"/>
      <w:kern w:val="2"/>
      <w:sz w:val="21"/>
      <w:szCs w:val="20"/>
    </w:rPr>
  </w:style>
  <w:style w:type="paragraph" w:customStyle="1" w:styleId="59">
    <w:name w:val="列表段落1"/>
    <w:basedOn w:val="1"/>
    <w:autoRedefine/>
    <w:qFormat/>
    <w:uiPriority w:val="0"/>
    <w:pPr>
      <w:widowControl w:val="0"/>
      <w:adjustRightInd/>
      <w:snapToGrid/>
      <w:spacing w:after="0"/>
      <w:ind w:firstLine="420" w:firstLineChars="200"/>
      <w:jc w:val="both"/>
    </w:pPr>
    <w:rPr>
      <w:rFonts w:ascii="Calibri" w:hAnsi="Calibri" w:eastAsia="宋体"/>
      <w:kern w:val="2"/>
      <w:sz w:val="21"/>
    </w:rPr>
  </w:style>
  <w:style w:type="paragraph" w:customStyle="1" w:styleId="60">
    <w:name w:val="报告表内正文"/>
    <w:basedOn w:val="1"/>
    <w:link w:val="72"/>
    <w:autoRedefine/>
    <w:qFormat/>
    <w:uiPriority w:val="0"/>
    <w:pPr>
      <w:widowControl w:val="0"/>
      <w:adjustRightInd/>
      <w:snapToGrid/>
      <w:spacing w:after="0" w:line="360" w:lineRule="auto"/>
      <w:ind w:firstLine="640" w:firstLineChars="200"/>
    </w:pPr>
    <w:rPr>
      <w:rFonts w:ascii="Times New Roman" w:hAnsi="Times New Roman" w:eastAsia="宋体"/>
      <w:sz w:val="20"/>
      <w:szCs w:val="20"/>
    </w:rPr>
  </w:style>
  <w:style w:type="character" w:customStyle="1" w:styleId="61">
    <w:name w:val="页脚 字符"/>
    <w:autoRedefine/>
    <w:qFormat/>
    <w:uiPriority w:val="0"/>
    <w:rPr>
      <w:kern w:val="2"/>
      <w:sz w:val="18"/>
      <w:szCs w:val="18"/>
    </w:rPr>
  </w:style>
  <w:style w:type="character" w:customStyle="1" w:styleId="62">
    <w:name w:val="批注引用1"/>
    <w:autoRedefine/>
    <w:qFormat/>
    <w:uiPriority w:val="0"/>
    <w:rPr>
      <w:sz w:val="21"/>
      <w:szCs w:val="21"/>
    </w:rPr>
  </w:style>
  <w:style w:type="character" w:customStyle="1" w:styleId="63">
    <w:name w:val="fontstyle01"/>
    <w:autoRedefine/>
    <w:qFormat/>
    <w:uiPriority w:val="0"/>
    <w:rPr>
      <w:rFonts w:ascii="宋体" w:hAnsi="宋体" w:eastAsia="宋体" w:cs="宋体"/>
      <w:color w:val="000000"/>
      <w:sz w:val="24"/>
      <w:szCs w:val="24"/>
    </w:rPr>
  </w:style>
  <w:style w:type="character" w:customStyle="1" w:styleId="64">
    <w:name w:val="纯文本 Char"/>
    <w:autoRedefine/>
    <w:qFormat/>
    <w:uiPriority w:val="0"/>
    <w:rPr>
      <w:rFonts w:ascii="宋体" w:hAnsi="Courier New" w:eastAsia="宋体" w:cs="Courier New"/>
      <w:sz w:val="21"/>
      <w:szCs w:val="21"/>
    </w:rPr>
  </w:style>
  <w:style w:type="character" w:customStyle="1" w:styleId="65">
    <w:name w:val="批注文字 字符"/>
    <w:link w:val="8"/>
    <w:autoRedefine/>
    <w:qFormat/>
    <w:uiPriority w:val="0"/>
    <w:rPr>
      <w:rFonts w:ascii="Tahoma" w:hAnsi="Tahoma"/>
    </w:rPr>
  </w:style>
  <w:style w:type="character" w:customStyle="1" w:styleId="66">
    <w:name w:val="页眉 字符1"/>
    <w:link w:val="13"/>
    <w:autoRedefine/>
    <w:qFormat/>
    <w:uiPriority w:val="0"/>
    <w:rPr>
      <w:rFonts w:ascii="Tahoma" w:hAnsi="Tahoma"/>
      <w:sz w:val="18"/>
      <w:szCs w:val="18"/>
    </w:rPr>
  </w:style>
  <w:style w:type="character" w:customStyle="1" w:styleId="67">
    <w:name w:val="页码1"/>
    <w:basedOn w:val="29"/>
    <w:autoRedefine/>
    <w:qFormat/>
    <w:uiPriority w:val="0"/>
  </w:style>
  <w:style w:type="character" w:customStyle="1" w:styleId="68">
    <w:name w:val="【表中文字】 Char"/>
    <w:link w:val="37"/>
    <w:autoRedefine/>
    <w:qFormat/>
    <w:uiPriority w:val="0"/>
    <w:rPr>
      <w:rFonts w:eastAsia="宋体"/>
      <w:lang w:val="en-US" w:eastAsia="zh-CN" w:bidi="ar-SA"/>
    </w:rPr>
  </w:style>
  <w:style w:type="character" w:customStyle="1" w:styleId="69">
    <w:name w:val="标题 2 字符"/>
    <w:link w:val="3"/>
    <w:autoRedefine/>
    <w:qFormat/>
    <w:uiPriority w:val="0"/>
    <w:rPr>
      <w:rFonts w:ascii="Times New Roman" w:hAnsi="Times New Roman" w:eastAsia="宋体" w:cs="Times New Roman"/>
      <w:bCs/>
      <w:kern w:val="2"/>
      <w:sz w:val="21"/>
      <w:szCs w:val="32"/>
    </w:rPr>
  </w:style>
  <w:style w:type="character" w:customStyle="1" w:styleId="70">
    <w:name w:val="批注主题 字符"/>
    <w:link w:val="24"/>
    <w:autoRedefine/>
    <w:qFormat/>
    <w:uiPriority w:val="0"/>
    <w:rPr>
      <w:rFonts w:ascii="Tahoma" w:hAnsi="Tahoma" w:eastAsia="微软雅黑"/>
      <w:b/>
      <w:bCs/>
      <w:sz w:val="22"/>
      <w:szCs w:val="22"/>
    </w:rPr>
  </w:style>
  <w:style w:type="character" w:customStyle="1" w:styleId="71">
    <w:name w:val="正文文本缩进 2 Char"/>
    <w:link w:val="52"/>
    <w:autoRedefine/>
    <w:qFormat/>
    <w:uiPriority w:val="0"/>
    <w:rPr>
      <w:rFonts w:ascii="Times New Roman" w:hAnsi="Times New Roman" w:eastAsia="仿宋_GB2312" w:cs="Times New Roman"/>
      <w:sz w:val="28"/>
      <w:szCs w:val="20"/>
    </w:rPr>
  </w:style>
  <w:style w:type="character" w:customStyle="1" w:styleId="72">
    <w:name w:val="报告内正文 Char"/>
    <w:link w:val="60"/>
    <w:autoRedefine/>
    <w:qFormat/>
    <w:uiPriority w:val="0"/>
    <w:rPr>
      <w:rFonts w:eastAsia="宋体"/>
      <w:lang w:val="en-US" w:eastAsia="zh-CN" w:bidi="ar-SA"/>
    </w:rPr>
  </w:style>
  <w:style w:type="character" w:customStyle="1" w:styleId="73">
    <w:name w:val="日期 Char"/>
    <w:link w:val="49"/>
    <w:autoRedefine/>
    <w:qFormat/>
    <w:uiPriority w:val="0"/>
    <w:rPr>
      <w:rFonts w:ascii="Tahoma" w:hAnsi="Tahoma"/>
    </w:rPr>
  </w:style>
  <w:style w:type="character" w:customStyle="1" w:styleId="74">
    <w:name w:val="文档结构图 Char"/>
    <w:link w:val="44"/>
    <w:autoRedefine/>
    <w:qFormat/>
    <w:uiPriority w:val="0"/>
    <w:rPr>
      <w:rFonts w:ascii="宋体" w:hAnsi="Tahoma" w:eastAsia="宋体"/>
      <w:sz w:val="18"/>
      <w:szCs w:val="18"/>
    </w:rPr>
  </w:style>
  <w:style w:type="character" w:customStyle="1" w:styleId="75">
    <w:name w:val="正文文本缩进 Char"/>
    <w:link w:val="42"/>
    <w:autoRedefine/>
    <w:qFormat/>
    <w:uiPriority w:val="0"/>
    <w:rPr>
      <w:rFonts w:ascii="仿宋_GB2312" w:hAnsi="Times New Roman" w:eastAsia="仿宋_GB2312" w:cs="Times New Roman"/>
      <w:sz w:val="28"/>
      <w:szCs w:val="20"/>
    </w:rPr>
  </w:style>
  <w:style w:type="character" w:customStyle="1" w:styleId="76">
    <w:name w:val="表文 Char"/>
    <w:link w:val="55"/>
    <w:autoRedefine/>
    <w:qFormat/>
    <w:uiPriority w:val="0"/>
    <w:rPr>
      <w:rFonts w:ascii="Times New Roman" w:hAnsi="Times New Roman" w:eastAsia="宋体" w:cs="宋体"/>
      <w:kern w:val="2"/>
      <w:sz w:val="24"/>
      <w:szCs w:val="24"/>
      <w:lang w:val="en-US" w:eastAsia="zh-CN" w:bidi="ar-SA"/>
    </w:rPr>
  </w:style>
  <w:style w:type="character" w:customStyle="1" w:styleId="77">
    <w:name w:val="span1"/>
    <w:basedOn w:val="29"/>
    <w:autoRedefine/>
    <w:qFormat/>
    <w:uiPriority w:val="0"/>
  </w:style>
  <w:style w:type="character" w:customStyle="1" w:styleId="78">
    <w:name w:val="页眉 字符"/>
    <w:autoRedefine/>
    <w:qFormat/>
    <w:uiPriority w:val="0"/>
    <w:rPr>
      <w:kern w:val="2"/>
      <w:sz w:val="18"/>
      <w:szCs w:val="18"/>
    </w:rPr>
  </w:style>
  <w:style w:type="character" w:customStyle="1" w:styleId="79">
    <w:name w:val="批注框文本 字符"/>
    <w:link w:val="18"/>
    <w:autoRedefine/>
    <w:qFormat/>
    <w:uiPriority w:val="0"/>
    <w:rPr>
      <w:rFonts w:ascii="Tahoma" w:hAnsi="Tahoma"/>
      <w:sz w:val="18"/>
      <w:szCs w:val="18"/>
    </w:rPr>
  </w:style>
  <w:style w:type="character" w:customStyle="1" w:styleId="80">
    <w:name w:val="纯文本 Char1"/>
    <w:link w:val="58"/>
    <w:autoRedefine/>
    <w:qFormat/>
    <w:uiPriority w:val="0"/>
    <w:rPr>
      <w:rFonts w:ascii="宋体" w:hAnsi="Courier New" w:eastAsia="宋体" w:cs="Times New Roman"/>
      <w:kern w:val="2"/>
      <w:sz w:val="21"/>
      <w:szCs w:val="20"/>
    </w:rPr>
  </w:style>
  <w:style w:type="character" w:customStyle="1" w:styleId="81">
    <w:name w:val="fontstyle21"/>
    <w:autoRedefine/>
    <w:qFormat/>
    <w:uiPriority w:val="0"/>
    <w:rPr>
      <w:rFonts w:ascii="TimesNewRomanPSMT" w:hAnsi="TimesNewRomanPSMT" w:eastAsia="TimesNewRomanPSMT" w:cs="TimesNewRomanPSMT"/>
      <w:color w:val="000000"/>
      <w:sz w:val="24"/>
      <w:szCs w:val="24"/>
    </w:rPr>
  </w:style>
  <w:style w:type="character" w:customStyle="1" w:styleId="82">
    <w:name w:val="批注主题 Char"/>
    <w:link w:val="39"/>
    <w:autoRedefine/>
    <w:qFormat/>
    <w:uiPriority w:val="0"/>
    <w:rPr>
      <w:rFonts w:ascii="Tahoma" w:hAnsi="Tahoma"/>
      <w:b/>
      <w:bCs/>
    </w:rPr>
  </w:style>
  <w:style w:type="character" w:customStyle="1" w:styleId="83">
    <w:name w:val="页脚 字符1"/>
    <w:link w:val="19"/>
    <w:autoRedefine/>
    <w:qFormat/>
    <w:uiPriority w:val="0"/>
    <w:rPr>
      <w:rFonts w:ascii="Tahoma" w:hAnsi="Tahoma"/>
      <w:sz w:val="18"/>
      <w:szCs w:val="18"/>
    </w:rPr>
  </w:style>
  <w:style w:type="character" w:customStyle="1" w:styleId="84">
    <w:name w:val="正文00 Char Char"/>
    <w:link w:val="36"/>
    <w:autoRedefine/>
    <w:qFormat/>
    <w:uiPriority w:val="0"/>
    <w:rPr>
      <w:rFonts w:eastAsia="宋体"/>
      <w:kern w:val="2"/>
      <w:sz w:val="28"/>
      <w:szCs w:val="24"/>
      <w:lang w:val="en-US" w:eastAsia="zh-CN" w:bidi="ar-SA"/>
    </w:rPr>
  </w:style>
  <w:style w:type="paragraph" w:customStyle="1" w:styleId="85">
    <w:name w:val="表中大字"/>
    <w:basedOn w:val="1"/>
    <w:autoRedefine/>
    <w:qFormat/>
    <w:uiPriority w:val="0"/>
    <w:pPr>
      <w:spacing w:line="360" w:lineRule="exact"/>
      <w:jc w:val="center"/>
    </w:pPr>
    <w:rPr>
      <w:rFonts w:eastAsia="华文中宋"/>
      <w:sz w:val="28"/>
      <w:szCs w:val="28"/>
    </w:rPr>
  </w:style>
  <w:style w:type="paragraph" w:customStyle="1" w:styleId="86">
    <w:name w:val="WPSOffice手动目录 1"/>
    <w:autoRedefine/>
    <w:qFormat/>
    <w:uiPriority w:val="0"/>
    <w:rPr>
      <w:rFonts w:ascii="Times New Roman" w:hAnsi="Times New Roman" w:eastAsia="宋体" w:cs="Times New Roman"/>
      <w:lang w:val="en-US" w:eastAsia="zh-CN" w:bidi="ar-SA"/>
    </w:rPr>
  </w:style>
  <w:style w:type="paragraph" w:customStyle="1" w:styleId="87">
    <w:name w:val="样式3"/>
    <w:basedOn w:val="1"/>
    <w:autoRedefine/>
    <w:qFormat/>
    <w:uiPriority w:val="0"/>
    <w:pPr>
      <w:spacing w:line="288" w:lineRule="auto"/>
      <w:jc w:val="center"/>
    </w:pPr>
    <w:rPr>
      <w:rFonts w:ascii="宋体" w:hAnsi="宋体"/>
      <w:bCs/>
      <w:sz w:val="24"/>
    </w:rPr>
  </w:style>
  <w:style w:type="paragraph" w:customStyle="1" w:styleId="88">
    <w:name w:val="报告表正文"/>
    <w:basedOn w:val="1"/>
    <w:autoRedefine/>
    <w:qFormat/>
    <w:uiPriority w:val="0"/>
    <w:pPr>
      <w:spacing w:line="312" w:lineRule="auto"/>
      <w:ind w:left="113" w:right="113" w:firstLine="482"/>
      <w:textAlignment w:val="baseline"/>
    </w:pPr>
    <w:rPr>
      <w:sz w:val="24"/>
      <w:szCs w:val="20"/>
    </w:rPr>
  </w:style>
  <w:style w:type="table" w:customStyle="1" w:styleId="89">
    <w:name w:val="Table Normal"/>
    <w:autoRedefine/>
    <w:semiHidden/>
    <w:unhideWhenUsed/>
    <w:qFormat/>
    <w:uiPriority w:val="0"/>
    <w:tblPr>
      <w:tblCellMar>
        <w:top w:w="0" w:type="dxa"/>
        <w:left w:w="0" w:type="dxa"/>
        <w:bottom w:w="0" w:type="dxa"/>
        <w:right w:w="0" w:type="dxa"/>
      </w:tblCellMar>
    </w:tblPr>
  </w:style>
  <w:style w:type="paragraph" w:customStyle="1" w:styleId="90">
    <w:name w:val="Table Paragraph"/>
    <w:basedOn w:val="1"/>
    <w:autoRedefine/>
    <w:qFormat/>
    <w:uiPriority w:val="1"/>
    <w:pPr>
      <w:jc w:val="center"/>
    </w:pPr>
    <w:rPr>
      <w:rFonts w:ascii="Times New Roman" w:hAnsi="Times New Roman" w:eastAsia="Times New Roman"/>
    </w:rPr>
  </w:style>
  <w:style w:type="character" w:customStyle="1" w:styleId="91">
    <w:name w:val="标题 1 字符"/>
    <w:link w:val="2"/>
    <w:autoRedefine/>
    <w:qFormat/>
    <w:uiPriority w:val="0"/>
    <w:rPr>
      <w:rFonts w:ascii="Times New Roman" w:hAnsi="Times New Roman" w:eastAsia="宋体"/>
      <w:b/>
      <w:kern w:val="44"/>
      <w:sz w:val="30"/>
    </w:rPr>
  </w:style>
  <w:style w:type="paragraph" w:customStyle="1" w:styleId="92">
    <w:name w:val="【正文】"/>
    <w:basedOn w:val="1"/>
    <w:next w:val="23"/>
    <w:autoRedefine/>
    <w:qFormat/>
    <w:uiPriority w:val="0"/>
    <w:pPr>
      <w:spacing w:line="360" w:lineRule="auto"/>
      <w:ind w:firstLine="480" w:firstLineChars="200"/>
    </w:pPr>
    <w:rPr>
      <w:sz w:val="24"/>
    </w:rPr>
  </w:style>
  <w:style w:type="paragraph" w:customStyle="1" w:styleId="93">
    <w:name w:val="表头00"/>
    <w:basedOn w:val="1"/>
    <w:autoRedefine/>
    <w:qFormat/>
    <w:uiPriority w:val="0"/>
    <w:pPr>
      <w:ind w:firstLine="3584"/>
      <w:jc w:val="center"/>
    </w:pPr>
    <w:rPr>
      <w:rFonts w:eastAsia="黑体"/>
      <w:sz w:val="24"/>
      <w:szCs w:val="18"/>
    </w:rPr>
  </w:style>
  <w:style w:type="paragraph" w:customStyle="1" w:styleId="94">
    <w:name w:val="正文 首行缩进:  2 字符"/>
    <w:basedOn w:val="1"/>
    <w:autoRedefine/>
    <w:qFormat/>
    <w:uiPriority w:val="0"/>
    <w:pPr>
      <w:spacing w:line="500" w:lineRule="exact"/>
      <w:ind w:firstLine="200" w:firstLineChars="200"/>
    </w:pPr>
    <w:rPr>
      <w:rFonts w:cs="宋体"/>
    </w:rPr>
  </w:style>
  <w:style w:type="character" w:customStyle="1" w:styleId="95">
    <w:name w:val="NormalCharacter"/>
    <w:autoRedefine/>
    <w:qFormat/>
    <w:uiPriority w:val="0"/>
    <w:rPr>
      <w:rFonts w:ascii="宋体"/>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3" Type="http://schemas.openxmlformats.org/officeDocument/2006/relationships/fontTable" Target="fontTable.xml"/><Relationship Id="rId42" Type="http://schemas.openxmlformats.org/officeDocument/2006/relationships/customXml" Target="../customXml/item2.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1.xml"/><Relationship Id="rId39" Type="http://schemas.openxmlformats.org/officeDocument/2006/relationships/image" Target="media/image27.jpeg"/><Relationship Id="rId38" Type="http://schemas.openxmlformats.org/officeDocument/2006/relationships/image" Target="media/image26.jpeg"/><Relationship Id="rId37" Type="http://schemas.openxmlformats.org/officeDocument/2006/relationships/image" Target="media/image25.jpeg"/><Relationship Id="rId36" Type="http://schemas.openxmlformats.org/officeDocument/2006/relationships/image" Target="media/image24.jpe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pn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footnotes" Target="footnotes.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A015A6-60D4-4421-94F0-7E9695C30030}">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2262</Words>
  <Characters>12895</Characters>
  <Lines>107</Lines>
  <Paragraphs>30</Paragraphs>
  <TotalTime>10</TotalTime>
  <ScaleCrop>false</ScaleCrop>
  <LinksUpToDate>false</LinksUpToDate>
  <CharactersWithSpaces>15127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2024-04-03T02:30:00Z</dcterms:created>
  <dc:creator>Administrator</dc:creator>
  <cp:lastModifiedBy>小花</cp:lastModifiedBy>
  <cp:lastPrinted>2024-04-11T07:30:00Z</cp:lastPrinted>
  <dcterms:modified xsi:type="dcterms:W3CDTF">2024-04-22T02:44:29Z</dcterms:modified>
  <dc:title>杨龙 处员</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CB16061128B842FDB5AD9181050118A1</vt:lpwstr>
  </property>
</Properties>
</file>