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根据国家相关环保法律、法规、政策的要求，产生、收集、贮存、运输、利用、处置固体废物的单位，应当依法及时公开固体废物污染环境信息，主动接受社会监督。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现将2023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年度污染环境防治信息公示如下: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企业名称：阳泉煤业集团华越机械有限公司奥伦胶带分公司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统一社会信用代码：91140300MA0KX7AF0R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地址：阳泉高新技术产业开发区大连东路99号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主要负责人及电话：戚鹏 0353-7089144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危险废物污染环境防治详细信息见附件，我公司承诺以上公示信息真实有效并承担相关法律责任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1031"/>
        <w:gridCol w:w="843"/>
        <w:gridCol w:w="1200"/>
        <w:gridCol w:w="883"/>
        <w:gridCol w:w="843"/>
        <w:gridCol w:w="767"/>
        <w:gridCol w:w="1083"/>
        <w:gridCol w:w="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序号</w:t>
            </w:r>
          </w:p>
        </w:tc>
        <w:tc>
          <w:tcPr>
            <w:tcW w:w="1031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危废名称</w:t>
            </w:r>
          </w:p>
        </w:tc>
        <w:tc>
          <w:tcPr>
            <w:tcW w:w="84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危险特性</w:t>
            </w: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处置措施</w:t>
            </w:r>
          </w:p>
        </w:tc>
        <w:tc>
          <w:tcPr>
            <w:tcW w:w="88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2023年产生量（吨）</w:t>
            </w:r>
          </w:p>
        </w:tc>
        <w:tc>
          <w:tcPr>
            <w:tcW w:w="84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2023年处置量（吨）</w:t>
            </w:r>
          </w:p>
        </w:tc>
        <w:tc>
          <w:tcPr>
            <w:tcW w:w="767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废物类型</w:t>
            </w:r>
          </w:p>
        </w:tc>
        <w:tc>
          <w:tcPr>
            <w:tcW w:w="108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危废代码</w:t>
            </w:r>
          </w:p>
        </w:tc>
        <w:tc>
          <w:tcPr>
            <w:tcW w:w="957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责任人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031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废棉丝</w:t>
            </w:r>
          </w:p>
        </w:tc>
        <w:tc>
          <w:tcPr>
            <w:tcW w:w="84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</w:t>
            </w: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88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0.128</w:t>
            </w:r>
          </w:p>
        </w:tc>
        <w:tc>
          <w:tcPr>
            <w:tcW w:w="84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767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HW49</w:t>
            </w:r>
          </w:p>
        </w:tc>
        <w:tc>
          <w:tcPr>
            <w:tcW w:w="108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957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031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废油漆桶</w:t>
            </w:r>
          </w:p>
        </w:tc>
        <w:tc>
          <w:tcPr>
            <w:tcW w:w="84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</w:t>
            </w: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88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0.007</w:t>
            </w:r>
          </w:p>
        </w:tc>
        <w:tc>
          <w:tcPr>
            <w:tcW w:w="84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767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HW49</w:t>
            </w:r>
          </w:p>
        </w:tc>
        <w:tc>
          <w:tcPr>
            <w:tcW w:w="108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957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031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废机油</w:t>
            </w:r>
          </w:p>
        </w:tc>
        <w:tc>
          <w:tcPr>
            <w:tcW w:w="84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毒性、 易燃性</w:t>
            </w: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88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84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1.88</w:t>
            </w:r>
          </w:p>
        </w:tc>
        <w:tc>
          <w:tcPr>
            <w:tcW w:w="767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HW08</w:t>
            </w:r>
          </w:p>
        </w:tc>
        <w:tc>
          <w:tcPr>
            <w:tcW w:w="1083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900-214-08</w:t>
            </w:r>
          </w:p>
        </w:tc>
        <w:tc>
          <w:tcPr>
            <w:tcW w:w="957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1、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厂区设置1座危废暂存库，建筑面积</w:t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m</w:t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vertAlign w:val="superscript"/>
          <w:lang w:val="en-US" w:eastAsia="zh-CN"/>
        </w:rPr>
        <w:t>2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，用于厂区内产生的危险废物的暂存，已进行防渗隔断处理。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2、应急措施：危险废物发生泄漏时，一旦发生异常，当班人员，立即上报车间主任，车间主任马上通知厂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区危废责任人，立即组织应急救援人员赶往事发地点，按照危险废物救援预案进行处置。厂区及危险废物暂存库均有应急物资。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zYjZjNTEzMGQ5NDJiNTcyY2FhMTc5MjM3NzI5MmYifQ=="/>
  </w:docVars>
  <w:rsids>
    <w:rsidRoot w:val="00000000"/>
    <w:rsid w:val="00776488"/>
    <w:rsid w:val="1FA6087F"/>
    <w:rsid w:val="2934402B"/>
    <w:rsid w:val="35B273E0"/>
    <w:rsid w:val="505C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2024-05-16T07:53:00Z</dcterms:created>
  <dc:creator>Administrator</dc:creator>
  <cp:lastModifiedBy>Administrator</cp:lastModifiedBy>
  <dcterms:modified xsi:type="dcterms:W3CDTF">2024-05-17T08:45:59Z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74EEAB6408E84F2F8851F66E5434DF24_12</vt:lpwstr>
  </property>
</Properties>
</file>