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spacing w:line="360" w:lineRule="auto"/>
        <w:ind w:left="0" w:leftChars="0" w:firstLine="0" w:firstLineChars="0"/>
        <w:jc w:val="both"/>
        <w:rPr>
          <w:rFonts w:hint="default" w:ascii="Times New Roman" w:hAnsi="Times New Roman" w:cs="Times New Roman"/>
          <w:b/>
          <w:bCs/>
          <w:sz w:val="48"/>
          <w:szCs w:val="48"/>
          <w:lang w:val="en-US" w:eastAsia="zh-CN"/>
        </w:rPr>
      </w:pPr>
    </w:p>
    <w:p>
      <w:pPr>
        <w:bidi w:val="0"/>
        <w:spacing w:line="360" w:lineRule="auto"/>
        <w:ind w:left="0" w:leftChars="0" w:firstLine="0" w:firstLineChars="0"/>
        <w:jc w:val="both"/>
        <w:rPr>
          <w:rFonts w:hint="default" w:ascii="Times New Roman" w:hAnsi="Times New Roman" w:cs="Times New Roman"/>
          <w:b/>
          <w:bCs/>
          <w:sz w:val="48"/>
          <w:szCs w:val="48"/>
          <w:lang w:val="en-US" w:eastAsia="zh-CN"/>
        </w:rPr>
      </w:pPr>
    </w:p>
    <w:p>
      <w:pPr>
        <w:bidi w:val="0"/>
        <w:spacing w:line="360" w:lineRule="auto"/>
        <w:ind w:left="0" w:leftChars="0" w:firstLine="0" w:firstLineChars="0"/>
        <w:jc w:val="both"/>
        <w:rPr>
          <w:rFonts w:hint="default" w:ascii="Times New Roman" w:hAnsi="Times New Roman" w:cs="Times New Roman"/>
          <w:b/>
          <w:bCs/>
          <w:sz w:val="48"/>
          <w:szCs w:val="48"/>
          <w:lang w:val="en-US" w:eastAsia="zh-CN"/>
        </w:rPr>
      </w:pPr>
    </w:p>
    <w:p>
      <w:pPr>
        <w:bidi w:val="0"/>
        <w:spacing w:line="360" w:lineRule="auto"/>
        <w:ind w:left="0" w:leftChars="0" w:firstLine="0" w:firstLineChars="0"/>
        <w:jc w:val="both"/>
        <w:outlineLvl w:val="0"/>
        <w:rPr>
          <w:rFonts w:hint="default" w:ascii="Times New Roman" w:hAnsi="Times New Roman" w:cs="Times New Roman"/>
          <w:b/>
          <w:bCs/>
          <w:sz w:val="48"/>
          <w:szCs w:val="48"/>
          <w:lang w:val="en-US" w:eastAsia="zh-CN"/>
        </w:rPr>
      </w:pPr>
      <w:bookmarkStart w:id="0" w:name="_Toc18726"/>
      <w:r>
        <w:rPr>
          <w:rFonts w:hint="default" w:ascii="Times New Roman" w:hAnsi="Times New Roman" w:cs="Times New Roman"/>
          <w:b/>
          <w:bCs/>
          <w:sz w:val="48"/>
          <w:szCs w:val="48"/>
          <w:lang w:val="en-US" w:eastAsia="zh-CN"/>
        </w:rPr>
        <w:t>同德县河北乡</w:t>
      </w:r>
      <w:r>
        <w:rPr>
          <w:rFonts w:hint="eastAsia" w:cs="Times New Roman"/>
          <w:b/>
          <w:bCs/>
          <w:sz w:val="48"/>
          <w:szCs w:val="48"/>
          <w:lang w:val="en-US" w:eastAsia="zh-CN"/>
        </w:rPr>
        <w:t>生活垃圾处理厂</w:t>
      </w:r>
      <w:r>
        <w:rPr>
          <w:rFonts w:hint="default" w:ascii="Times New Roman" w:hAnsi="Times New Roman" w:cs="Times New Roman"/>
          <w:b/>
          <w:bCs/>
          <w:sz w:val="48"/>
          <w:szCs w:val="48"/>
          <w:lang w:val="en-US" w:eastAsia="zh-CN"/>
        </w:rPr>
        <w:t>建设项目</w:t>
      </w:r>
      <w:bookmarkEnd w:id="0"/>
    </w:p>
    <w:p>
      <w:pPr>
        <w:bidi w:val="0"/>
        <w:spacing w:line="360" w:lineRule="auto"/>
        <w:ind w:left="0" w:leftChars="0" w:firstLine="0" w:firstLineChars="0"/>
        <w:jc w:val="center"/>
        <w:outlineLvl w:val="0"/>
        <w:rPr>
          <w:rFonts w:hint="default" w:ascii="Times New Roman" w:hAnsi="Times New Roman" w:cs="Times New Roman"/>
          <w:b/>
          <w:bCs/>
          <w:sz w:val="22"/>
          <w:szCs w:val="22"/>
        </w:rPr>
      </w:pPr>
      <w:bookmarkStart w:id="1" w:name="_Toc22097"/>
      <w:r>
        <w:rPr>
          <w:rFonts w:hint="default" w:ascii="Times New Roman" w:hAnsi="Times New Roman" w:cs="Times New Roman"/>
          <w:b/>
          <w:bCs/>
          <w:sz w:val="52"/>
          <w:szCs w:val="52"/>
        </w:rPr>
        <w:t>竣工环境保护验收监测报告</w:t>
      </w:r>
      <w:bookmarkEnd w:id="1"/>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jc w:val="center"/>
        <w:rPr>
          <w:rFonts w:hint="default" w:ascii="Times New Roman" w:hAnsi="Times New Roman" w:cs="Times New Roman"/>
        </w:rPr>
      </w:pPr>
    </w:p>
    <w:p>
      <w:pPr>
        <w:bidi w:val="0"/>
        <w:ind w:left="0" w:leftChars="0" w:firstLine="1680" w:firstLineChars="525"/>
        <w:jc w:val="both"/>
        <w:rPr>
          <w:rFonts w:hint="eastAsia" w:cs="Times New Roman"/>
          <w:sz w:val="32"/>
          <w:szCs w:val="32"/>
          <w:lang w:val="en-US" w:eastAsia="zh-CN"/>
        </w:rPr>
      </w:pPr>
      <w:r>
        <w:rPr>
          <w:rFonts w:hint="default" w:ascii="Times New Roman" w:hAnsi="Times New Roman" w:cs="Times New Roman"/>
          <w:sz w:val="32"/>
          <w:szCs w:val="32"/>
        </w:rPr>
        <w:t>建设单位：</w:t>
      </w:r>
      <w:r>
        <w:rPr>
          <w:rFonts w:hint="default" w:ascii="Times New Roman" w:hAnsi="Times New Roman" w:cs="Times New Roman"/>
          <w:sz w:val="32"/>
          <w:szCs w:val="32"/>
          <w:lang w:val="en-US" w:eastAsia="zh-CN"/>
        </w:rPr>
        <w:t>同德县</w:t>
      </w:r>
      <w:r>
        <w:rPr>
          <w:rFonts w:hint="eastAsia" w:cs="Times New Roman"/>
          <w:sz w:val="32"/>
          <w:szCs w:val="32"/>
          <w:lang w:val="en-US" w:eastAsia="zh-CN"/>
        </w:rPr>
        <w:t>住房和城乡建设</w:t>
      </w:r>
      <w:r>
        <w:rPr>
          <w:rFonts w:hint="default" w:ascii="Times New Roman" w:hAnsi="Times New Roman" w:cs="Times New Roman"/>
          <w:sz w:val="32"/>
          <w:szCs w:val="32"/>
          <w:lang w:val="en-US" w:eastAsia="zh-CN"/>
        </w:rPr>
        <w:t>局</w:t>
      </w:r>
    </w:p>
    <w:p>
      <w:pPr>
        <w:bidi w:val="0"/>
        <w:ind w:firstLine="3520" w:firstLineChars="1100"/>
        <w:jc w:val="both"/>
        <w:rPr>
          <w:rFonts w:hint="default" w:ascii="Times New Roman" w:hAnsi="Times New Roman" w:cs="Times New Roman"/>
          <w:sz w:val="32"/>
          <w:szCs w:val="32"/>
        </w:rPr>
      </w:pPr>
      <w:r>
        <w:rPr>
          <w:rFonts w:hint="default" w:ascii="Times New Roman" w:hAnsi="Times New Roman" w:cs="Times New Roman"/>
          <w:sz w:val="32"/>
          <w:szCs w:val="32"/>
        </w:rPr>
        <w:t>202</w:t>
      </w:r>
      <w:r>
        <w:rPr>
          <w:rFonts w:hint="eastAsia" w:cs="Times New Roman"/>
          <w:sz w:val="32"/>
          <w:szCs w:val="32"/>
          <w:lang w:val="en-US" w:eastAsia="zh-CN"/>
        </w:rPr>
        <w:t>4</w:t>
      </w:r>
      <w:r>
        <w:rPr>
          <w:rFonts w:hint="default" w:ascii="Times New Roman" w:hAnsi="Times New Roman" w:cs="Times New Roman"/>
          <w:sz w:val="32"/>
          <w:szCs w:val="32"/>
        </w:rPr>
        <w:t>年</w:t>
      </w:r>
      <w:r>
        <w:rPr>
          <w:rFonts w:hint="default" w:ascii="Times New Roman" w:hAnsi="Times New Roman" w:cs="Times New Roman"/>
          <w:sz w:val="32"/>
          <w:szCs w:val="32"/>
          <w:lang w:val="en-US" w:eastAsia="zh-CN"/>
        </w:rPr>
        <w:t>1</w:t>
      </w:r>
      <w:r>
        <w:rPr>
          <w:rFonts w:hint="default" w:ascii="Times New Roman" w:hAnsi="Times New Roman" w:cs="Times New Roman"/>
          <w:sz w:val="32"/>
          <w:szCs w:val="32"/>
        </w:rPr>
        <w:t>月</w:t>
      </w:r>
    </w:p>
    <w:p>
      <w:pPr>
        <w:spacing w:line="226" w:lineRule="auto"/>
        <w:rPr>
          <w:rFonts w:hint="default" w:ascii="Times New Roman" w:hAnsi="Times New Roman" w:eastAsia="宋体" w:cs="Times New Roman"/>
          <w:sz w:val="44"/>
          <w:szCs w:val="44"/>
        </w:rPr>
        <w:sectPr>
          <w:pgSz w:w="11911" w:h="16839"/>
          <w:pgMar w:top="1440" w:right="1800" w:bottom="1440" w:left="1800" w:header="0" w:footer="0" w:gutter="0"/>
          <w:pgBorders>
            <w:top w:val="none" w:sz="0" w:space="0"/>
            <w:left w:val="none" w:sz="0" w:space="0"/>
            <w:bottom w:val="none" w:sz="0" w:space="0"/>
            <w:right w:val="none" w:sz="0" w:space="0"/>
          </w:pgBorders>
          <w:cols w:space="720" w:num="1"/>
        </w:sectPr>
      </w:pPr>
    </w:p>
    <w:sdt>
      <w:sdtPr>
        <w:rPr>
          <w:rFonts w:ascii="宋体" w:hAnsi="宋体" w:eastAsia="宋体" w:cs="Arial"/>
          <w:snapToGrid w:val="0"/>
          <w:color w:val="000000"/>
          <w:kern w:val="0"/>
          <w:sz w:val="21"/>
          <w:szCs w:val="21"/>
          <w:lang w:val="en-US" w:eastAsia="en-US" w:bidi="ar-SA"/>
        </w:rPr>
        <w:id w:val="147470565"/>
        <w15:color w:val="DBDBDB"/>
        <w:docPartObj>
          <w:docPartGallery w:val="Table of Contents"/>
          <w:docPartUnique/>
        </w:docPartObj>
      </w:sdtPr>
      <w:sdtEndPr>
        <w:rPr>
          <w:rFonts w:ascii="Times New Roman" w:hAnsi="Times New Roman" w:eastAsia="Times New Roman" w:cs="Times New Roman"/>
          <w:b/>
          <w:snapToGrid w:val="0"/>
          <w:color w:val="000000"/>
          <w:kern w:val="0"/>
          <w:sz w:val="24"/>
          <w:szCs w:val="24"/>
          <w:lang w:val="en-US" w:eastAsia="en-US" w:bidi="ar-SA"/>
        </w:rPr>
      </w:sdtEndPr>
      <w:sdtContent>
        <w:p>
          <w:pPr>
            <w:spacing w:before="0" w:beforeLines="0" w:after="0" w:afterLines="0" w:line="240" w:lineRule="auto"/>
            <w:ind w:left="0" w:leftChars="0" w:right="0" w:rightChars="0" w:firstLine="0" w:firstLineChars="0"/>
            <w:jc w:val="center"/>
            <w:rPr>
              <w:b/>
              <w:bCs/>
              <w:sz w:val="32"/>
              <w:szCs w:val="32"/>
            </w:rPr>
          </w:pPr>
          <w:r>
            <w:rPr>
              <w:rFonts w:ascii="宋体" w:hAnsi="宋体" w:eastAsia="宋体"/>
              <w:b/>
              <w:bCs/>
              <w:sz w:val="32"/>
              <w:szCs w:val="32"/>
            </w:rPr>
            <w:t>目录</w:t>
          </w:r>
        </w:p>
        <w:p>
          <w:pPr>
            <w:pStyle w:val="15"/>
            <w:tabs>
              <w:tab w:val="right" w:leader="dot" w:pos="8311"/>
            </w:tabs>
            <w:spacing w:line="360" w:lineRule="auto"/>
            <w:rPr>
              <w:rFonts w:hint="default" w:ascii="Times New Roman" w:hAnsi="Times New Roman" w:eastAsia="宋体" w:cs="Times New Roman"/>
              <w:b/>
              <w:sz w:val="24"/>
              <w:szCs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TOC \o "1-2" \h \u </w:instrText>
          </w:r>
          <w:r>
            <w:rPr>
              <w:rFonts w:ascii="Times New Roman" w:hAnsi="Times New Roman" w:eastAsia="Times New Roman" w:cs="Times New Roman"/>
              <w:sz w:val="24"/>
              <w:szCs w:val="24"/>
            </w:rPr>
            <w:fldChar w:fldCharType="separate"/>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_Toc13096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bCs w:val="0"/>
              <w:sz w:val="24"/>
              <w:szCs w:val="24"/>
              <w:lang w:val="en-US" w:eastAsia="zh-CN"/>
            </w:rPr>
            <w:t xml:space="preserve">第一章   </w:t>
          </w:r>
          <w:r>
            <w:rPr>
              <w:rFonts w:hint="default" w:ascii="Times New Roman" w:hAnsi="Times New Roman" w:eastAsia="宋体" w:cs="Times New Roman"/>
              <w:b/>
              <w:bCs w:val="0"/>
              <w:sz w:val="24"/>
              <w:szCs w:val="24"/>
            </w:rPr>
            <w:t>项目概况</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_Toc13096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1</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_Toc18511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1.1</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项目基本情况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_Toc18511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_Toc7107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1.2</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项目建设过程及前期环评手续简述</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_Toc7107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_Toc26330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1.3</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排污许可证申领情况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_Toc26330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_Toc31407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1.4</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验收工作由来与过程</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_Toc31407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_Toc20374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lang w:val="en-US" w:eastAsia="zh-CN"/>
            </w:rPr>
            <w:t>1.5  验收目的、验收方法</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_Toc20374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_Toc4251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lang w:val="en-US" w:eastAsia="zh-CN"/>
            </w:rPr>
            <w:t xml:space="preserve">1.6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验收调查程序</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_Toc4251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_Toc31630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lang w:val="en-US" w:eastAsia="zh-CN"/>
            </w:rPr>
            <w:t>1.7  验收调查时段及验收调查范围</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_Toc31630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_Toc10524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lang w:val="en-US" w:eastAsia="zh-CN"/>
            </w:rPr>
            <w:t xml:space="preserve">1.8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环境保护目标</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_Toc10524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_Toc11248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lang w:val="en-US" w:eastAsia="zh-CN"/>
            </w:rPr>
            <w:t xml:space="preserve">1.9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验收调查重点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_Toc11248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_Toc15593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lang w:val="en-US" w:eastAsia="zh-CN"/>
            </w:rPr>
            <w:t xml:space="preserve">第二章  </w:t>
          </w:r>
          <w:r>
            <w:rPr>
              <w:rFonts w:hint="default" w:ascii="Times New Roman" w:hAnsi="Times New Roman" w:eastAsia="宋体" w:cs="Times New Roman"/>
              <w:b/>
              <w:sz w:val="24"/>
              <w:szCs w:val="24"/>
            </w:rPr>
            <w:t>验收依据</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_Toc15593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7</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_Toc18896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2.1</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建设项目环境保护相关法律、法规和规章制度</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_Toc18896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_Toc32537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2.2</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建设项目竣工环境保护验收技术规范</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_Toc32537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_Toc14577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2.3</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建设项目环境影响评价报告书及审批部门审批决定</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_Toc14577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_Toc30022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pacing w:val="-1"/>
              <w:sz w:val="24"/>
              <w:szCs w:val="24"/>
            </w:rPr>
            <w:t>2.4</w:t>
          </w:r>
          <w:r>
            <w:rPr>
              <w:rFonts w:hint="eastAsia" w:eastAsia="宋体"/>
              <w:sz w:val="24"/>
              <w:szCs w:val="24"/>
              <w:lang w:val="en-US" w:eastAsia="zh-CN"/>
            </w:rPr>
            <w:t xml:space="preserve">  </w:t>
          </w:r>
          <w:r>
            <w:rPr>
              <w:rFonts w:hint="default"/>
              <w:sz w:val="24"/>
              <w:szCs w:val="24"/>
            </w:rPr>
            <w:t>其他相关文件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_Toc30022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_Toc24030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lang w:val="en-US" w:eastAsia="zh-CN"/>
            </w:rPr>
            <w:t xml:space="preserve">第三章   </w:t>
          </w:r>
          <w:r>
            <w:rPr>
              <w:rFonts w:hint="default" w:ascii="Times New Roman" w:hAnsi="Times New Roman" w:eastAsia="宋体" w:cs="Times New Roman"/>
              <w:b/>
              <w:sz w:val="24"/>
              <w:szCs w:val="24"/>
            </w:rPr>
            <w:t>项目建设概况</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_Toc24030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9</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_Toc31163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3.1</w:t>
          </w:r>
          <w:r>
            <w:rPr>
              <w:rFonts w:hint="eastAsia" w:ascii="Times New Roman" w:hAnsi="Times New Roman" w:eastAsia="宋体" w:cs="Times New Roman"/>
              <w:bCs/>
              <w:sz w:val="24"/>
              <w:szCs w:val="24"/>
              <w:lang w:val="en-US" w:eastAsia="zh-CN"/>
            </w:rPr>
            <w:t xml:space="preserve">  </w:t>
          </w:r>
          <w:r>
            <w:rPr>
              <w:rFonts w:hint="default"/>
              <w:sz w:val="24"/>
              <w:szCs w:val="24"/>
            </w:rPr>
            <w:t>地理位置及平面布置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_Toc31163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_Toc23014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pacing w:val="-1"/>
              <w:sz w:val="24"/>
              <w:szCs w:val="24"/>
            </w:rPr>
            <w:t>3.2</w:t>
          </w:r>
          <w:r>
            <w:rPr>
              <w:rFonts w:hint="eastAsia" w:ascii="Times New Roman" w:hAnsi="Times New Roman" w:eastAsia="宋体" w:cs="Times New Roman"/>
              <w:bCs/>
              <w:spacing w:val="-1"/>
              <w:sz w:val="24"/>
              <w:szCs w:val="24"/>
              <w:lang w:val="en-US" w:eastAsia="zh-CN"/>
            </w:rPr>
            <w:t xml:space="preserve">  </w:t>
          </w:r>
          <w:r>
            <w:rPr>
              <w:rFonts w:hint="default"/>
              <w:sz w:val="24"/>
              <w:szCs w:val="24"/>
            </w:rPr>
            <w:t>建设内容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_Toc23014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_Toc16404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3.3</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劳动定员及工作制度</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_Toc16404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_Toc21415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3.4</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给排水情况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_Toc21415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_Toc30726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3.5</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 xml:space="preserve"> 生产</w:t>
          </w:r>
          <w:r>
            <w:rPr>
              <w:rFonts w:hint="default" w:ascii="Times New Roman" w:hAnsi="Times New Roman" w:eastAsia="宋体" w:cs="Times New Roman"/>
              <w:bCs/>
              <w:sz w:val="24"/>
              <w:szCs w:val="24"/>
              <w:lang w:val="en-US" w:eastAsia="zh-CN"/>
            </w:rPr>
            <w:t>工艺</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_Toc30726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_Toc18205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3.6</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项目变动情况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_Toc18205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_Toc4573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bCs w:val="0"/>
              <w:sz w:val="24"/>
              <w:szCs w:val="24"/>
              <w:lang w:val="en-US" w:eastAsia="zh-CN"/>
            </w:rPr>
            <w:t xml:space="preserve">第四章   </w:t>
          </w:r>
          <w:r>
            <w:rPr>
              <w:rFonts w:hint="default" w:ascii="Times New Roman" w:hAnsi="Times New Roman" w:eastAsia="宋体" w:cs="Times New Roman"/>
              <w:b/>
              <w:bCs w:val="0"/>
              <w:sz w:val="24"/>
              <w:szCs w:val="24"/>
            </w:rPr>
            <w:t>环境保护措施</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_Toc4573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19</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_Toc22964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4.1</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污染物治理/处置设施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_Toc22964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_Toc23712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pacing w:val="-2"/>
              <w:sz w:val="24"/>
              <w:szCs w:val="24"/>
            </w:rPr>
            <w:t>4.2</w:t>
          </w:r>
          <w:r>
            <w:rPr>
              <w:rFonts w:hint="eastAsia" w:ascii="Times New Roman" w:hAnsi="Times New Roman" w:eastAsia="宋体" w:cs="Times New Roman"/>
              <w:bCs/>
              <w:spacing w:val="-2"/>
              <w:sz w:val="24"/>
              <w:szCs w:val="24"/>
              <w:lang w:val="en-US" w:eastAsia="zh-CN"/>
            </w:rPr>
            <w:t xml:space="preserve">  </w:t>
          </w:r>
          <w:r>
            <w:rPr>
              <w:rFonts w:hint="default"/>
              <w:sz w:val="24"/>
              <w:szCs w:val="24"/>
            </w:rPr>
            <w:t>环保设施投资及“三同时 ”落实情况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_Toc23712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_Toc3192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bCs/>
              <w:sz w:val="24"/>
              <w:szCs w:val="24"/>
              <w:lang w:val="en-US" w:eastAsia="zh-CN"/>
            </w:rPr>
            <w:t xml:space="preserve">第五章   </w:t>
          </w:r>
          <w:r>
            <w:rPr>
              <w:rFonts w:hint="default" w:ascii="Times New Roman" w:hAnsi="Times New Roman" w:eastAsia="宋体" w:cs="Times New Roman"/>
              <w:b/>
              <w:bCs/>
              <w:sz w:val="24"/>
              <w:szCs w:val="24"/>
            </w:rPr>
            <w:t>建设项目环评报告书的主要结论</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_Toc3192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24</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_Toc31538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环境影响报告书主要结论与建议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_Toc31538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审批部门审批决定</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_Toc26285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bCs/>
              <w:sz w:val="24"/>
              <w:szCs w:val="24"/>
              <w:lang w:val="en-US" w:eastAsia="zh-CN"/>
            </w:rPr>
            <w:t xml:space="preserve">第六章   </w:t>
          </w:r>
          <w:r>
            <w:rPr>
              <w:rFonts w:hint="default" w:ascii="Times New Roman" w:hAnsi="Times New Roman" w:eastAsia="宋体" w:cs="Times New Roman"/>
              <w:b/>
              <w:bCs/>
              <w:sz w:val="24"/>
              <w:szCs w:val="24"/>
            </w:rPr>
            <w:t>验收</w:t>
          </w:r>
          <w:r>
            <w:rPr>
              <w:rFonts w:hint="default" w:ascii="Times New Roman" w:hAnsi="Times New Roman" w:eastAsia="宋体" w:cs="Times New Roman"/>
              <w:b/>
              <w:bCs/>
              <w:sz w:val="24"/>
              <w:szCs w:val="24"/>
              <w:lang w:val="en-US" w:eastAsia="zh-CN"/>
            </w:rPr>
            <w:t>执行</w:t>
          </w:r>
          <w:r>
            <w:rPr>
              <w:rFonts w:hint="default" w:ascii="Times New Roman" w:hAnsi="Times New Roman" w:eastAsia="宋体" w:cs="Times New Roman"/>
              <w:b/>
              <w:bCs/>
              <w:sz w:val="24"/>
              <w:szCs w:val="24"/>
            </w:rPr>
            <w:t>标准</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_Toc26285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31</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_Toc19047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环境质量标准</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_Toc19047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_Toc13036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污染物排放标准</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_Toc13036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_Toc28401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6.3</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污染物总量考核指标要求</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_Toc28401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_Toc2072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bCs/>
              <w:sz w:val="24"/>
              <w:szCs w:val="24"/>
              <w:lang w:val="en-US" w:eastAsia="zh-CN"/>
            </w:rPr>
            <w:t xml:space="preserve">第七章   </w:t>
          </w:r>
          <w:r>
            <w:rPr>
              <w:rFonts w:hint="default" w:ascii="Times New Roman" w:hAnsi="Times New Roman" w:eastAsia="宋体" w:cs="Times New Roman"/>
              <w:b/>
              <w:bCs/>
              <w:sz w:val="24"/>
              <w:szCs w:val="24"/>
            </w:rPr>
            <w:t>验收监测内容</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_Toc2072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34</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_Toc2859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7.1</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废气</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_Toc2859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_Toc13258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pacing w:val="-1"/>
              <w:sz w:val="24"/>
              <w:szCs w:val="24"/>
            </w:rPr>
            <w:t>7.2</w:t>
          </w:r>
          <w:r>
            <w:rPr>
              <w:rFonts w:hint="default" w:ascii="Times New Roman" w:hAnsi="Times New Roman" w:eastAsia="宋体" w:cs="Times New Roman"/>
              <w:bCs/>
              <w:spacing w:val="-1"/>
              <w:sz w:val="24"/>
              <w:szCs w:val="24"/>
              <w:lang w:val="en-US" w:eastAsia="zh-CN"/>
            </w:rPr>
            <w:t xml:space="preserve">  </w:t>
          </w:r>
          <w:r>
            <w:rPr>
              <w:rFonts w:hint="default"/>
              <w:sz w:val="24"/>
              <w:szCs w:val="24"/>
            </w:rPr>
            <w:t>厂界噪声</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_Toc13258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_Toc3098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7.3</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固体废弃物处置情况调查</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_Toc3098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_Toc5523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bCs/>
              <w:sz w:val="24"/>
              <w:szCs w:val="24"/>
              <w:lang w:val="en-US" w:eastAsia="zh-CN"/>
            </w:rPr>
            <w:t xml:space="preserve">第八章   </w:t>
          </w:r>
          <w:r>
            <w:rPr>
              <w:rFonts w:hint="default" w:ascii="Times New Roman" w:hAnsi="Times New Roman" w:eastAsia="宋体" w:cs="Times New Roman"/>
              <w:b/>
              <w:bCs/>
              <w:sz w:val="24"/>
              <w:szCs w:val="24"/>
            </w:rPr>
            <w:t>质量保证和质量控制</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_Toc5523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35</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_Toc26401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8.1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监测分析方法</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_Toc26401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_Toc30970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8.2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人员能力</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_Toc30970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_Toc32402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bCs/>
              <w:sz w:val="24"/>
              <w:szCs w:val="24"/>
              <w:lang w:val="en-US" w:eastAsia="zh-CN"/>
            </w:rPr>
            <w:t xml:space="preserve">第九章   </w:t>
          </w:r>
          <w:r>
            <w:rPr>
              <w:rFonts w:hint="default" w:ascii="Times New Roman" w:hAnsi="Times New Roman" w:eastAsia="宋体" w:cs="Times New Roman"/>
              <w:b/>
              <w:bCs/>
              <w:sz w:val="24"/>
              <w:szCs w:val="24"/>
            </w:rPr>
            <w:t>验收监测结果</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_Toc32402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37</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_Toc4175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9.1</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生产工况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_Toc4175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_Toc14269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9.2</w:t>
          </w:r>
          <w:r>
            <w:rPr>
              <w:rFonts w:hint="eastAsia"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环保设施调试运行效果</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_Toc14269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_Toc7921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bCs/>
              <w:sz w:val="24"/>
              <w:szCs w:val="24"/>
              <w:lang w:val="en-US" w:eastAsia="zh-CN"/>
            </w:rPr>
            <w:t xml:space="preserve">第十章   </w:t>
          </w:r>
          <w:r>
            <w:rPr>
              <w:rFonts w:hint="default" w:ascii="Times New Roman" w:hAnsi="Times New Roman" w:eastAsia="宋体" w:cs="Times New Roman"/>
              <w:b/>
              <w:bCs/>
              <w:sz w:val="24"/>
              <w:szCs w:val="24"/>
            </w:rPr>
            <w:t>验收监测结论</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_Toc7921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39</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_Toc13965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10.1</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环境管理检查</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_Toc13965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_Toc5891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污染物排放监测结果</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_Toc5891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_Toc4848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10.3</w:t>
          </w:r>
          <w:r>
            <w:rPr>
              <w:rFonts w:hint="default" w:ascii="Times New Roman" w:hAnsi="Times New Roman" w:eastAsia="宋体" w:cs="Times New Roman"/>
              <w:bCs/>
              <w:sz w:val="24"/>
              <w:szCs w:val="24"/>
              <w:lang w:val="en-US" w:eastAsia="zh-CN"/>
            </w:rPr>
            <w:t xml:space="preserve">  </w:t>
          </w:r>
          <w:r>
            <w:rPr>
              <w:rFonts w:hint="default" w:ascii="Times New Roman" w:hAnsi="Times New Roman" w:eastAsia="宋体" w:cs="Times New Roman"/>
              <w:bCs/>
              <w:sz w:val="24"/>
              <w:szCs w:val="24"/>
            </w:rPr>
            <w:t>总结论</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_Toc4848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6"/>
            <w:tabs>
              <w:tab w:val="right" w:leader="dot" w:pos="8311"/>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_Toc19884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10.</w:t>
          </w:r>
          <w:r>
            <w:rPr>
              <w:rFonts w:hint="default" w:ascii="Times New Roman" w:hAnsi="Times New Roman" w:eastAsia="宋体" w:cs="Times New Roman"/>
              <w:bCs/>
              <w:sz w:val="24"/>
              <w:szCs w:val="24"/>
              <w:lang w:val="en-US" w:eastAsia="zh-CN"/>
            </w:rPr>
            <w:t>4  后续要求</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_Toc19884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40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p>
        <w:p>
          <w:pPr>
            <w:pStyle w:val="15"/>
            <w:tabs>
              <w:tab w:val="right" w:leader="dot" w:pos="8311"/>
            </w:tabs>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HYPERLINK \l _Toc16029 </w:instrText>
          </w:r>
          <w:r>
            <w:rPr>
              <w:rFonts w:hint="default" w:ascii="Times New Roman" w:hAnsi="Times New Roman" w:eastAsia="宋体" w:cs="Times New Roman"/>
              <w:b/>
              <w:sz w:val="24"/>
              <w:szCs w:val="24"/>
            </w:rPr>
            <w:fldChar w:fldCharType="separate"/>
          </w:r>
          <w:r>
            <w:rPr>
              <w:rFonts w:hint="default"/>
              <w:sz w:val="24"/>
              <w:szCs w:val="24"/>
            </w:rPr>
            <w:t>建设项目竣工环境保护“三同时”验收登记表</w:t>
          </w:r>
          <w:r>
            <w:rPr>
              <w:rFonts w:hint="default" w:ascii="Times New Roman" w:hAnsi="Times New Roman" w:eastAsia="宋体" w:cs="Times New Roman"/>
              <w:b/>
              <w:sz w:val="24"/>
              <w:szCs w:val="24"/>
            </w:rPr>
            <w:tab/>
          </w:r>
          <w:r>
            <w:rPr>
              <w:rFonts w:hint="default" w:ascii="Times New Roman" w:hAnsi="Times New Roman" w:eastAsia="宋体" w:cs="Times New Roman"/>
              <w:b/>
              <w:sz w:val="24"/>
              <w:szCs w:val="24"/>
            </w:rPr>
            <w:fldChar w:fldCharType="begin"/>
          </w:r>
          <w:r>
            <w:rPr>
              <w:rFonts w:hint="default" w:ascii="Times New Roman" w:hAnsi="Times New Roman" w:eastAsia="宋体" w:cs="Times New Roman"/>
              <w:b/>
              <w:sz w:val="24"/>
              <w:szCs w:val="24"/>
            </w:rPr>
            <w:instrText xml:space="preserve"> PAGEREF _Toc16029 \h </w:instrText>
          </w:r>
          <w:r>
            <w:rPr>
              <w:rFonts w:hint="default" w:ascii="Times New Roman" w:hAnsi="Times New Roman" w:eastAsia="宋体" w:cs="Times New Roman"/>
              <w:b/>
              <w:sz w:val="24"/>
              <w:szCs w:val="24"/>
            </w:rPr>
            <w:fldChar w:fldCharType="separate"/>
          </w:r>
          <w:r>
            <w:rPr>
              <w:rFonts w:hint="default" w:ascii="Times New Roman" w:hAnsi="Times New Roman" w:eastAsia="宋体" w:cs="Times New Roman"/>
              <w:b/>
              <w:sz w:val="24"/>
              <w:szCs w:val="24"/>
            </w:rPr>
            <w:t>41</w:t>
          </w:r>
          <w:r>
            <w:rPr>
              <w:rFonts w:hint="default" w:ascii="Times New Roman" w:hAnsi="Times New Roman" w:eastAsia="宋体" w:cs="Times New Roman"/>
              <w:b/>
              <w:sz w:val="24"/>
              <w:szCs w:val="24"/>
            </w:rPr>
            <w:fldChar w:fldCharType="end"/>
          </w:r>
          <w:r>
            <w:rPr>
              <w:rFonts w:hint="default" w:ascii="Times New Roman" w:hAnsi="Times New Roman" w:eastAsia="宋体" w:cs="Times New Roman"/>
              <w:b/>
              <w:sz w:val="24"/>
              <w:szCs w:val="24"/>
            </w:rPr>
            <w:fldChar w:fldCharType="end"/>
          </w:r>
        </w:p>
        <w:p>
          <w:pPr>
            <w:spacing w:line="220" w:lineRule="auto"/>
            <w:rPr>
              <w:rFonts w:ascii="Times New Roman" w:hAnsi="Times New Roman" w:eastAsia="Times New Roman" w:cs="Times New Roman"/>
              <w:sz w:val="24"/>
              <w:szCs w:val="24"/>
            </w:rPr>
            <w:sectPr>
              <w:pgSz w:w="11911" w:h="16839"/>
              <w:pgMar w:top="1440" w:right="1800" w:bottom="1440" w:left="1800" w:header="0" w:footer="0" w:gutter="0"/>
              <w:pgBorders>
                <w:top w:val="none" w:sz="0" w:space="0"/>
                <w:left w:val="none" w:sz="0" w:space="0"/>
                <w:bottom w:val="none" w:sz="0" w:space="0"/>
                <w:right w:val="none" w:sz="0" w:space="0"/>
              </w:pgBorders>
              <w:cols w:space="720" w:num="1"/>
            </w:sectPr>
          </w:pPr>
          <w:r>
            <w:rPr>
              <w:rFonts w:ascii="Times New Roman" w:hAnsi="Times New Roman" w:eastAsia="Times New Roman" w:cs="Times New Roman"/>
              <w:b/>
              <w:szCs w:val="24"/>
            </w:rPr>
            <w:fldChar w:fldCharType="end"/>
          </w:r>
        </w:p>
      </w:sdtContent>
    </w:sdt>
    <w:p>
      <w:pPr>
        <w:pStyle w:val="3"/>
        <w:bidi w:val="0"/>
        <w:jc w:val="center"/>
        <w:rPr>
          <w:rFonts w:ascii="宋体" w:hAnsi="宋体" w:eastAsia="宋体" w:cs="宋体"/>
          <w:b/>
          <w:bCs w:val="0"/>
          <w:szCs w:val="30"/>
        </w:rPr>
      </w:pPr>
      <w:bookmarkStart w:id="2" w:name="bookmark1"/>
      <w:bookmarkEnd w:id="2"/>
      <w:bookmarkStart w:id="3" w:name="_Toc13096"/>
      <w:r>
        <w:rPr>
          <w:rFonts w:hint="eastAsia"/>
          <w:b/>
          <w:bCs w:val="0"/>
          <w:lang w:val="en-US" w:eastAsia="zh-CN"/>
        </w:rPr>
        <w:t xml:space="preserve">第一章   </w:t>
      </w:r>
      <w:r>
        <w:rPr>
          <w:b/>
          <w:bCs w:val="0"/>
        </w:rPr>
        <w:t>项目概况</w:t>
      </w:r>
      <w:bookmarkEnd w:id="3"/>
    </w:p>
    <w:p>
      <w:pPr>
        <w:pStyle w:val="2"/>
        <w:bidi w:val="0"/>
      </w:pPr>
      <w:bookmarkStart w:id="4" w:name="_Toc18511"/>
      <w:r>
        <w:t>1.1</w:t>
      </w:r>
      <w:r>
        <w:rPr>
          <w:rFonts w:hint="eastAsia"/>
          <w:lang w:val="en-US" w:eastAsia="zh-CN"/>
        </w:rPr>
        <w:t xml:space="preserve">  </w:t>
      </w:r>
      <w:r>
        <w:t>项目基本情况</w:t>
      </w:r>
      <w:bookmarkEnd w:id="4"/>
    </w:p>
    <w:p>
      <w:pPr>
        <w:spacing w:before="194" w:line="480" w:lineRule="exact"/>
        <w:rPr>
          <w:rFonts w:hint="default" w:ascii="宋体" w:hAnsi="宋体" w:eastAsia="宋体" w:cs="宋体"/>
          <w:sz w:val="24"/>
          <w:szCs w:val="24"/>
          <w:lang w:val="en-US" w:eastAsia="zh-CN"/>
        </w:rPr>
      </w:pPr>
      <w:r>
        <w:rPr>
          <w:rFonts w:ascii="宋体" w:hAnsi="宋体" w:eastAsia="宋体" w:cs="宋体"/>
          <w:spacing w:val="-1"/>
          <w:position w:val="18"/>
          <w:sz w:val="24"/>
          <w:szCs w:val="24"/>
        </w:rPr>
        <w:t>项目名称：</w:t>
      </w:r>
      <w:r>
        <w:rPr>
          <w:rFonts w:hint="eastAsia" w:ascii="宋体" w:hAnsi="宋体" w:cs="宋体"/>
          <w:spacing w:val="-1"/>
          <w:position w:val="18"/>
          <w:sz w:val="24"/>
          <w:szCs w:val="24"/>
          <w:lang w:val="en-US" w:eastAsia="zh-CN"/>
        </w:rPr>
        <w:t>同德县河北乡生活垃圾处理场建设项目</w:t>
      </w:r>
    </w:p>
    <w:p>
      <w:pPr>
        <w:spacing w:line="220" w:lineRule="auto"/>
        <w:rPr>
          <w:rFonts w:hint="default" w:ascii="宋体" w:hAnsi="宋体" w:eastAsia="宋体" w:cs="宋体"/>
          <w:sz w:val="24"/>
          <w:szCs w:val="24"/>
          <w:lang w:val="en-US" w:eastAsia="zh-CN"/>
        </w:rPr>
      </w:pPr>
      <w:r>
        <w:rPr>
          <w:rFonts w:ascii="宋体" w:hAnsi="宋体" w:eastAsia="宋体" w:cs="宋体"/>
          <w:spacing w:val="-1"/>
          <w:sz w:val="24"/>
          <w:szCs w:val="24"/>
        </w:rPr>
        <w:t>建设单位：</w:t>
      </w:r>
      <w:r>
        <w:rPr>
          <w:rFonts w:hint="eastAsia" w:ascii="宋体" w:hAnsi="宋体" w:eastAsia="宋体" w:cs="宋体"/>
          <w:spacing w:val="-1"/>
          <w:sz w:val="24"/>
          <w:szCs w:val="24"/>
        </w:rPr>
        <w:t>同德县住房和城乡建设局</w:t>
      </w:r>
    </w:p>
    <w:p>
      <w:pPr>
        <w:spacing w:before="193" w:line="221" w:lineRule="auto"/>
        <w:rPr>
          <w:rFonts w:ascii="宋体" w:hAnsi="宋体" w:eastAsia="宋体" w:cs="宋体"/>
          <w:sz w:val="24"/>
          <w:szCs w:val="24"/>
        </w:rPr>
      </w:pPr>
      <w:r>
        <w:rPr>
          <w:rFonts w:ascii="宋体" w:hAnsi="宋体" w:eastAsia="宋体" w:cs="宋体"/>
          <w:spacing w:val="-2"/>
          <w:sz w:val="24"/>
          <w:szCs w:val="24"/>
        </w:rPr>
        <w:t>建设性质：新建</w:t>
      </w:r>
    </w:p>
    <w:p>
      <w:pPr>
        <w:spacing w:before="193" w:line="480" w:lineRule="exact"/>
        <w:ind w:right="55"/>
        <w:jc w:val="both"/>
        <w:rPr>
          <w:rFonts w:hint="default" w:ascii="宋体" w:hAnsi="宋体" w:eastAsia="宋体" w:cs="宋体"/>
          <w:spacing w:val="-1"/>
          <w:position w:val="18"/>
          <w:sz w:val="24"/>
          <w:szCs w:val="24"/>
          <w:lang w:val="en-US" w:eastAsia="zh-CN"/>
        </w:rPr>
      </w:pPr>
      <w:r>
        <w:rPr>
          <w:rFonts w:ascii="宋体" w:hAnsi="宋体" w:eastAsia="宋体" w:cs="宋体"/>
          <w:spacing w:val="-1"/>
          <w:position w:val="18"/>
          <w:sz w:val="24"/>
          <w:szCs w:val="24"/>
        </w:rPr>
        <w:t>建设地点：</w:t>
      </w:r>
      <w:r>
        <w:rPr>
          <w:rFonts w:hint="default" w:ascii="Times New Roman" w:hAnsi="Times New Roman" w:cs="Times New Roman"/>
          <w:spacing w:val="-1"/>
          <w:position w:val="18"/>
          <w:sz w:val="24"/>
          <w:szCs w:val="24"/>
          <w:lang w:val="en-US" w:eastAsia="zh-CN"/>
        </w:rPr>
        <w:t>河北乡赛羊村（石藏寺）4km处诺日央宗</w:t>
      </w:r>
    </w:p>
    <w:p>
      <w:pPr>
        <w:bidi w:val="0"/>
      </w:pPr>
      <w:r>
        <w:rPr>
          <w:rFonts w:hint="default"/>
        </w:rPr>
        <w:t>实际规模：项目总占地面积</w:t>
      </w:r>
      <w:r>
        <w:rPr>
          <w:rFonts w:hint="eastAsia"/>
          <w:lang w:val="en-US" w:eastAsia="zh-CN"/>
        </w:rPr>
        <w:t>2350</w:t>
      </w:r>
      <w:r>
        <w:rPr>
          <w:rFonts w:hint="default"/>
        </w:rPr>
        <w:t>m</w:t>
      </w:r>
      <w:r>
        <w:rPr>
          <w:rFonts w:hint="default"/>
          <w:vertAlign w:val="superscript"/>
        </w:rPr>
        <w:t>2</w:t>
      </w:r>
      <w:r>
        <w:rPr>
          <w:rFonts w:hint="default"/>
        </w:rPr>
        <w:t>，</w:t>
      </w:r>
      <w:r>
        <w:rPr>
          <w:rFonts w:hint="default"/>
          <w:color w:val="000000" w:themeColor="text1"/>
          <w14:textFill>
            <w14:solidFill>
              <w14:schemeClr w14:val="tx1"/>
            </w14:solidFill>
          </w14:textFill>
        </w:rPr>
        <w:t>工程建设内容包括</w:t>
      </w:r>
      <w:r>
        <w:rPr>
          <w:rFonts w:hint="eastAsia"/>
          <w:color w:val="000000" w:themeColor="text1"/>
          <w:lang w:val="en-US" w:eastAsia="zh-CN"/>
          <w14:textFill>
            <w14:solidFill>
              <w14:schemeClr w14:val="tx1"/>
            </w14:solidFill>
          </w14:textFill>
        </w:rPr>
        <w:t>底库及边坡处理、填埋库区、防渗系统、渗滤液和气体导排系统、防洪排水系统，处理方式为填埋</w:t>
      </w:r>
      <w:r>
        <w:rPr>
          <w:rFonts w:hint="default"/>
          <w:color w:val="000000" w:themeColor="text1"/>
          <w14:textFill>
            <w14:solidFill>
              <w14:schemeClr w14:val="tx1"/>
            </w14:solidFill>
          </w14:textFill>
        </w:rPr>
        <w:t>。本项目建成运营后，日平均处理垃圾</w:t>
      </w:r>
      <w:r>
        <w:rPr>
          <w:rFonts w:hint="eastAsia"/>
          <w:color w:val="000000" w:themeColor="text1"/>
          <w:lang w:val="en-US" w:eastAsia="zh-CN"/>
          <w14:textFill>
            <w14:solidFill>
              <w14:schemeClr w14:val="tx1"/>
            </w14:solidFill>
          </w14:textFill>
        </w:rPr>
        <w:t>1t</w:t>
      </w:r>
      <w:r>
        <w:rPr>
          <w:rFonts w:hint="default"/>
          <w:color w:val="000000" w:themeColor="text1"/>
          <w14:textFill>
            <w14:solidFill>
              <w14:schemeClr w14:val="tx1"/>
            </w14:solidFill>
          </w14:textFill>
        </w:rPr>
        <w:t>。填埋场总库容</w:t>
      </w:r>
      <w:r>
        <w:rPr>
          <w:rFonts w:hint="eastAsia"/>
          <w:color w:val="000000" w:themeColor="text1"/>
          <w:lang w:val="en-US" w:eastAsia="zh-CN"/>
          <w14:textFill>
            <w14:solidFill>
              <w14:schemeClr w14:val="tx1"/>
            </w14:solidFill>
          </w14:textFill>
        </w:rPr>
        <w:t>1</w:t>
      </w:r>
      <w:r>
        <w:rPr>
          <w:rFonts w:hint="default"/>
          <w:color w:val="000000" w:themeColor="text1"/>
          <w14:textFill>
            <w14:solidFill>
              <w14:schemeClr w14:val="tx1"/>
            </w14:solidFill>
          </w14:textFill>
        </w:rPr>
        <w:t>万m</w:t>
      </w:r>
      <w:r>
        <w:rPr>
          <w:rFonts w:hint="default"/>
          <w:color w:val="000000" w:themeColor="text1"/>
          <w:vertAlign w:val="superscript"/>
          <w14:textFill>
            <w14:solidFill>
              <w14:schemeClr w14:val="tx1"/>
            </w14:solidFill>
          </w14:textFill>
        </w:rPr>
        <w:t>3</w:t>
      </w:r>
      <w:r>
        <w:rPr>
          <w:rFonts w:hint="default"/>
          <w:color w:val="000000" w:themeColor="text1"/>
          <w14:textFill>
            <w14:solidFill>
              <w14:schemeClr w14:val="tx1"/>
            </w14:solidFill>
          </w14:textFill>
        </w:rPr>
        <w:t>，设计使用年限</w:t>
      </w:r>
      <w:r>
        <w:rPr>
          <w:rFonts w:hint="eastAsia"/>
          <w:color w:val="000000" w:themeColor="text1"/>
          <w:lang w:val="en-US" w:eastAsia="zh-CN"/>
          <w14:textFill>
            <w14:solidFill>
              <w14:schemeClr w14:val="tx1"/>
            </w14:solidFill>
          </w14:textFill>
        </w:rPr>
        <w:t>10</w:t>
      </w:r>
      <w:r>
        <w:rPr>
          <w:rFonts w:hint="default"/>
          <w:color w:val="000000" w:themeColor="text1"/>
          <w14:textFill>
            <w14:solidFill>
              <w14:schemeClr w14:val="tx1"/>
            </w14:solidFill>
          </w14:textFill>
        </w:rPr>
        <w:t>年。</w:t>
      </w:r>
    </w:p>
    <w:p>
      <w:pPr>
        <w:pStyle w:val="2"/>
        <w:bidi w:val="0"/>
      </w:pPr>
      <w:bookmarkStart w:id="5" w:name="_Toc7107"/>
      <w:r>
        <w:t>1.2</w:t>
      </w:r>
      <w:r>
        <w:rPr>
          <w:rFonts w:hint="eastAsia"/>
          <w:lang w:val="en-US" w:eastAsia="zh-CN"/>
        </w:rPr>
        <w:t xml:space="preserve">  </w:t>
      </w:r>
      <w:r>
        <w:t>项目建设过程及前期环评手续简述</w:t>
      </w:r>
      <w:bookmarkEnd w:id="5"/>
    </w:p>
    <w:p>
      <w:pPr>
        <w:bidi w:val="0"/>
        <w:rPr>
          <w:rFonts w:hint="default" w:eastAsia="宋体"/>
          <w:lang w:val="en-US" w:eastAsia="zh-CN"/>
        </w:rPr>
      </w:pPr>
      <w:r>
        <w:rPr>
          <w:rFonts w:hint="eastAsia"/>
          <w:lang w:val="en-US" w:eastAsia="zh-CN"/>
        </w:rPr>
        <w:t>同德县河北乡生活垃圾处理场建设项目</w:t>
      </w:r>
      <w:r>
        <w:t>于20</w:t>
      </w:r>
      <w:r>
        <w:rPr>
          <w:rFonts w:hint="eastAsia"/>
          <w:lang w:val="en-US" w:eastAsia="zh-CN"/>
        </w:rPr>
        <w:t>10</w:t>
      </w:r>
      <w:r>
        <w:t>年</w:t>
      </w:r>
      <w:r>
        <w:rPr>
          <w:rFonts w:hint="eastAsia"/>
          <w:lang w:val="en-US" w:eastAsia="zh-CN"/>
        </w:rPr>
        <w:t>3</w:t>
      </w:r>
      <w:r>
        <w:t>月编制完成环评报告，并于20</w:t>
      </w:r>
      <w:r>
        <w:rPr>
          <w:rFonts w:hint="eastAsia"/>
          <w:lang w:val="en-US" w:eastAsia="zh-CN"/>
        </w:rPr>
        <w:t>10</w:t>
      </w:r>
      <w:r>
        <w:t>年</w:t>
      </w:r>
      <w:r>
        <w:rPr>
          <w:rFonts w:hint="eastAsia"/>
          <w:lang w:val="en-US" w:eastAsia="zh-CN"/>
        </w:rPr>
        <w:t>4月5</w:t>
      </w:r>
      <w:r>
        <w:t>日取得《关于</w:t>
      </w:r>
      <w:r>
        <w:rPr>
          <w:rFonts w:hint="eastAsia"/>
        </w:rPr>
        <w:t>同德县河北乡生活垃圾处理场建设项目</w:t>
      </w:r>
      <w:r>
        <w:t>环境影响报告书的批复》（</w:t>
      </w:r>
      <w:r>
        <w:rPr>
          <w:rFonts w:hint="eastAsia"/>
          <w:lang w:val="en-US" w:eastAsia="zh-CN"/>
        </w:rPr>
        <w:t>南环林</w:t>
      </w:r>
      <w:r>
        <w:t>〔201</w:t>
      </w:r>
      <w:r>
        <w:rPr>
          <w:rFonts w:hint="eastAsia"/>
          <w:lang w:val="en-US" w:eastAsia="zh-CN"/>
        </w:rPr>
        <w:t>0</w:t>
      </w:r>
      <w:r>
        <w:rPr>
          <w:rFonts w:hint="eastAsia"/>
        </w:rPr>
        <w:t>﹞</w:t>
      </w:r>
      <w:r>
        <w:rPr>
          <w:rFonts w:hint="eastAsia"/>
          <w:lang w:val="en-US" w:eastAsia="zh-CN"/>
        </w:rPr>
        <w:t>46</w:t>
      </w:r>
      <w:r>
        <w:t>号）</w:t>
      </w:r>
      <w:r>
        <w:rPr>
          <w:rFonts w:hint="eastAsia"/>
          <w:lang w:eastAsia="zh-CN"/>
        </w:rPr>
        <w:t>，</w:t>
      </w:r>
      <w:r>
        <w:rPr>
          <w:rFonts w:hint="eastAsia"/>
          <w:lang w:val="en-US" w:eastAsia="zh-CN"/>
        </w:rPr>
        <w:t>由于环评报告书丢失，于2015年12月补做环评报告书，补做报告书与原件一致，情况详见附件。</w:t>
      </w:r>
    </w:p>
    <w:p>
      <w:pPr>
        <w:pStyle w:val="2"/>
        <w:bidi w:val="0"/>
      </w:pPr>
      <w:bookmarkStart w:id="6" w:name="_Toc26330"/>
      <w:r>
        <w:t>1.3</w:t>
      </w:r>
      <w:r>
        <w:rPr>
          <w:rFonts w:hint="eastAsia"/>
          <w:lang w:val="en-US" w:eastAsia="zh-CN"/>
        </w:rPr>
        <w:t xml:space="preserve">  </w:t>
      </w:r>
      <w:r>
        <w:t>排污许可证申领情况</w:t>
      </w:r>
      <w:bookmarkEnd w:id="6"/>
    </w:p>
    <w:p>
      <w:pPr>
        <w:bidi w:val="0"/>
        <w:rPr>
          <w:rFonts w:hint="default"/>
        </w:rPr>
      </w:pPr>
      <w:r>
        <w:rPr>
          <w:rFonts w:hint="default"/>
          <w:lang w:val="en-US" w:eastAsia="zh-CN"/>
        </w:rPr>
        <w:t>本项目于2023年6月29日</w:t>
      </w:r>
      <w:r>
        <w:rPr>
          <w:rFonts w:hint="eastAsia"/>
          <w:lang w:val="en-US" w:eastAsia="zh-CN"/>
        </w:rPr>
        <w:t>取得海南藏族自治州生态环境局颁发的排污许可证，证书编号：116325225649098342001V，具体情况详见附件</w:t>
      </w:r>
      <w:r>
        <w:rPr>
          <w:rFonts w:hint="default"/>
        </w:rPr>
        <w:t>。</w:t>
      </w:r>
    </w:p>
    <w:p>
      <w:pPr>
        <w:pStyle w:val="2"/>
        <w:bidi w:val="0"/>
      </w:pPr>
      <w:bookmarkStart w:id="7" w:name="_Toc31407"/>
      <w:r>
        <w:t>1.4</w:t>
      </w:r>
      <w:r>
        <w:rPr>
          <w:rFonts w:hint="eastAsia"/>
          <w:lang w:val="en-US" w:eastAsia="zh-CN"/>
        </w:rPr>
        <w:t xml:space="preserve">  </w:t>
      </w:r>
      <w:r>
        <w:t>验收工作由来与过程</w:t>
      </w:r>
      <w:bookmarkEnd w:id="7"/>
    </w:p>
    <w:p>
      <w:pPr>
        <w:spacing w:before="195" w:line="369" w:lineRule="auto"/>
        <w:ind w:left="5" w:firstLine="480"/>
        <w:jc w:val="both"/>
        <w:rPr>
          <w:rFonts w:ascii="宋体" w:hAnsi="宋体" w:eastAsia="宋体" w:cs="宋体"/>
          <w:spacing w:val="-1"/>
          <w:sz w:val="24"/>
          <w:szCs w:val="24"/>
        </w:rPr>
      </w:pPr>
      <w:r>
        <w:rPr>
          <w:rFonts w:ascii="宋体" w:hAnsi="宋体" w:eastAsia="宋体" w:cs="宋体"/>
          <w:sz w:val="24"/>
          <w:szCs w:val="24"/>
        </w:rPr>
        <w:t>本项目于</w:t>
      </w:r>
      <w:r>
        <w:rPr>
          <w:rFonts w:ascii="Times New Roman" w:hAnsi="Times New Roman" w:eastAsia="Times New Roman" w:cs="Times New Roman"/>
          <w:sz w:val="24"/>
          <w:szCs w:val="24"/>
        </w:rPr>
        <w:t>20</w:t>
      </w:r>
      <w:r>
        <w:rPr>
          <w:rFonts w:hint="eastAsia" w:eastAsia="宋体" w:cs="Times New Roman"/>
          <w:sz w:val="24"/>
          <w:szCs w:val="24"/>
          <w:lang w:val="en-US" w:eastAsia="zh-CN"/>
        </w:rPr>
        <w:t>23</w:t>
      </w:r>
      <w:r>
        <w:rPr>
          <w:rFonts w:ascii="宋体" w:hAnsi="宋体" w:eastAsia="宋体" w:cs="宋体"/>
          <w:sz w:val="24"/>
          <w:szCs w:val="24"/>
        </w:rPr>
        <w:t>年</w:t>
      </w:r>
      <w:r>
        <w:rPr>
          <w:rFonts w:hint="eastAsia" w:eastAsia="宋体" w:cs="Times New Roman"/>
          <w:sz w:val="24"/>
          <w:szCs w:val="24"/>
          <w:lang w:val="en-US" w:eastAsia="zh-CN"/>
        </w:rPr>
        <w:t>9</w:t>
      </w:r>
      <w:r>
        <w:rPr>
          <w:rFonts w:ascii="宋体" w:hAnsi="宋体" w:eastAsia="宋体" w:cs="宋体"/>
          <w:sz w:val="24"/>
          <w:szCs w:val="24"/>
        </w:rPr>
        <w:t>月委托</w:t>
      </w:r>
      <w:r>
        <w:rPr>
          <w:rFonts w:hint="eastAsia" w:ascii="宋体" w:hAnsi="宋体" w:cs="宋体"/>
          <w:sz w:val="24"/>
          <w:szCs w:val="24"/>
          <w:lang w:val="en-US" w:eastAsia="zh-CN"/>
        </w:rPr>
        <w:t>青海首环环境科技</w:t>
      </w:r>
      <w:r>
        <w:rPr>
          <w:rFonts w:ascii="宋体" w:hAnsi="宋体" w:eastAsia="宋体" w:cs="宋体"/>
          <w:sz w:val="24"/>
          <w:szCs w:val="24"/>
        </w:rPr>
        <w:t>有限公司开展竣工环境保护验</w:t>
      </w:r>
      <w:r>
        <w:rPr>
          <w:rFonts w:ascii="宋体" w:hAnsi="宋体" w:eastAsia="宋体" w:cs="宋体"/>
          <w:spacing w:val="-1"/>
          <w:sz w:val="24"/>
          <w:szCs w:val="24"/>
        </w:rPr>
        <w:t>收工</w:t>
      </w:r>
      <w:r>
        <w:rPr>
          <w:rFonts w:ascii="宋体" w:hAnsi="宋体" w:eastAsia="宋体" w:cs="宋体"/>
          <w:sz w:val="24"/>
          <w:szCs w:val="24"/>
        </w:rPr>
        <w:t xml:space="preserve"> </w:t>
      </w:r>
      <w:r>
        <w:rPr>
          <w:rFonts w:ascii="宋体" w:hAnsi="宋体" w:eastAsia="宋体" w:cs="宋体"/>
          <w:spacing w:val="1"/>
          <w:sz w:val="24"/>
          <w:szCs w:val="24"/>
        </w:rPr>
        <w:t>作。根据《项目竣工环境</w:t>
      </w:r>
      <w:r>
        <w:rPr>
          <w:rFonts w:ascii="宋体" w:hAnsi="宋体" w:eastAsia="宋体" w:cs="宋体"/>
          <w:color w:val="000000" w:themeColor="text1"/>
          <w:spacing w:val="1"/>
          <w:sz w:val="24"/>
          <w:szCs w:val="24"/>
          <w14:textFill>
            <w14:solidFill>
              <w14:schemeClr w14:val="tx1"/>
            </w14:solidFill>
          </w14:textFill>
        </w:rPr>
        <w:t>保护验收技术指南</w:t>
      </w:r>
      <w:r>
        <w:rPr>
          <w:rFonts w:ascii="宋体" w:hAnsi="宋体" w:eastAsia="宋体" w:cs="宋体"/>
          <w:color w:val="000000" w:themeColor="text1"/>
          <w:spacing w:val="-38"/>
          <w:sz w:val="24"/>
          <w:szCs w:val="24"/>
          <w14:textFill>
            <w14:solidFill>
              <w14:schemeClr w14:val="tx1"/>
            </w14:solidFill>
          </w14:textFill>
        </w:rPr>
        <w:t xml:space="preserve"> </w:t>
      </w:r>
      <w:r>
        <w:rPr>
          <w:rFonts w:ascii="宋体" w:hAnsi="宋体" w:eastAsia="宋体" w:cs="宋体"/>
          <w:color w:val="000000" w:themeColor="text1"/>
          <w:spacing w:val="1"/>
          <w:sz w:val="24"/>
          <w:szCs w:val="24"/>
          <w14:textFill>
            <w14:solidFill>
              <w14:schemeClr w14:val="tx1"/>
            </w14:solidFill>
          </w14:textFill>
        </w:rPr>
        <w:t>污染影响类》的规定和要求，组织技术</w:t>
      </w:r>
      <w:r>
        <w:rPr>
          <w:rFonts w:ascii="宋体" w:hAnsi="宋体" w:eastAsia="宋体" w:cs="宋体"/>
          <w:color w:val="000000" w:themeColor="text1"/>
          <w:spacing w:val="3"/>
          <w:sz w:val="24"/>
          <w:szCs w:val="24"/>
          <w14:textFill>
            <w14:solidFill>
              <w14:schemeClr w14:val="tx1"/>
            </w14:solidFill>
          </w14:textFill>
        </w:rPr>
        <w:t>人员进行了现场踏勘、资料收集</w:t>
      </w:r>
      <w:r>
        <w:rPr>
          <w:rFonts w:ascii="宋体" w:hAnsi="宋体" w:eastAsia="宋体" w:cs="宋体"/>
          <w:color w:val="000000" w:themeColor="text1"/>
          <w:spacing w:val="2"/>
          <w:sz w:val="24"/>
          <w:szCs w:val="24"/>
          <w14:textFill>
            <w14:solidFill>
              <w14:schemeClr w14:val="tx1"/>
            </w14:solidFill>
          </w14:textFill>
        </w:rPr>
        <w:t>。根据调查与监测结</w:t>
      </w:r>
      <w:r>
        <w:rPr>
          <w:rFonts w:ascii="宋体" w:hAnsi="宋体" w:eastAsia="宋体" w:cs="宋体"/>
          <w:color w:val="000000" w:themeColor="text1"/>
          <w:spacing w:val="-1"/>
          <w:sz w:val="24"/>
          <w:szCs w:val="24"/>
          <w14:textFill>
            <w14:solidFill>
              <w14:schemeClr w14:val="tx1"/>
            </w14:solidFill>
          </w14:textFill>
        </w:rPr>
        <w:t>果，编制了该项目竣工环境保护验收监测报告。</w:t>
      </w:r>
    </w:p>
    <w:p>
      <w:pPr>
        <w:pStyle w:val="2"/>
        <w:bidi w:val="0"/>
        <w:rPr>
          <w:rFonts w:hint="eastAsia"/>
          <w:lang w:val="en-US" w:eastAsia="zh-CN"/>
        </w:rPr>
      </w:pPr>
      <w:bookmarkStart w:id="8" w:name="_Toc20374"/>
      <w:r>
        <w:rPr>
          <w:rFonts w:hint="eastAsia"/>
          <w:lang w:val="en-US" w:eastAsia="zh-CN"/>
        </w:rPr>
        <w:t>1.5  验收目的、验收方法</w:t>
      </w:r>
      <w:bookmarkEnd w:id="8"/>
    </w:p>
    <w:p>
      <w:pPr>
        <w:rPr>
          <w:rFonts w:hint="default"/>
          <w:b/>
          <w:bCs/>
          <w:lang w:val="en-US" w:eastAsia="zh-CN"/>
        </w:rPr>
      </w:pPr>
      <w:r>
        <w:rPr>
          <w:rFonts w:hint="default"/>
          <w:b/>
          <w:bCs/>
          <w:lang w:val="en-US" w:eastAsia="zh-CN"/>
        </w:rPr>
        <w:t>1.</w:t>
      </w:r>
      <w:r>
        <w:rPr>
          <w:rFonts w:hint="eastAsia"/>
          <w:b/>
          <w:bCs/>
          <w:lang w:val="en-US" w:eastAsia="zh-CN"/>
        </w:rPr>
        <w:t>5</w:t>
      </w:r>
      <w:r>
        <w:rPr>
          <w:rFonts w:hint="default"/>
          <w:b/>
          <w:bCs/>
          <w:lang w:val="en-US" w:eastAsia="zh-CN"/>
        </w:rPr>
        <w:t>.1 验收目的</w:t>
      </w:r>
    </w:p>
    <w:p>
      <w:pPr>
        <w:ind w:left="0" w:leftChars="0" w:firstLine="480" w:firstLineChars="200"/>
        <w:rPr>
          <w:rFonts w:hint="default"/>
          <w:lang w:val="en-US" w:eastAsia="zh-CN"/>
        </w:rPr>
      </w:pPr>
      <w:r>
        <w:rPr>
          <w:rFonts w:hint="default"/>
          <w:lang w:val="en-US" w:eastAsia="zh-CN"/>
        </w:rPr>
        <w:t>根据垃圾填埋场环境影响特点结合项目所在地的环境特点，确定本次竣工环境保护验收调查工作的目的：</w:t>
      </w:r>
    </w:p>
    <w:p>
      <w:pPr>
        <w:rPr>
          <w:rFonts w:hint="default"/>
          <w:lang w:val="en-US" w:eastAsia="zh-CN"/>
        </w:rPr>
      </w:pPr>
      <w:r>
        <w:rPr>
          <w:rFonts w:hint="default"/>
          <w:lang w:val="en-US" w:eastAsia="zh-CN"/>
        </w:rPr>
        <w:t>（1）调查工程建设项目实际的环境影响，比较目前竣工项目与环评结论的相符性；</w:t>
      </w:r>
    </w:p>
    <w:p>
      <w:pPr>
        <w:rPr>
          <w:rFonts w:hint="default"/>
          <w:lang w:val="en-US" w:eastAsia="zh-CN"/>
        </w:rPr>
      </w:pPr>
      <w:r>
        <w:rPr>
          <w:rFonts w:hint="default"/>
          <w:lang w:val="en-US" w:eastAsia="zh-CN"/>
        </w:rPr>
        <w:t>（2）调查工程在设计、施工、运行、管理等方面落实环境影响报告书所提环保措施的执行情况与存在的问题，对项目环境保护设施的建设、管理、运行及其环境治理效果给出科学客观的评估并分析其有效性，对不完善的措施提出改进意见；对工程其他实际环境问题及潜在的环境影响，提出环境保护补救措施。对工程环境保护执行情况进行充分调查和整改完善的基础上，从技术角度上论证项目是否符合竣工环境保护验收条件。</w:t>
      </w:r>
    </w:p>
    <w:p>
      <w:pPr>
        <w:rPr>
          <w:rFonts w:hint="default"/>
          <w:b/>
          <w:bCs/>
          <w:lang w:val="en-US" w:eastAsia="zh-CN"/>
        </w:rPr>
      </w:pPr>
      <w:r>
        <w:rPr>
          <w:rFonts w:hint="default"/>
          <w:b/>
          <w:bCs/>
          <w:lang w:val="en-US" w:eastAsia="zh-CN"/>
        </w:rPr>
        <w:t>1.</w:t>
      </w:r>
      <w:r>
        <w:rPr>
          <w:rFonts w:hint="eastAsia"/>
          <w:b/>
          <w:bCs/>
          <w:lang w:val="en-US" w:eastAsia="zh-CN"/>
        </w:rPr>
        <w:t>5</w:t>
      </w:r>
      <w:r>
        <w:rPr>
          <w:rFonts w:hint="default"/>
          <w:b/>
          <w:bCs/>
          <w:lang w:val="en-US" w:eastAsia="zh-CN"/>
        </w:rPr>
        <w:t>.2 验收方法</w:t>
      </w:r>
    </w:p>
    <w:p>
      <w:pPr>
        <w:rPr>
          <w:rFonts w:hint="default"/>
          <w:lang w:val="en-US" w:eastAsia="zh-CN"/>
        </w:rPr>
      </w:pPr>
      <w:r>
        <w:rPr>
          <w:rFonts w:hint="default"/>
          <w:lang w:val="en-US" w:eastAsia="zh-CN"/>
        </w:rPr>
        <w:t>（1）成立验收工作组、工作方法</w:t>
      </w:r>
    </w:p>
    <w:p>
      <w:pPr>
        <w:rPr>
          <w:rFonts w:hint="default"/>
          <w:lang w:val="en-US" w:eastAsia="zh-CN"/>
        </w:rPr>
      </w:pPr>
      <w:r>
        <w:rPr>
          <w:rFonts w:hint="default"/>
          <w:lang w:val="en-US" w:eastAsia="zh-CN"/>
        </w:rPr>
        <w:t>建设单位组织成立的验收工作组包括项目的环保设施设计单位、环保设施施工单位、环境监理单位、环境影响报告书编制单位、验收监测报告编制单位等技术支持单位和环境保护验收、行业、监测、质控等领域的技术专家。验收工作组在现场核查、查阅资料、审查验收检测报告的基础上，进一步核查验收监测报告的真实性与准确性，进一步了解项目的特点，并开展后续的工作。</w:t>
      </w:r>
    </w:p>
    <w:p>
      <w:pPr>
        <w:rPr>
          <w:rFonts w:hint="default"/>
          <w:lang w:val="en-US" w:eastAsia="zh-CN"/>
        </w:rPr>
      </w:pPr>
      <w:r>
        <w:rPr>
          <w:rFonts w:hint="default"/>
          <w:lang w:val="en-US" w:eastAsia="zh-CN"/>
        </w:rPr>
        <w:t>（2）形成验收意见、建立档案</w:t>
      </w:r>
    </w:p>
    <w:p>
      <w:pPr>
        <w:rPr>
          <w:rFonts w:hint="default"/>
          <w:lang w:val="en-US" w:eastAsia="zh-CN"/>
        </w:rPr>
      </w:pPr>
      <w:r>
        <w:rPr>
          <w:rFonts w:hint="default"/>
          <w:lang w:val="en-US" w:eastAsia="zh-CN"/>
        </w:rPr>
        <w:t>验收工作组严格依照国家有关法律法规、验收技术规范、建设项目环境影响报告书及其批复的要求对建设项目配套建设的环境保护设施进行验收，形成科学合理的验收意见。验收意见应当包括环境保护设施落实情况、项目存在的主要问题及整改和验收结论。</w:t>
      </w:r>
    </w:p>
    <w:p>
      <w:pPr>
        <w:rPr>
          <w:rFonts w:hint="default"/>
          <w:lang w:val="en-US" w:eastAsia="zh-CN"/>
        </w:rPr>
      </w:pPr>
      <w:r>
        <w:rPr>
          <w:rFonts w:hint="default"/>
          <w:lang w:val="en-US" w:eastAsia="zh-CN"/>
        </w:rPr>
        <w:t>建设项目竣工环境保护验收档案包括环境影响报告书及其审批部门审批决定、环保设计方案、施工合同（环保部分）、环境监测报告或施工监理报告（环保部分）、工程竣工资料（环保部分）、验收报告（含验收监测报告（表）、验收意见和其他需要说明的事项）、信息公开记录证明（需要保密的除外）。</w:t>
      </w:r>
    </w:p>
    <w:p>
      <w:pPr>
        <w:pStyle w:val="2"/>
        <w:bidi w:val="0"/>
        <w:rPr>
          <w:rFonts w:hint="default"/>
          <w:lang w:val="en-US" w:eastAsia="zh-CN"/>
        </w:rPr>
      </w:pPr>
      <w:bookmarkStart w:id="9" w:name="_Toc4251"/>
      <w:r>
        <w:rPr>
          <w:rFonts w:hint="default"/>
          <w:lang w:val="en-US" w:eastAsia="zh-CN"/>
        </w:rPr>
        <w:t>1.</w:t>
      </w:r>
      <w:r>
        <w:rPr>
          <w:rFonts w:hint="eastAsia"/>
          <w:lang w:val="en-US" w:eastAsia="zh-CN"/>
        </w:rPr>
        <w:t>6</w:t>
      </w:r>
      <w:r>
        <w:rPr>
          <w:rFonts w:hint="default"/>
          <w:lang w:val="en-US" w:eastAsia="zh-CN"/>
        </w:rPr>
        <w:t xml:space="preserve"> 验收调查程序</w:t>
      </w:r>
      <w:bookmarkEnd w:id="9"/>
    </w:p>
    <w:p>
      <w:pPr>
        <w:rPr>
          <w:rFonts w:hint="default"/>
          <w:lang w:val="en-US" w:eastAsia="zh-CN"/>
        </w:rPr>
      </w:pPr>
      <w:r>
        <w:rPr>
          <w:rFonts w:hint="default"/>
          <w:b/>
          <w:bCs/>
          <w:lang w:val="en-US" w:eastAsia="zh-CN"/>
        </w:rPr>
        <w:t>1.</w:t>
      </w:r>
      <w:r>
        <w:rPr>
          <w:rFonts w:hint="eastAsia"/>
          <w:b/>
          <w:bCs/>
          <w:lang w:val="en-US" w:eastAsia="zh-CN"/>
        </w:rPr>
        <w:t>6</w:t>
      </w:r>
      <w:r>
        <w:rPr>
          <w:rFonts w:hint="default"/>
          <w:b/>
          <w:bCs/>
          <w:lang w:val="en-US" w:eastAsia="zh-CN"/>
        </w:rPr>
        <w:t xml:space="preserve">.1 </w:t>
      </w:r>
      <w:r>
        <w:rPr>
          <w:rFonts w:hint="eastAsia"/>
          <w:b/>
          <w:bCs/>
          <w:lang w:val="en-US" w:eastAsia="zh-CN"/>
        </w:rPr>
        <w:t xml:space="preserve"> </w:t>
      </w:r>
      <w:r>
        <w:rPr>
          <w:rFonts w:hint="default"/>
          <w:b/>
          <w:bCs/>
          <w:lang w:val="en-US" w:eastAsia="zh-CN"/>
        </w:rPr>
        <w:t>验收核查阶段</w:t>
      </w:r>
    </w:p>
    <w:p>
      <w:pPr>
        <w:rPr>
          <w:rFonts w:hint="default"/>
          <w:lang w:val="en-US" w:eastAsia="zh-CN"/>
        </w:rPr>
      </w:pPr>
      <w:r>
        <w:rPr>
          <w:rFonts w:hint="default"/>
          <w:lang w:val="en-US" w:eastAsia="zh-CN"/>
        </w:rPr>
        <w:t>（1）环保手续履行情况</w:t>
      </w:r>
    </w:p>
    <w:p>
      <w:pPr>
        <w:rPr>
          <w:rFonts w:hint="default"/>
          <w:lang w:val="en-US" w:eastAsia="zh-CN"/>
        </w:rPr>
      </w:pPr>
      <w:r>
        <w:rPr>
          <w:rFonts w:hint="default"/>
          <w:lang w:val="en-US" w:eastAsia="zh-CN"/>
        </w:rPr>
        <w:t>环境影响报告书及批复、初步设计、国家与地方生态环境管理部门对项目的督查、整改要求的落实情况。</w:t>
      </w:r>
    </w:p>
    <w:p>
      <w:pPr>
        <w:rPr>
          <w:rFonts w:hint="default"/>
          <w:lang w:val="en-US" w:eastAsia="zh-CN"/>
        </w:rPr>
      </w:pPr>
      <w:r>
        <w:rPr>
          <w:rFonts w:hint="default"/>
          <w:lang w:val="en-US" w:eastAsia="zh-CN"/>
        </w:rPr>
        <w:t>（2）项目建成变更情况</w:t>
      </w:r>
    </w:p>
    <w:p>
      <w:pPr>
        <w:rPr>
          <w:rFonts w:hint="default"/>
          <w:lang w:val="en-US" w:eastAsia="zh-CN"/>
        </w:rPr>
      </w:pPr>
      <w:r>
        <w:rPr>
          <w:rFonts w:hint="default"/>
          <w:lang w:val="en-US" w:eastAsia="zh-CN"/>
        </w:rPr>
        <w:t>对照环境影响报告书及批复，核查项目建设性质、规模、地点、工艺，项目主体工程、公用工程、环保工程内容及规模等实际建成与变更情况。</w:t>
      </w:r>
    </w:p>
    <w:p>
      <w:pPr>
        <w:rPr>
          <w:rFonts w:hint="default"/>
          <w:lang w:val="en-US" w:eastAsia="zh-CN"/>
        </w:rPr>
      </w:pPr>
      <w:r>
        <w:rPr>
          <w:rFonts w:hint="default"/>
          <w:lang w:val="en-US" w:eastAsia="zh-CN"/>
        </w:rPr>
        <w:t>（3）环境保护设施建设情况</w:t>
      </w:r>
    </w:p>
    <w:p>
      <w:pPr>
        <w:rPr>
          <w:rFonts w:hint="default"/>
          <w:lang w:val="en-US" w:eastAsia="zh-CN"/>
        </w:rPr>
      </w:pPr>
      <w:r>
        <w:rPr>
          <w:rFonts w:hint="default"/>
          <w:lang w:val="en-US" w:eastAsia="zh-CN"/>
        </w:rPr>
        <w:t>逐项核查环境影响报告书及其审批部门审批决定中的污染物治理/处置设施建成情况，对未落实环境影响报告书及批复要求的环境保护措施的，应及时提出整改。</w:t>
      </w:r>
    </w:p>
    <w:p>
      <w:pPr>
        <w:rPr>
          <w:rFonts w:hint="default"/>
          <w:b/>
          <w:bCs/>
          <w:lang w:val="en-US" w:eastAsia="zh-CN"/>
        </w:rPr>
      </w:pPr>
      <w:r>
        <w:rPr>
          <w:rFonts w:hint="default"/>
          <w:b/>
          <w:bCs/>
          <w:lang w:val="en-US" w:eastAsia="zh-CN"/>
        </w:rPr>
        <w:t>1.</w:t>
      </w:r>
      <w:r>
        <w:rPr>
          <w:rFonts w:hint="eastAsia"/>
          <w:b/>
          <w:bCs/>
          <w:lang w:val="en-US" w:eastAsia="zh-CN"/>
        </w:rPr>
        <w:t>6</w:t>
      </w:r>
      <w:r>
        <w:rPr>
          <w:rFonts w:hint="default"/>
          <w:b/>
          <w:bCs/>
          <w:lang w:val="en-US" w:eastAsia="zh-CN"/>
        </w:rPr>
        <w:t>.2</w:t>
      </w:r>
      <w:r>
        <w:rPr>
          <w:rFonts w:hint="eastAsia"/>
          <w:b/>
          <w:bCs/>
          <w:lang w:val="en-US" w:eastAsia="zh-CN"/>
        </w:rPr>
        <w:t xml:space="preserve"> </w:t>
      </w:r>
      <w:r>
        <w:rPr>
          <w:rFonts w:hint="default"/>
          <w:b/>
          <w:bCs/>
          <w:lang w:val="en-US" w:eastAsia="zh-CN"/>
        </w:rPr>
        <w:t xml:space="preserve"> 编制验收监测方案</w:t>
      </w:r>
    </w:p>
    <w:p>
      <w:pPr>
        <w:rPr>
          <w:rFonts w:hint="default"/>
          <w:lang w:val="en-US" w:eastAsia="zh-CN"/>
        </w:rPr>
      </w:pPr>
      <w:r>
        <w:rPr>
          <w:rFonts w:hint="default"/>
          <w:lang w:val="en-US" w:eastAsia="zh-CN"/>
        </w:rPr>
        <w:t>对验收项目进行明确，验收监测方案内容应包括：验收监测项目和频次、现</w:t>
      </w:r>
    </w:p>
    <w:p>
      <w:pPr>
        <w:rPr>
          <w:rFonts w:hint="default"/>
          <w:lang w:val="en-US" w:eastAsia="zh-CN"/>
        </w:rPr>
      </w:pPr>
      <w:r>
        <w:rPr>
          <w:rFonts w:hint="default"/>
          <w:lang w:val="en-US" w:eastAsia="zh-CN"/>
        </w:rPr>
        <w:t>场监测注意事项、质量保证和质量控制措施。</w:t>
      </w:r>
    </w:p>
    <w:p>
      <w:pPr>
        <w:rPr>
          <w:rFonts w:hint="default"/>
          <w:b/>
          <w:bCs/>
          <w:lang w:val="en-US" w:eastAsia="zh-CN"/>
        </w:rPr>
      </w:pPr>
      <w:r>
        <w:rPr>
          <w:rFonts w:hint="default"/>
          <w:b/>
          <w:bCs/>
          <w:lang w:val="en-US" w:eastAsia="zh-CN"/>
        </w:rPr>
        <w:t>1.</w:t>
      </w:r>
      <w:r>
        <w:rPr>
          <w:rFonts w:hint="eastAsia"/>
          <w:b/>
          <w:bCs/>
          <w:lang w:val="en-US" w:eastAsia="zh-CN"/>
        </w:rPr>
        <w:t>6</w:t>
      </w:r>
      <w:r>
        <w:rPr>
          <w:rFonts w:hint="default"/>
          <w:b/>
          <w:bCs/>
          <w:lang w:val="en-US" w:eastAsia="zh-CN"/>
        </w:rPr>
        <w:t xml:space="preserve">.3 </w:t>
      </w:r>
      <w:r>
        <w:rPr>
          <w:rFonts w:hint="eastAsia"/>
          <w:b/>
          <w:bCs/>
          <w:lang w:val="en-US" w:eastAsia="zh-CN"/>
        </w:rPr>
        <w:t xml:space="preserve"> </w:t>
      </w:r>
      <w:r>
        <w:rPr>
          <w:rFonts w:hint="default"/>
          <w:b/>
          <w:bCs/>
          <w:lang w:val="en-US" w:eastAsia="zh-CN"/>
        </w:rPr>
        <w:t>实施监测与检查、编制验收监测报告</w:t>
      </w:r>
    </w:p>
    <w:p>
      <w:pPr>
        <w:rPr>
          <w:rFonts w:hint="default"/>
          <w:lang w:val="en-US" w:eastAsia="zh-CN"/>
        </w:rPr>
      </w:pPr>
      <w:r>
        <w:rPr>
          <w:rFonts w:hint="default"/>
          <w:lang w:val="en-US" w:eastAsia="zh-CN"/>
        </w:rPr>
        <w:t>编制验收监测报告是在实施验收监测与检查后，对监测数据和检查结果进行分析、评价得出结论。结论应明确环境保护设施调试、运行效果，包括污染物排放达标情况、环境保护设施处理效率达到设计指标情况、主要污染物排放总量核算结果与总量指标符合情况，建设项目对周边环境质量的影响情况，其他环保设施落实情况等。验收工作程序见图 1-1。</w:t>
      </w:r>
    </w:p>
    <w:p>
      <w:pPr>
        <w:spacing w:line="220" w:lineRule="auto"/>
        <w:rPr>
          <w:rFonts w:ascii="宋体" w:hAnsi="宋体" w:eastAsia="宋体" w:cs="宋体"/>
          <w:sz w:val="24"/>
          <w:szCs w:val="24"/>
        </w:rPr>
      </w:pPr>
    </w:p>
    <w:p>
      <w:pPr>
        <w:spacing w:line="220" w:lineRule="auto"/>
        <w:ind w:left="0" w:leftChars="-100" w:hanging="240" w:hangingChars="100"/>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858510" cy="7733030"/>
            <wp:effectExtent l="0" t="0" r="8890" b="1270"/>
            <wp:docPr id="128" name="图片 128" descr="ee1410a53e2fb7be1f32c913ef9e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ee1410a53e2fb7be1f32c913ef9e921"/>
                    <pic:cNvPicPr>
                      <a:picLocks noChangeAspect="1"/>
                    </pic:cNvPicPr>
                  </pic:nvPicPr>
                  <pic:blipFill>
                    <a:blip r:embed="rId21"/>
                    <a:srcRect l="2912" t="1128" r="1519"/>
                    <a:stretch>
                      <a:fillRect/>
                    </a:stretch>
                  </pic:blipFill>
                  <pic:spPr>
                    <a:xfrm>
                      <a:off x="0" y="0"/>
                      <a:ext cx="5858510" cy="7733030"/>
                    </a:xfrm>
                    <a:prstGeom prst="rect">
                      <a:avLst/>
                    </a:prstGeom>
                  </pic:spPr>
                </pic:pic>
              </a:graphicData>
            </a:graphic>
          </wp:inline>
        </w:drawing>
      </w:r>
    </w:p>
    <w:p>
      <w:pPr>
        <w:spacing w:line="220" w:lineRule="auto"/>
        <w:ind w:left="0" w:leftChars="-100" w:hanging="240" w:hangingChars="100"/>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809615" cy="5963285"/>
            <wp:effectExtent l="0" t="0" r="635" b="18415"/>
            <wp:docPr id="129" name="图片 129" descr="d774573464ca42ddc74f1c2ffcc07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d774573464ca42ddc74f1c2ffcc07bc"/>
                    <pic:cNvPicPr>
                      <a:picLocks noChangeAspect="1"/>
                    </pic:cNvPicPr>
                  </pic:nvPicPr>
                  <pic:blipFill>
                    <a:blip r:embed="rId22"/>
                    <a:srcRect l="2570" t="1356" r="262" b="17408"/>
                    <a:stretch>
                      <a:fillRect/>
                    </a:stretch>
                  </pic:blipFill>
                  <pic:spPr>
                    <a:xfrm>
                      <a:off x="0" y="0"/>
                      <a:ext cx="5809615" cy="5963285"/>
                    </a:xfrm>
                    <a:prstGeom prst="rect">
                      <a:avLst/>
                    </a:prstGeom>
                  </pic:spPr>
                </pic:pic>
              </a:graphicData>
            </a:graphic>
          </wp:inline>
        </w:drawing>
      </w:r>
    </w:p>
    <w:p>
      <w:pPr>
        <w:spacing w:line="220" w:lineRule="auto"/>
        <w:rPr>
          <w:rFonts w:ascii="宋体" w:hAnsi="宋体" w:eastAsia="宋体" w:cs="宋体"/>
          <w:sz w:val="24"/>
          <w:szCs w:val="24"/>
        </w:rPr>
      </w:pPr>
    </w:p>
    <w:p>
      <w:pPr>
        <w:spacing w:line="220" w:lineRule="auto"/>
        <w:rPr>
          <w:rFonts w:ascii="宋体" w:hAnsi="宋体" w:eastAsia="宋体" w:cs="宋体"/>
          <w:sz w:val="24"/>
          <w:szCs w:val="24"/>
        </w:rPr>
      </w:pPr>
    </w:p>
    <w:p>
      <w:pPr>
        <w:spacing w:line="220" w:lineRule="auto"/>
        <w:ind w:left="0" w:leftChars="0" w:firstLine="0" w:firstLineChars="0"/>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图1-1   验收工作程序框</w:t>
      </w: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spacing w:line="220" w:lineRule="auto"/>
        <w:ind w:left="0" w:leftChars="0" w:firstLine="0" w:firstLineChars="0"/>
        <w:jc w:val="center"/>
        <w:rPr>
          <w:rFonts w:hint="eastAsia" w:ascii="宋体" w:hAnsi="宋体" w:cs="宋体"/>
          <w:b/>
          <w:bCs/>
          <w:sz w:val="24"/>
          <w:szCs w:val="24"/>
          <w:lang w:val="en-US" w:eastAsia="zh-CN"/>
        </w:rPr>
      </w:pPr>
    </w:p>
    <w:p>
      <w:pPr>
        <w:pStyle w:val="2"/>
        <w:bidi w:val="0"/>
        <w:rPr>
          <w:rFonts w:hint="eastAsia"/>
          <w:lang w:val="en-US" w:eastAsia="zh-CN"/>
        </w:rPr>
      </w:pPr>
      <w:bookmarkStart w:id="10" w:name="_Toc31630"/>
      <w:r>
        <w:rPr>
          <w:rFonts w:hint="eastAsia"/>
          <w:lang w:val="en-US" w:eastAsia="zh-CN"/>
        </w:rPr>
        <w:t>1.7  验收调查时段及验收调查范围</w:t>
      </w:r>
      <w:bookmarkEnd w:id="10"/>
    </w:p>
    <w:p>
      <w:pPr>
        <w:bidi w:val="0"/>
        <w:rPr>
          <w:rFonts w:hint="eastAsia"/>
          <w:b/>
          <w:bCs/>
          <w:lang w:val="en-US" w:eastAsia="zh-CN"/>
        </w:rPr>
      </w:pPr>
      <w:r>
        <w:rPr>
          <w:rFonts w:hint="eastAsia"/>
          <w:b/>
          <w:bCs/>
          <w:lang w:val="en-US" w:eastAsia="zh-CN"/>
        </w:rPr>
        <w:t>1.7.1 调查时段</w:t>
      </w:r>
    </w:p>
    <w:p>
      <w:pPr>
        <w:bidi w:val="0"/>
        <w:rPr>
          <w:rFonts w:hint="eastAsia"/>
          <w:lang w:val="en-US" w:eastAsia="zh-CN"/>
        </w:rPr>
      </w:pPr>
      <w:r>
        <w:rPr>
          <w:rFonts w:hint="eastAsia"/>
          <w:lang w:val="en-US" w:eastAsia="zh-CN"/>
        </w:rPr>
        <w:t>本次竣工环境保护验收调查时段包括施工期、运行期。</w:t>
      </w:r>
    </w:p>
    <w:p>
      <w:pPr>
        <w:bidi w:val="0"/>
        <w:rPr>
          <w:rFonts w:hint="eastAsia"/>
          <w:lang w:val="en-US" w:eastAsia="zh-CN"/>
        </w:rPr>
      </w:pPr>
      <w:r>
        <w:rPr>
          <w:rFonts w:hint="eastAsia"/>
          <w:b/>
          <w:bCs/>
          <w:lang w:val="en-US" w:eastAsia="zh-CN"/>
        </w:rPr>
        <w:t>1.7.2 调查范围</w:t>
      </w:r>
    </w:p>
    <w:p>
      <w:pPr>
        <w:bidi w:val="0"/>
        <w:rPr>
          <w:rFonts w:hint="eastAsia"/>
          <w:lang w:val="en-US" w:eastAsia="zh-CN"/>
        </w:rPr>
      </w:pPr>
      <w:r>
        <w:rPr>
          <w:rFonts w:hint="eastAsia"/>
          <w:lang w:val="en-US" w:eastAsia="zh-CN"/>
        </w:rPr>
        <w:t>根据项目所在地周边环境特征，确定本次验收调查范围详见下表。</w:t>
      </w:r>
    </w:p>
    <w:p>
      <w:pPr>
        <w:bidi w:val="0"/>
        <w:ind w:left="0" w:leftChars="0" w:firstLine="0" w:firstLineChars="0"/>
        <w:jc w:val="center"/>
        <w:rPr>
          <w:rFonts w:hint="eastAsia"/>
          <w:b/>
          <w:bCs/>
          <w:lang w:val="en-US" w:eastAsia="zh-CN"/>
        </w:rPr>
      </w:pPr>
      <w:r>
        <w:rPr>
          <w:rFonts w:hint="eastAsia"/>
          <w:b/>
          <w:bCs/>
          <w:lang w:val="en-US" w:eastAsia="zh-CN"/>
        </w:rPr>
        <w:t>表1-1   验收阶段调查范围一览表</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7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12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b/>
                <w:bCs/>
                <w:sz w:val="21"/>
                <w:szCs w:val="21"/>
                <w:vertAlign w:val="baseline"/>
                <w:lang w:val="en-US" w:eastAsia="zh-CN"/>
              </w:rPr>
            </w:pPr>
            <w:r>
              <w:rPr>
                <w:rFonts w:hint="eastAsia"/>
                <w:b/>
                <w:bCs/>
                <w:sz w:val="21"/>
                <w:szCs w:val="21"/>
                <w:vertAlign w:val="baseline"/>
                <w:lang w:val="en-US" w:eastAsia="zh-CN"/>
              </w:rPr>
              <w:t>环境要素</w:t>
            </w:r>
          </w:p>
        </w:tc>
        <w:tc>
          <w:tcPr>
            <w:tcW w:w="7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b/>
                <w:bCs/>
                <w:sz w:val="21"/>
                <w:szCs w:val="21"/>
                <w:vertAlign w:val="baseline"/>
                <w:lang w:val="en-US" w:eastAsia="zh-CN"/>
              </w:rPr>
            </w:pPr>
            <w:r>
              <w:rPr>
                <w:rFonts w:hint="eastAsia"/>
                <w:b/>
                <w:bCs/>
                <w:sz w:val="21"/>
                <w:szCs w:val="21"/>
                <w:vertAlign w:val="baseline"/>
                <w:lang w:val="en-US" w:eastAsia="zh-CN"/>
              </w:rPr>
              <w:t>验收阶段调查范围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2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b w:val="0"/>
                <w:bCs w:val="0"/>
                <w:sz w:val="21"/>
                <w:szCs w:val="21"/>
                <w:vertAlign w:val="baseline"/>
                <w:lang w:val="en-US" w:eastAsia="zh-CN"/>
              </w:rPr>
            </w:pPr>
            <w:r>
              <w:rPr>
                <w:rFonts w:hint="eastAsia"/>
                <w:b w:val="0"/>
                <w:bCs w:val="0"/>
                <w:sz w:val="21"/>
                <w:szCs w:val="21"/>
                <w:vertAlign w:val="baseline"/>
                <w:lang w:val="en-US" w:eastAsia="zh-CN"/>
              </w:rPr>
              <w:t>环境空气</w:t>
            </w:r>
          </w:p>
        </w:tc>
        <w:tc>
          <w:tcPr>
            <w:tcW w:w="7159" w:type="dxa"/>
            <w:vAlign w:val="center"/>
          </w:tcPr>
          <w:p>
            <w:pPr>
              <w:keepNext w:val="0"/>
              <w:keepLines w:val="0"/>
              <w:widowControl/>
              <w:suppressLineNumbers w:val="0"/>
              <w:ind w:left="0" w:leftChars="0" w:firstLine="0" w:firstLineChars="0"/>
              <w:jc w:val="left"/>
              <w:rPr>
                <w:rFonts w:hint="default"/>
                <w:b w:val="0"/>
                <w:bCs w:val="0"/>
                <w:sz w:val="21"/>
                <w:szCs w:val="21"/>
                <w:vertAlign w:val="baseline"/>
                <w:lang w:val="en-US" w:eastAsia="zh-CN"/>
              </w:rPr>
            </w:pPr>
            <w:r>
              <w:rPr>
                <w:rFonts w:hint="eastAsia" w:ascii="宋体" w:hAnsi="宋体" w:eastAsia="宋体" w:cs="宋体"/>
                <w:snapToGrid w:val="0"/>
                <w:color w:val="000000"/>
                <w:kern w:val="0"/>
                <w:sz w:val="21"/>
                <w:szCs w:val="21"/>
                <w:lang w:val="en-US" w:eastAsia="zh-CN" w:bidi="ar"/>
              </w:rPr>
              <w:t>根据工程实际建设情况，调查</w:t>
            </w:r>
            <w:r>
              <w:rPr>
                <w:rFonts w:hint="eastAsia" w:ascii="宋体" w:hAnsi="宋体" w:cs="宋体"/>
                <w:snapToGrid w:val="0"/>
                <w:color w:val="000000"/>
                <w:kern w:val="0"/>
                <w:sz w:val="21"/>
                <w:szCs w:val="21"/>
                <w:lang w:val="en-US" w:eastAsia="zh-CN" w:bidi="ar"/>
              </w:rPr>
              <w:t>同德县河北乡</w:t>
            </w:r>
            <w:r>
              <w:rPr>
                <w:rFonts w:hint="eastAsia" w:ascii="宋体" w:hAnsi="宋体" w:eastAsia="宋体" w:cs="宋体"/>
                <w:snapToGrid w:val="0"/>
                <w:color w:val="000000"/>
                <w:kern w:val="0"/>
                <w:sz w:val="21"/>
                <w:szCs w:val="21"/>
                <w:lang w:val="en-US" w:eastAsia="zh-CN" w:bidi="ar"/>
              </w:rPr>
              <w:t>生活垃圾</w:t>
            </w:r>
            <w:r>
              <w:rPr>
                <w:rFonts w:hint="eastAsia" w:ascii="宋体" w:hAnsi="宋体" w:cs="宋体"/>
                <w:snapToGrid w:val="0"/>
                <w:color w:val="000000"/>
                <w:kern w:val="0"/>
                <w:sz w:val="21"/>
                <w:szCs w:val="21"/>
                <w:lang w:val="en-US" w:eastAsia="zh-CN" w:bidi="ar"/>
              </w:rPr>
              <w:t>处理</w:t>
            </w:r>
            <w:r>
              <w:rPr>
                <w:rFonts w:hint="eastAsia" w:ascii="宋体" w:hAnsi="宋体" w:eastAsia="宋体" w:cs="宋体"/>
                <w:snapToGrid w:val="0"/>
                <w:color w:val="000000"/>
                <w:kern w:val="0"/>
                <w:sz w:val="21"/>
                <w:szCs w:val="21"/>
                <w:lang w:val="en-US" w:eastAsia="zh-CN" w:bidi="ar"/>
              </w:rPr>
              <w:t>场厂界四周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12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b w:val="0"/>
                <w:bCs w:val="0"/>
                <w:sz w:val="21"/>
                <w:szCs w:val="21"/>
                <w:vertAlign w:val="baseline"/>
                <w:lang w:val="en-US" w:eastAsia="zh-CN"/>
              </w:rPr>
            </w:pPr>
            <w:r>
              <w:rPr>
                <w:rFonts w:hint="eastAsia"/>
                <w:b w:val="0"/>
                <w:bCs w:val="0"/>
                <w:sz w:val="21"/>
                <w:szCs w:val="21"/>
                <w:vertAlign w:val="baseline"/>
                <w:lang w:val="en-US" w:eastAsia="zh-CN"/>
              </w:rPr>
              <w:t>声环境</w:t>
            </w:r>
          </w:p>
        </w:tc>
        <w:tc>
          <w:tcPr>
            <w:tcW w:w="7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b w:val="0"/>
                <w:bCs w:val="0"/>
                <w:sz w:val="21"/>
                <w:szCs w:val="21"/>
                <w:vertAlign w:val="baseline"/>
                <w:lang w:val="en-US" w:eastAsia="zh-CN"/>
              </w:rPr>
            </w:pPr>
            <w:r>
              <w:rPr>
                <w:rFonts w:hint="default"/>
                <w:b w:val="0"/>
                <w:bCs w:val="0"/>
                <w:sz w:val="21"/>
                <w:szCs w:val="21"/>
                <w:vertAlign w:val="baseline"/>
                <w:lang w:val="en-US" w:eastAsia="zh-CN"/>
              </w:rPr>
              <w:t>根据工程实际建设情况，调查</w:t>
            </w:r>
            <w:r>
              <w:rPr>
                <w:rFonts w:hint="eastAsia" w:ascii="宋体" w:hAnsi="宋体" w:cs="宋体"/>
                <w:snapToGrid w:val="0"/>
                <w:color w:val="000000"/>
                <w:kern w:val="0"/>
                <w:sz w:val="21"/>
                <w:szCs w:val="21"/>
                <w:lang w:val="en-US" w:eastAsia="zh-CN" w:bidi="ar"/>
              </w:rPr>
              <w:t>同德县河北乡</w:t>
            </w:r>
            <w:r>
              <w:rPr>
                <w:rFonts w:hint="default"/>
                <w:b w:val="0"/>
                <w:bCs w:val="0"/>
                <w:sz w:val="21"/>
                <w:szCs w:val="21"/>
                <w:vertAlign w:val="baseline"/>
                <w:lang w:val="en-US" w:eastAsia="zh-CN"/>
              </w:rPr>
              <w:t>生活垃圾</w:t>
            </w:r>
            <w:r>
              <w:rPr>
                <w:rFonts w:hint="eastAsia"/>
                <w:b w:val="0"/>
                <w:bCs w:val="0"/>
                <w:sz w:val="21"/>
                <w:szCs w:val="21"/>
                <w:vertAlign w:val="baseline"/>
                <w:lang w:val="en-US" w:eastAsia="zh-CN"/>
              </w:rPr>
              <w:t>处理</w:t>
            </w:r>
            <w:r>
              <w:rPr>
                <w:rFonts w:hint="default"/>
                <w:b w:val="0"/>
                <w:bCs w:val="0"/>
                <w:sz w:val="21"/>
                <w:szCs w:val="21"/>
                <w:vertAlign w:val="baseline"/>
                <w:lang w:val="en-US" w:eastAsia="zh-CN"/>
              </w:rPr>
              <w:t>场厂界四周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b w:val="0"/>
                <w:bCs w:val="0"/>
                <w:sz w:val="21"/>
                <w:szCs w:val="21"/>
                <w:vertAlign w:val="baseline"/>
                <w:lang w:val="en-US" w:eastAsia="zh-CN"/>
              </w:rPr>
            </w:pPr>
            <w:r>
              <w:rPr>
                <w:rFonts w:hint="eastAsia"/>
                <w:b w:val="0"/>
                <w:bCs w:val="0"/>
                <w:sz w:val="21"/>
                <w:szCs w:val="21"/>
                <w:vertAlign w:val="baseline"/>
                <w:lang w:val="en-US" w:eastAsia="zh-CN"/>
              </w:rPr>
              <w:t>水环境</w:t>
            </w:r>
          </w:p>
        </w:tc>
        <w:tc>
          <w:tcPr>
            <w:tcW w:w="71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b w:val="0"/>
                <w:bCs w:val="0"/>
                <w:sz w:val="21"/>
                <w:szCs w:val="21"/>
                <w:vertAlign w:val="baseline"/>
                <w:lang w:val="en-US" w:eastAsia="zh-CN"/>
              </w:rPr>
            </w:pPr>
            <w:r>
              <w:rPr>
                <w:rFonts w:hint="default"/>
                <w:b w:val="0"/>
                <w:bCs w:val="0"/>
                <w:sz w:val="21"/>
                <w:szCs w:val="21"/>
                <w:vertAlign w:val="baseline"/>
                <w:lang w:val="en-US" w:eastAsia="zh-CN"/>
              </w:rPr>
              <w:t>根据工程实际建设情况，调查</w:t>
            </w:r>
            <w:r>
              <w:rPr>
                <w:rFonts w:hint="eastAsia" w:ascii="宋体" w:hAnsi="宋体" w:cs="宋体"/>
                <w:snapToGrid w:val="0"/>
                <w:color w:val="000000"/>
                <w:kern w:val="0"/>
                <w:sz w:val="21"/>
                <w:szCs w:val="21"/>
                <w:lang w:val="en-US" w:eastAsia="zh-CN" w:bidi="ar"/>
              </w:rPr>
              <w:t>同德县河北乡</w:t>
            </w:r>
            <w:r>
              <w:rPr>
                <w:rFonts w:hint="default"/>
                <w:b w:val="0"/>
                <w:bCs w:val="0"/>
                <w:sz w:val="21"/>
                <w:szCs w:val="21"/>
                <w:vertAlign w:val="baseline"/>
                <w:lang w:val="en-US" w:eastAsia="zh-CN"/>
              </w:rPr>
              <w:t>生活垃圾填埋场渗滤液处理系统排水口、上下游设置的地下水监测井</w:t>
            </w:r>
          </w:p>
        </w:tc>
      </w:tr>
    </w:tbl>
    <w:p>
      <w:pPr>
        <w:pStyle w:val="2"/>
        <w:bidi w:val="0"/>
        <w:rPr>
          <w:rFonts w:hint="eastAsia"/>
          <w:lang w:val="en-US" w:eastAsia="zh-CN"/>
        </w:rPr>
      </w:pPr>
      <w:bookmarkStart w:id="11" w:name="_Toc10524"/>
      <w:r>
        <w:rPr>
          <w:rFonts w:hint="eastAsia"/>
          <w:lang w:val="en-US" w:eastAsia="zh-CN"/>
        </w:rPr>
        <w:t>1.8 环境保护目标</w:t>
      </w:r>
      <w:bookmarkEnd w:id="11"/>
    </w:p>
    <w:p>
      <w:pPr>
        <w:bidi w:val="0"/>
        <w:jc w:val="both"/>
        <w:rPr>
          <w:rFonts w:hint="default"/>
          <w:b w:val="0"/>
          <w:bCs w:val="0"/>
          <w:lang w:val="en-US" w:eastAsia="zh-CN"/>
        </w:rPr>
      </w:pPr>
      <w:r>
        <w:rPr>
          <w:rFonts w:hint="eastAsia"/>
          <w:b w:val="0"/>
          <w:bCs w:val="0"/>
          <w:lang w:val="en-US" w:eastAsia="zh-CN"/>
        </w:rPr>
        <w:t>本项目厂界外500范围内无大气环境保护目标、声环境保护目标、地表水环境保护目标、地下水及生态环境保护目标。</w:t>
      </w:r>
    </w:p>
    <w:p>
      <w:pPr>
        <w:pStyle w:val="2"/>
        <w:bidi w:val="0"/>
        <w:rPr>
          <w:rFonts w:hint="default"/>
          <w:lang w:val="en-US" w:eastAsia="zh-CN"/>
        </w:rPr>
      </w:pPr>
      <w:bookmarkStart w:id="12" w:name="_Toc11248"/>
      <w:r>
        <w:rPr>
          <w:rFonts w:hint="eastAsia"/>
          <w:lang w:val="en-US" w:eastAsia="zh-CN"/>
        </w:rPr>
        <w:t>1.9 验收调查重点</w:t>
      </w:r>
      <w:bookmarkEnd w:id="12"/>
    </w:p>
    <w:p>
      <w:pPr>
        <w:bidi w:val="0"/>
        <w:rPr>
          <w:rFonts w:hint="eastAsia"/>
          <w:lang w:val="en-US" w:eastAsia="zh-CN"/>
        </w:rPr>
      </w:pPr>
      <w:r>
        <w:rPr>
          <w:rFonts w:hint="eastAsia"/>
          <w:lang w:val="en-US" w:eastAsia="zh-CN"/>
        </w:rPr>
        <w:t>本次验收调查重点应包括：</w:t>
      </w:r>
    </w:p>
    <w:p>
      <w:pPr>
        <w:bidi w:val="0"/>
        <w:rPr>
          <w:rFonts w:hint="eastAsia"/>
          <w:lang w:val="en-US" w:eastAsia="zh-CN"/>
        </w:rPr>
      </w:pPr>
      <w:r>
        <w:rPr>
          <w:rFonts w:hint="eastAsia"/>
          <w:lang w:val="en-US" w:eastAsia="zh-CN"/>
        </w:rPr>
        <w:t>（1）环境空气污染防治措施及环境影响调查：垃圾处理场渗滤液处理站的恶臭会对周围保护目标是否产生影响。</w:t>
      </w:r>
    </w:p>
    <w:p>
      <w:pPr>
        <w:bidi w:val="0"/>
        <w:rPr>
          <w:rFonts w:hint="eastAsia"/>
          <w:lang w:val="en-US" w:eastAsia="zh-CN"/>
        </w:rPr>
      </w:pPr>
      <w:r>
        <w:rPr>
          <w:rFonts w:hint="eastAsia"/>
          <w:lang w:val="en-US" w:eastAsia="zh-CN"/>
        </w:rPr>
        <w:t>（2）水污染防治措施及环境影响调查：需要比对垃圾处理场周边地下水监测井地下水水质情况，分析垃圾处理场是否影响到地下水水质。</w:t>
      </w:r>
    </w:p>
    <w:p>
      <w:pPr>
        <w:bidi w:val="0"/>
        <w:rPr>
          <w:rFonts w:hint="eastAsia"/>
          <w:lang w:val="en-US" w:eastAsia="zh-CN"/>
        </w:rPr>
      </w:pPr>
      <w:r>
        <w:rPr>
          <w:rFonts w:hint="eastAsia"/>
          <w:lang w:val="en-US" w:eastAsia="zh-CN"/>
        </w:rPr>
        <w:t>（3）声环境污染防治措施及影响调查；对厂界噪声进行检测，以了解垃圾填埋场在运营期是否对环境保护目标有影响。</w:t>
      </w:r>
    </w:p>
    <w:p>
      <w:pPr>
        <w:bidi w:val="0"/>
        <w:rPr>
          <w:rFonts w:hint="eastAsia"/>
          <w:lang w:val="en-US" w:eastAsia="zh-CN"/>
        </w:rPr>
      </w:pPr>
      <w:r>
        <w:rPr>
          <w:rFonts w:hint="eastAsia"/>
          <w:lang w:val="en-US" w:eastAsia="zh-CN"/>
        </w:rPr>
        <w:t>（4）其它重点：调查工程设计及环境影响评价文件中提出的实际建设内容、工程变更情况、工程环境保护投资的落实情况、环评批复文件执行情况。</w:t>
      </w:r>
    </w:p>
    <w:p>
      <w:pPr>
        <w:spacing w:line="220" w:lineRule="auto"/>
        <w:ind w:left="0" w:leftChars="0" w:firstLine="0" w:firstLineChars="0"/>
        <w:jc w:val="center"/>
        <w:rPr>
          <w:rFonts w:hint="default" w:ascii="宋体" w:hAnsi="宋体" w:cs="宋体"/>
          <w:b/>
          <w:bCs/>
          <w:sz w:val="24"/>
          <w:szCs w:val="24"/>
          <w:lang w:val="en-US" w:eastAsia="zh-CN"/>
        </w:rPr>
        <w:sectPr>
          <w:footerReference r:id="rId5" w:type="default"/>
          <w:pgSz w:w="11911" w:h="16839"/>
          <w:pgMar w:top="1440" w:right="1800" w:bottom="1440" w:left="1800" w:header="0" w:footer="670" w:gutter="0"/>
          <w:pgBorders>
            <w:top w:val="none" w:sz="0" w:space="0"/>
            <w:left w:val="none" w:sz="0" w:space="0"/>
            <w:bottom w:val="none" w:sz="0" w:space="0"/>
            <w:right w:val="none" w:sz="0" w:space="0"/>
          </w:pgBorders>
          <w:pgNumType w:fmt="decimal" w:start="1"/>
          <w:cols w:space="720" w:num="1"/>
        </w:sectPr>
      </w:pPr>
    </w:p>
    <w:p>
      <w:pPr>
        <w:pStyle w:val="3"/>
        <w:bidi w:val="0"/>
      </w:pPr>
      <w:bookmarkStart w:id="13" w:name="bookmark2"/>
      <w:bookmarkEnd w:id="13"/>
      <w:bookmarkStart w:id="14" w:name="_Toc15593"/>
      <w:r>
        <w:rPr>
          <w:rFonts w:hint="eastAsia"/>
          <w:lang w:val="en-US" w:eastAsia="zh-CN"/>
        </w:rPr>
        <w:t xml:space="preserve">第二章  </w:t>
      </w:r>
      <w:r>
        <w:t>验收依据</w:t>
      </w:r>
      <w:bookmarkEnd w:id="14"/>
    </w:p>
    <w:p>
      <w:pPr>
        <w:pStyle w:val="2"/>
        <w:bidi w:val="0"/>
      </w:pPr>
      <w:bookmarkStart w:id="15" w:name="_Toc18896"/>
      <w:r>
        <w:t>2.1</w:t>
      </w:r>
      <w:r>
        <w:rPr>
          <w:rFonts w:hint="eastAsia"/>
          <w:lang w:val="en-US" w:eastAsia="zh-CN"/>
        </w:rPr>
        <w:t xml:space="preserve">  </w:t>
      </w:r>
      <w:r>
        <w:t>建设项目环境保护相关法律、法规和规章制度</w:t>
      </w:r>
      <w:bookmarkEnd w:id="15"/>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1、《中华人民共和国环境保护法》（2015年1月施行）；</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2、《中华人民共和国环境影响评价法》（2018.12.29）；</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3、《中华人民共和国大气污染防治法》（2018.10.26）；</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4、《中华人民共和国环境噪声污染防治法》（2021.08.21）；</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5、《中华人民共和国水污染防治法》（2018.01.01）；</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6、《中华人民共和国固体废物污染环境防治法》（2020.9.1）；</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7、《中华人民共和国水土保持法》(2011.03.01）；</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8、《中华人民共和国城乡规划法》（2019.04.23）；</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9、《中华人民共和国河道管理条例》（2018.03.19）；</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10、中华人民共和国国务院令第682号《建设项目环境保护管理条例》2017年10月1日起施行；</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11、国发〔2000〕38号《全国生态环境保护纲要》（2000年11月颁布）；</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12、国环规环评[2017]4号《建设项目竣工环境保护验收暂行办法》（2017年11月20日印发）；</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13、国家环保部令第16号《建设项目环境影响评价分类管理名录》（2021.1.1）；</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lang w:eastAsia="zh-CN"/>
        </w:rPr>
      </w:pPr>
      <w:r>
        <w:rPr>
          <w:rFonts w:hint="eastAsia"/>
          <w:lang w:eastAsia="zh-CN"/>
        </w:rPr>
        <w:t>14、《建设项目竣工环境保护验收现场检查及审查要点的通知》，环办[2015]113号，2015.12.30；</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lang w:eastAsia="zh-CN"/>
        </w:rPr>
      </w:pPr>
      <w:r>
        <w:rPr>
          <w:rFonts w:hint="eastAsia"/>
          <w:lang w:eastAsia="zh-CN"/>
        </w:rPr>
        <w:t>15、《关于进一步加强生态保护工作的意见》，环发[2007]37号，2007.3.15。</w:t>
      </w:r>
    </w:p>
    <w:p>
      <w:pPr>
        <w:keepNext w:val="0"/>
        <w:keepLines w:val="0"/>
        <w:pageBreakBefore w:val="0"/>
        <w:widowControl/>
        <w:kinsoku w:val="0"/>
        <w:wordWrap/>
        <w:overflowPunct/>
        <w:topLinePunct w:val="0"/>
        <w:autoSpaceDE w:val="0"/>
        <w:autoSpaceDN w:val="0"/>
        <w:bidi w:val="0"/>
        <w:adjustRightInd w:val="0"/>
        <w:snapToGrid w:val="0"/>
        <w:textAlignment w:val="baseline"/>
      </w:pPr>
    </w:p>
    <w:p>
      <w:pPr>
        <w:pStyle w:val="2"/>
        <w:bidi w:val="0"/>
      </w:pPr>
      <w:bookmarkStart w:id="16" w:name="_Toc32537"/>
      <w:r>
        <w:t>2.2</w:t>
      </w:r>
      <w:r>
        <w:rPr>
          <w:rFonts w:hint="eastAsia"/>
          <w:lang w:val="en-US" w:eastAsia="zh-CN"/>
        </w:rPr>
        <w:t xml:space="preserve">  </w:t>
      </w:r>
      <w:r>
        <w:t>建设项目竣工环境保护验收技术规范</w:t>
      </w:r>
      <w:bookmarkEnd w:id="16"/>
    </w:p>
    <w:p>
      <w:pPr>
        <w:bidi w:val="0"/>
        <w:rPr>
          <w:rFonts w:hint="eastAsia"/>
          <w:lang w:val="en-US" w:eastAsia="zh-CN"/>
        </w:rPr>
      </w:pPr>
      <w:r>
        <w:rPr>
          <w:rFonts w:hint="eastAsia"/>
          <w:lang w:val="en-US" w:eastAsia="zh-CN"/>
        </w:rPr>
        <w:t>1、《建设项目环境影响评价技术导则－总则》（HJ2.1－2016），环境保护部；</w:t>
      </w:r>
    </w:p>
    <w:p>
      <w:pPr>
        <w:bidi w:val="0"/>
        <w:rPr>
          <w:rFonts w:hint="eastAsia"/>
          <w:lang w:val="en-US" w:eastAsia="zh-CN"/>
        </w:rPr>
      </w:pPr>
      <w:r>
        <w:rPr>
          <w:rFonts w:hint="eastAsia"/>
          <w:lang w:val="en-US" w:eastAsia="zh-CN"/>
        </w:rPr>
        <w:t>2、《环境影响评价技术导则－大气环境》（HJ2.2－2018），环境保护部；</w:t>
      </w:r>
    </w:p>
    <w:p>
      <w:pPr>
        <w:bidi w:val="0"/>
        <w:rPr>
          <w:rFonts w:hint="eastAsia"/>
          <w:lang w:val="en-US" w:eastAsia="zh-CN"/>
        </w:rPr>
      </w:pPr>
      <w:r>
        <w:rPr>
          <w:rFonts w:hint="eastAsia"/>
          <w:lang w:val="en-US" w:eastAsia="zh-CN"/>
        </w:rPr>
        <w:t>3、《环境影响评价技术导则－地表水环境》（HJ2.3－2018），生态环境部；</w:t>
      </w:r>
    </w:p>
    <w:p>
      <w:pPr>
        <w:bidi w:val="0"/>
        <w:rPr>
          <w:rFonts w:hint="eastAsia"/>
          <w:lang w:val="en-US" w:eastAsia="zh-CN"/>
        </w:rPr>
      </w:pPr>
      <w:r>
        <w:rPr>
          <w:rFonts w:hint="eastAsia"/>
          <w:lang w:val="en-US" w:eastAsia="zh-CN"/>
        </w:rPr>
        <w:t>4、《环境影响评价技术导则—声环境》（HJ2.4－2021），生态环境部；</w:t>
      </w:r>
    </w:p>
    <w:p>
      <w:pPr>
        <w:bidi w:val="0"/>
        <w:rPr>
          <w:rFonts w:hint="eastAsia"/>
          <w:lang w:val="en-US" w:eastAsia="zh-CN"/>
        </w:rPr>
      </w:pPr>
      <w:r>
        <w:rPr>
          <w:rFonts w:hint="eastAsia"/>
          <w:lang w:val="en-US" w:eastAsia="zh-CN"/>
        </w:rPr>
        <w:t>5、《环境影响评价技术导则—地下水环境》（HJ610－2016），环境保护部；</w:t>
      </w:r>
    </w:p>
    <w:p>
      <w:pPr>
        <w:bidi w:val="0"/>
        <w:rPr>
          <w:rFonts w:hint="eastAsia"/>
          <w:lang w:val="en-US" w:eastAsia="zh-CN"/>
        </w:rPr>
      </w:pPr>
      <w:r>
        <w:rPr>
          <w:rFonts w:hint="eastAsia"/>
          <w:lang w:val="en-US" w:eastAsia="zh-CN"/>
        </w:rPr>
        <w:t>6、《环境影响评价技术导则—生态环境》（HJ19－2022），环境保护部。</w:t>
      </w:r>
    </w:p>
    <w:p>
      <w:pPr>
        <w:bidi w:val="0"/>
      </w:pPr>
      <w:r>
        <w:rPr>
          <w:rFonts w:hint="eastAsia"/>
          <w:lang w:val="en-US" w:eastAsia="zh-CN"/>
        </w:rPr>
        <w:t>7、</w:t>
      </w:r>
      <w:r>
        <w:rPr>
          <w:rFonts w:ascii="Times New Roman" w:hAnsi="Times New Roman"/>
          <w:color w:val="000000"/>
        </w:rPr>
        <w:t>《建设项目竣工环境保护验收技术指南 污染影响类》（生态环境部 2018年5月16日）</w:t>
      </w:r>
      <w:r>
        <w:t>；</w:t>
      </w:r>
    </w:p>
    <w:p>
      <w:pPr>
        <w:bidi w:val="0"/>
      </w:pPr>
      <w:r>
        <w:rPr>
          <w:rFonts w:hint="eastAsia"/>
          <w:lang w:val="en-US" w:eastAsia="zh-CN"/>
        </w:rPr>
        <w:t>8、</w:t>
      </w:r>
      <w:r>
        <w:t>《关于发布&lt;建设项目竣工环境保护验收暂行办法&gt; 的公告》（国环规环评【2017】4号）；</w:t>
      </w:r>
    </w:p>
    <w:p>
      <w:pPr>
        <w:bidi w:val="0"/>
      </w:pPr>
      <w:r>
        <w:rPr>
          <w:rFonts w:hint="eastAsia"/>
          <w:lang w:val="en-US" w:eastAsia="zh-CN"/>
        </w:rPr>
        <w:t>9、</w:t>
      </w:r>
      <w:r>
        <w:t>《关于印发《污染影响类建设项目重大变动清单（试行）》的通知》（环办环评函【2020】688号）。</w:t>
      </w:r>
    </w:p>
    <w:p>
      <w:pPr>
        <w:pStyle w:val="2"/>
        <w:bidi w:val="0"/>
      </w:pPr>
      <w:bookmarkStart w:id="17" w:name="_Toc14577"/>
      <w:r>
        <w:t>2.3.建设项目环境影响评价报告书及审批部门审批决定</w:t>
      </w:r>
      <w:bookmarkEnd w:id="17"/>
    </w:p>
    <w:p>
      <w:pPr>
        <w:bidi w:val="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2014年同德县河北乡周边农村环境综合整治垃圾填埋场建设项目</w:t>
      </w:r>
      <w:r>
        <w:rPr>
          <w:color w:val="000000" w:themeColor="text1"/>
          <w14:textFill>
            <w14:solidFill>
              <w14:schemeClr w14:val="tx1"/>
            </w14:solidFill>
          </w14:textFill>
        </w:rPr>
        <w:t>环境影响报告书》（</w:t>
      </w:r>
      <w:r>
        <w:rPr>
          <w:rFonts w:hint="eastAsia"/>
          <w:color w:val="000000" w:themeColor="text1"/>
          <w:lang w:val="en-US" w:eastAsia="zh-CN"/>
          <w14:textFill>
            <w14:solidFill>
              <w14:schemeClr w14:val="tx1"/>
            </w14:solidFill>
          </w14:textFill>
        </w:rPr>
        <w:t>沈阳科学研究院</w:t>
      </w:r>
      <w:r>
        <w:rPr>
          <w:color w:val="000000" w:themeColor="text1"/>
          <w14:textFill>
            <w14:solidFill>
              <w14:schemeClr w14:val="tx1"/>
            </w14:solidFill>
          </w14:textFill>
        </w:rPr>
        <w:t>，2015年1</w:t>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t>月）；</w:t>
      </w:r>
    </w:p>
    <w:p>
      <w:pPr>
        <w:bidi w:val="0"/>
        <w:rPr>
          <w:rFonts w:ascii="宋体" w:hAnsi="宋体" w:eastAsia="宋体" w:cs="宋体"/>
          <w:color w:val="000000" w:themeColor="text1"/>
          <w:sz w:val="24"/>
          <w:szCs w:val="24"/>
          <w14:textFill>
            <w14:solidFill>
              <w14:schemeClr w14:val="tx1"/>
            </w14:solidFill>
          </w14:textFill>
        </w:rPr>
      </w:pPr>
      <w:r>
        <w:rPr>
          <w:rFonts w:hint="eastAsia" w:cs="Times New Roman"/>
          <w:color w:val="000000" w:themeColor="text1"/>
          <w:spacing w:val="2"/>
          <w:position w:val="3"/>
          <w:sz w:val="24"/>
          <w:szCs w:val="24"/>
          <w:lang w:val="en-US" w:eastAsia="zh-CN"/>
          <w14:textFill>
            <w14:solidFill>
              <w14:schemeClr w14:val="tx1"/>
            </w14:solidFill>
          </w14:textFill>
        </w:rPr>
        <w:t>2、</w:t>
      </w:r>
      <w:r>
        <w:rPr>
          <w:rFonts w:ascii="宋体" w:hAnsi="宋体" w:eastAsia="宋体" w:cs="宋体"/>
          <w:color w:val="000000" w:themeColor="text1"/>
          <w:spacing w:val="2"/>
          <w:position w:val="3"/>
          <w:sz w:val="24"/>
          <w:szCs w:val="24"/>
          <w14:textFill>
            <w14:solidFill>
              <w14:schemeClr w14:val="tx1"/>
            </w14:solidFill>
          </w14:textFill>
        </w:rPr>
        <w:t>原</w:t>
      </w:r>
      <w:r>
        <w:rPr>
          <w:rFonts w:hint="eastAsia" w:ascii="宋体" w:hAnsi="宋体" w:cs="宋体"/>
          <w:color w:val="000000" w:themeColor="text1"/>
          <w:spacing w:val="2"/>
          <w:position w:val="3"/>
          <w:sz w:val="24"/>
          <w:szCs w:val="24"/>
          <w:lang w:val="en-US" w:eastAsia="zh-CN"/>
          <w14:textFill>
            <w14:solidFill>
              <w14:schemeClr w14:val="tx1"/>
            </w14:solidFill>
          </w14:textFill>
        </w:rPr>
        <w:t>海南藏族自治州环境保护和林业局</w:t>
      </w:r>
      <w:r>
        <w:rPr>
          <w:rFonts w:ascii="宋体" w:hAnsi="宋体" w:eastAsia="宋体" w:cs="宋体"/>
          <w:color w:val="000000" w:themeColor="text1"/>
          <w:spacing w:val="2"/>
          <w:position w:val="3"/>
          <w:sz w:val="24"/>
          <w:szCs w:val="24"/>
          <w14:textFill>
            <w14:solidFill>
              <w14:schemeClr w14:val="tx1"/>
            </w14:solidFill>
          </w14:textFill>
        </w:rPr>
        <w:t>《关于</w:t>
      </w:r>
      <w:r>
        <w:rPr>
          <w:rFonts w:hint="eastAsia" w:ascii="宋体" w:hAnsi="宋体" w:cs="宋体"/>
          <w:color w:val="000000" w:themeColor="text1"/>
          <w:spacing w:val="2"/>
          <w:position w:val="3"/>
          <w:sz w:val="24"/>
          <w:szCs w:val="24"/>
          <w:lang w:val="en-US" w:eastAsia="zh-CN"/>
          <w14:textFill>
            <w14:solidFill>
              <w14:schemeClr w14:val="tx1"/>
            </w14:solidFill>
          </w14:textFill>
        </w:rPr>
        <w:t xml:space="preserve"> 同德县河北乡生活垃圾处理场建设项目</w:t>
      </w:r>
      <w:r>
        <w:rPr>
          <w:rFonts w:ascii="宋体" w:hAnsi="宋体" w:eastAsia="宋体" w:cs="宋体"/>
          <w:color w:val="000000" w:themeColor="text1"/>
          <w:spacing w:val="2"/>
          <w:position w:val="3"/>
          <w:sz w:val="24"/>
          <w:szCs w:val="24"/>
          <w14:textFill>
            <w14:solidFill>
              <w14:schemeClr w14:val="tx1"/>
            </w14:solidFill>
          </w14:textFill>
        </w:rPr>
        <w:t>环境影响</w:t>
      </w:r>
      <w:r>
        <w:rPr>
          <w:rFonts w:ascii="宋体" w:hAnsi="宋体" w:eastAsia="宋体" w:cs="宋体"/>
          <w:color w:val="000000" w:themeColor="text1"/>
          <w:spacing w:val="-2"/>
          <w:position w:val="3"/>
          <w:sz w:val="24"/>
          <w:szCs w:val="24"/>
          <w14:textFill>
            <w14:solidFill>
              <w14:schemeClr w14:val="tx1"/>
            </w14:solidFill>
          </w14:textFill>
        </w:rPr>
        <w:t>报告书的批复》（</w:t>
      </w:r>
      <w:r>
        <w:rPr>
          <w:rFonts w:hint="eastAsia" w:ascii="宋体" w:hAnsi="宋体" w:cs="宋体"/>
          <w:color w:val="000000" w:themeColor="text1"/>
          <w:spacing w:val="-2"/>
          <w:position w:val="3"/>
          <w:sz w:val="24"/>
          <w:szCs w:val="24"/>
          <w:lang w:val="en-US" w:eastAsia="zh-CN"/>
          <w14:textFill>
            <w14:solidFill>
              <w14:schemeClr w14:val="tx1"/>
            </w14:solidFill>
          </w14:textFill>
        </w:rPr>
        <w:t>南环林</w:t>
      </w:r>
      <w:r>
        <w:rPr>
          <w:rFonts w:ascii="宋体" w:hAnsi="宋体" w:eastAsia="宋体" w:cs="宋体"/>
          <w:color w:val="000000" w:themeColor="text1"/>
          <w:spacing w:val="-2"/>
          <w:position w:val="3"/>
          <w:sz w:val="24"/>
          <w:szCs w:val="24"/>
          <w14:textFill>
            <w14:solidFill>
              <w14:schemeClr w14:val="tx1"/>
            </w14:solidFill>
          </w14:textFill>
        </w:rPr>
        <w:t>〔</w:t>
      </w:r>
      <w:r>
        <w:rPr>
          <w:rFonts w:ascii="Times New Roman" w:hAnsi="Times New Roman" w:eastAsia="Times New Roman" w:cs="Times New Roman"/>
          <w:color w:val="000000" w:themeColor="text1"/>
          <w:spacing w:val="-2"/>
          <w:position w:val="3"/>
          <w:sz w:val="24"/>
          <w:szCs w:val="24"/>
          <w14:textFill>
            <w14:solidFill>
              <w14:schemeClr w14:val="tx1"/>
            </w14:solidFill>
          </w14:textFill>
        </w:rPr>
        <w:t>201</w:t>
      </w:r>
      <w:r>
        <w:rPr>
          <w:rFonts w:hint="eastAsia" w:ascii="Times New Roman" w:hAnsi="Times New Roman" w:cs="Times New Roman"/>
          <w:color w:val="000000" w:themeColor="text1"/>
          <w:spacing w:val="-2"/>
          <w:position w:val="3"/>
          <w:sz w:val="24"/>
          <w:szCs w:val="24"/>
          <w:lang w:val="en-US" w:eastAsia="zh-CN"/>
          <w14:textFill>
            <w14:solidFill>
              <w14:schemeClr w14:val="tx1"/>
            </w14:solidFill>
          </w14:textFill>
        </w:rPr>
        <w:t>0</w:t>
      </w:r>
      <w:r>
        <w:rPr>
          <w:rFonts w:hint="eastAsia" w:ascii="Times New Roman" w:hAnsi="Times New Roman" w:eastAsia="Times New Roman" w:cs="Times New Roman"/>
          <w:color w:val="000000" w:themeColor="text1"/>
          <w:spacing w:val="-2"/>
          <w:position w:val="3"/>
          <w:sz w:val="24"/>
          <w:szCs w:val="24"/>
          <w14:textFill>
            <w14:solidFill>
              <w14:schemeClr w14:val="tx1"/>
            </w14:solidFill>
          </w14:textFill>
        </w:rPr>
        <w:t>﹞</w:t>
      </w:r>
      <w:r>
        <w:rPr>
          <w:rFonts w:ascii="Times New Roman" w:hAnsi="Times New Roman" w:eastAsia="Times New Roman" w:cs="Times New Roman"/>
          <w:color w:val="000000" w:themeColor="text1"/>
          <w:spacing w:val="37"/>
          <w:w w:val="101"/>
          <w:position w:val="3"/>
          <w:sz w:val="24"/>
          <w:szCs w:val="24"/>
          <w14:textFill>
            <w14:solidFill>
              <w14:schemeClr w14:val="tx1"/>
            </w14:solidFill>
          </w14:textFill>
        </w:rPr>
        <w:t xml:space="preserve"> </w:t>
      </w:r>
      <w:r>
        <w:rPr>
          <w:rFonts w:hint="eastAsia" w:ascii="Times New Roman" w:hAnsi="Times New Roman" w:cs="Times New Roman"/>
          <w:color w:val="000000" w:themeColor="text1"/>
          <w:spacing w:val="-2"/>
          <w:position w:val="3"/>
          <w:sz w:val="24"/>
          <w:szCs w:val="24"/>
          <w:lang w:val="en-US" w:eastAsia="zh-CN"/>
          <w14:textFill>
            <w14:solidFill>
              <w14:schemeClr w14:val="tx1"/>
            </w14:solidFill>
          </w14:textFill>
        </w:rPr>
        <w:t>46</w:t>
      </w:r>
      <w:r>
        <w:rPr>
          <w:rFonts w:ascii="宋体" w:hAnsi="宋体" w:eastAsia="宋体" w:cs="宋体"/>
          <w:color w:val="000000" w:themeColor="text1"/>
          <w:spacing w:val="-2"/>
          <w:position w:val="3"/>
          <w:sz w:val="24"/>
          <w:szCs w:val="24"/>
          <w14:textFill>
            <w14:solidFill>
              <w14:schemeClr w14:val="tx1"/>
            </w14:solidFill>
          </w14:textFill>
        </w:rPr>
        <w:t>号）。</w:t>
      </w:r>
    </w:p>
    <w:p>
      <w:pPr>
        <w:pStyle w:val="2"/>
        <w:bidi w:val="0"/>
        <w:rPr>
          <w:rFonts w:ascii="宋体" w:hAnsi="宋体" w:eastAsia="宋体" w:cs="宋体"/>
          <w:sz w:val="28"/>
          <w:szCs w:val="28"/>
        </w:rPr>
      </w:pPr>
      <w:bookmarkStart w:id="18" w:name="_Toc30022"/>
      <w:r>
        <w:rPr>
          <w:rFonts w:ascii="Times New Roman" w:hAnsi="Times New Roman" w:eastAsia="Times New Roman" w:cs="Times New Roman"/>
          <w:b/>
          <w:bCs/>
          <w:spacing w:val="-1"/>
          <w:sz w:val="28"/>
          <w:szCs w:val="28"/>
        </w:rPr>
        <w:t>2.4.</w:t>
      </w:r>
      <w:r>
        <w:rPr>
          <w:rFonts w:ascii="宋体" w:hAnsi="宋体" w:eastAsia="宋体" w:cs="宋体"/>
          <w:spacing w:val="-1"/>
          <w:sz w:val="28"/>
          <w:szCs w:val="28"/>
          <w14:textOutline w14:w="4358" w14:cap="sq" w14:cmpd="sng">
            <w14:solidFill>
              <w14:srgbClr w14:val="000000"/>
            </w14:solidFill>
            <w14:prstDash w14:val="solid"/>
            <w14:bevel/>
          </w14:textOutline>
        </w:rPr>
        <w:t>其他相关文件</w:t>
      </w:r>
      <w:bookmarkEnd w:id="18"/>
    </w:p>
    <w:p>
      <w:pPr>
        <w:bidi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同德县河北乡生活垃圾填埋场自行检测项目</w:t>
      </w:r>
      <w:r>
        <w:rPr>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2023.9.25 青海莫尼特环保科技有限公司）</w:t>
      </w:r>
      <w:r>
        <w:rPr>
          <w:color w:val="000000" w:themeColor="text1"/>
          <w14:textFill>
            <w14:solidFill>
              <w14:schemeClr w14:val="tx1"/>
            </w14:solidFill>
          </w14:textFill>
        </w:rPr>
        <w:t>；</w:t>
      </w:r>
    </w:p>
    <w:p>
      <w:pPr>
        <w:bidi w:val="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w:t>
      </w:r>
      <w:r>
        <w:rPr>
          <w:rFonts w:ascii="Times New Roman" w:hAnsi="Times New Roman" w:eastAsia="Times New Roman" w:cs="Times New Roman"/>
          <w:color w:val="000000" w:themeColor="text1"/>
          <w:spacing w:val="-3"/>
          <w:sz w:val="24"/>
          <w:szCs w:val="24"/>
          <w14:textFill>
            <w14:solidFill>
              <w14:schemeClr w14:val="tx1"/>
            </w14:solidFill>
          </w14:textFill>
        </w:rPr>
        <w:t>2</w:t>
      </w:r>
      <w:r>
        <w:rPr>
          <w:rFonts w:ascii="宋体" w:hAnsi="宋体" w:eastAsia="宋体" w:cs="宋体"/>
          <w:color w:val="000000" w:themeColor="text1"/>
          <w:spacing w:val="-3"/>
          <w:sz w:val="24"/>
          <w:szCs w:val="24"/>
          <w14:textFill>
            <w14:solidFill>
              <w14:schemeClr w14:val="tx1"/>
            </w14:solidFill>
          </w14:textFill>
        </w:rPr>
        <w:t>）</w:t>
      </w:r>
      <w:r>
        <w:rPr>
          <w:rFonts w:hint="eastAsia" w:ascii="宋体" w:hAnsi="宋体" w:cs="宋体"/>
          <w:color w:val="000000" w:themeColor="text1"/>
          <w:spacing w:val="-3"/>
          <w:sz w:val="24"/>
          <w:szCs w:val="24"/>
          <w:lang w:val="en-US" w:eastAsia="zh-CN"/>
          <w14:textFill>
            <w14:solidFill>
              <w14:schemeClr w14:val="tx1"/>
            </w14:solidFill>
          </w14:textFill>
        </w:rPr>
        <w:t>业主提供的</w:t>
      </w:r>
      <w:r>
        <w:rPr>
          <w:rFonts w:ascii="宋体" w:hAnsi="宋体" w:eastAsia="宋体" w:cs="宋体"/>
          <w:color w:val="000000" w:themeColor="text1"/>
          <w:spacing w:val="-3"/>
          <w:sz w:val="24"/>
          <w:szCs w:val="24"/>
          <w14:textFill>
            <w14:solidFill>
              <w14:schemeClr w14:val="tx1"/>
            </w14:solidFill>
          </w14:textFill>
        </w:rPr>
        <w:t>其他</w:t>
      </w:r>
      <w:r>
        <w:rPr>
          <w:rFonts w:hint="eastAsia" w:ascii="宋体" w:hAnsi="宋体" w:cs="宋体"/>
          <w:color w:val="000000" w:themeColor="text1"/>
          <w:spacing w:val="-3"/>
          <w:sz w:val="24"/>
          <w:szCs w:val="24"/>
          <w:lang w:val="en-US" w:eastAsia="zh-CN"/>
          <w14:textFill>
            <w14:solidFill>
              <w14:schemeClr w14:val="tx1"/>
            </w14:solidFill>
          </w14:textFill>
        </w:rPr>
        <w:t>相关资料</w:t>
      </w:r>
      <w:r>
        <w:rPr>
          <w:rFonts w:ascii="宋体" w:hAnsi="宋体" w:eastAsia="宋体" w:cs="宋体"/>
          <w:color w:val="000000" w:themeColor="text1"/>
          <w:spacing w:val="-3"/>
          <w:sz w:val="24"/>
          <w:szCs w:val="24"/>
          <w14:textFill>
            <w14:solidFill>
              <w14:schemeClr w14:val="tx1"/>
            </w14:solidFill>
          </w14:textFill>
        </w:rPr>
        <w:t>。</w:t>
      </w:r>
    </w:p>
    <w:p>
      <w:pPr>
        <w:spacing w:line="220" w:lineRule="auto"/>
        <w:rPr>
          <w:rFonts w:ascii="宋体" w:hAnsi="宋体" w:eastAsia="宋体" w:cs="宋体"/>
          <w:sz w:val="24"/>
          <w:szCs w:val="24"/>
        </w:rPr>
        <w:sectPr>
          <w:footerReference r:id="rId6"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3"/>
        <w:bidi w:val="0"/>
        <w:ind w:left="0" w:leftChars="0" w:firstLine="0" w:firstLineChars="0"/>
      </w:pPr>
      <w:bookmarkStart w:id="19" w:name="bookmark3"/>
      <w:bookmarkEnd w:id="19"/>
      <w:bookmarkStart w:id="20" w:name="_Toc24030"/>
      <w:r>
        <w:rPr>
          <w:rFonts w:hint="eastAsia"/>
          <w:lang w:val="en-US" w:eastAsia="zh-CN"/>
        </w:rPr>
        <w:t xml:space="preserve">第三章   </w:t>
      </w:r>
      <w:r>
        <w:t>项目建设概况</w:t>
      </w:r>
      <w:bookmarkEnd w:id="20"/>
    </w:p>
    <w:p>
      <w:pPr>
        <w:pStyle w:val="2"/>
        <w:bidi w:val="0"/>
        <w:rPr>
          <w:rFonts w:ascii="宋体" w:hAnsi="宋体" w:eastAsia="宋体" w:cs="宋体"/>
          <w:sz w:val="28"/>
          <w:szCs w:val="28"/>
        </w:rPr>
      </w:pPr>
      <w:bookmarkStart w:id="21" w:name="_Toc31163"/>
      <w:r>
        <w:rPr>
          <w:rFonts w:ascii="Times New Roman" w:hAnsi="Times New Roman" w:eastAsia="Times New Roman" w:cs="Times New Roman"/>
          <w:b/>
          <w:bCs/>
          <w:sz w:val="28"/>
          <w:szCs w:val="28"/>
        </w:rPr>
        <w:t>3.1.</w:t>
      </w:r>
      <w:r>
        <w:rPr>
          <w:rFonts w:ascii="宋体" w:hAnsi="宋体" w:eastAsia="宋体" w:cs="宋体"/>
          <w:sz w:val="28"/>
          <w:szCs w:val="28"/>
          <w14:textOutline w14:w="4356" w14:cap="sq" w14:cmpd="sng">
            <w14:solidFill>
              <w14:srgbClr w14:val="000000"/>
            </w14:solidFill>
            <w14:prstDash w14:val="solid"/>
            <w14:bevel/>
          </w14:textOutline>
        </w:rPr>
        <w:t>地理位置及平面布置</w:t>
      </w:r>
      <w:bookmarkEnd w:id="21"/>
    </w:p>
    <w:p>
      <w:pPr>
        <w:pStyle w:val="7"/>
        <w:spacing w:line="240" w:lineRule="auto"/>
        <w:ind w:left="0" w:leftChars="0" w:firstLine="0" w:firstLineChars="0"/>
        <w:jc w:val="center"/>
        <w:rPr>
          <w:rFonts w:hint="default" w:ascii="Times New Roman" w:hAnsi="Times New Roman" w:cs="Times New Roman"/>
          <w:lang w:val="en-US" w:eastAsia="zh-CN"/>
        </w:rPr>
      </w:pPr>
      <w:r>
        <w:rPr>
          <w:rFonts w:hint="eastAsia"/>
          <w:color w:val="000000" w:themeColor="text1"/>
          <w:lang w:val="en-US" w:eastAsia="zh-CN"/>
          <w14:textFill>
            <w14:solidFill>
              <w14:schemeClr w14:val="tx1"/>
            </w14:solidFill>
          </w14:textFill>
        </w:rPr>
        <w:t>同德县河北乡生活垃圾处理场</w:t>
      </w:r>
      <w:r>
        <w:rPr>
          <w:color w:val="000000" w:themeColor="text1"/>
          <w14:textFill>
            <w14:solidFill>
              <w14:schemeClr w14:val="tx1"/>
            </w14:solidFill>
          </w14:textFill>
        </w:rPr>
        <w:t>位于</w:t>
      </w:r>
      <w:r>
        <w:rPr>
          <w:rFonts w:hint="eastAsia"/>
          <w:color w:val="000000" w:themeColor="text1"/>
          <w14:textFill>
            <w14:solidFill>
              <w14:schemeClr w14:val="tx1"/>
            </w14:solidFill>
          </w14:textFill>
        </w:rPr>
        <w:t>河北乡赛羊村（石藏寺）4km处诺日央宗</w:t>
      </w:r>
      <w:r>
        <w:rPr>
          <w:rFonts w:hint="eastAsia"/>
          <w:color w:val="auto"/>
          <w:lang w:val="en-US" w:eastAsia="zh-CN"/>
        </w:rPr>
        <w:t>，距镇区2.7km，</w:t>
      </w:r>
      <w:r>
        <w:rPr>
          <w:color w:val="auto"/>
        </w:rPr>
        <w:t>经纬度坐标</w:t>
      </w:r>
      <w:r>
        <w:rPr>
          <w:rFonts w:hint="eastAsia"/>
          <w:color w:val="auto"/>
        </w:rPr>
        <w:t>10</w:t>
      </w:r>
      <w:r>
        <w:rPr>
          <w:rFonts w:hint="eastAsia"/>
          <w:color w:val="auto"/>
          <w:lang w:val="en-US" w:eastAsia="zh-CN"/>
        </w:rPr>
        <w:t>0</w:t>
      </w:r>
      <w:r>
        <w:rPr>
          <w:rFonts w:hint="eastAsia"/>
          <w:color w:val="auto"/>
        </w:rPr>
        <w:t>度</w:t>
      </w:r>
      <w:r>
        <w:rPr>
          <w:rFonts w:hint="eastAsia"/>
          <w:color w:val="auto"/>
          <w:lang w:val="en-US" w:eastAsia="zh-CN"/>
        </w:rPr>
        <w:t>48</w:t>
      </w:r>
      <w:r>
        <w:rPr>
          <w:rFonts w:hint="eastAsia"/>
          <w:color w:val="auto"/>
        </w:rPr>
        <w:t>分</w:t>
      </w:r>
      <w:r>
        <w:rPr>
          <w:rFonts w:hint="eastAsia"/>
          <w:color w:val="auto"/>
          <w:lang w:val="en-US" w:eastAsia="zh-CN"/>
        </w:rPr>
        <w:t>5.267</w:t>
      </w:r>
      <w:r>
        <w:rPr>
          <w:rFonts w:hint="eastAsia"/>
          <w:color w:val="auto"/>
        </w:rPr>
        <w:t>秒，</w:t>
      </w:r>
      <w:r>
        <w:rPr>
          <w:rFonts w:hint="eastAsia"/>
          <w:color w:val="auto"/>
          <w:lang w:val="en-US" w:eastAsia="zh-CN"/>
        </w:rPr>
        <w:t>34</w:t>
      </w:r>
      <w:r>
        <w:rPr>
          <w:rFonts w:hint="eastAsia"/>
          <w:color w:val="auto"/>
        </w:rPr>
        <w:t>度43分</w:t>
      </w:r>
      <w:r>
        <w:rPr>
          <w:rFonts w:hint="eastAsia"/>
          <w:color w:val="auto"/>
          <w:lang w:val="en-US" w:eastAsia="zh-CN"/>
        </w:rPr>
        <w:t>59.901</w:t>
      </w:r>
      <w:r>
        <w:rPr>
          <w:rFonts w:hint="eastAsia"/>
          <w:color w:val="auto"/>
        </w:rPr>
        <w:t>秒</w:t>
      </w:r>
    </w:p>
    <w:p>
      <w:pPr>
        <w:pStyle w:val="2"/>
        <w:bidi w:val="0"/>
        <w:rPr>
          <w:rFonts w:ascii="宋体" w:hAnsi="宋体" w:eastAsia="宋体" w:cs="宋体"/>
          <w:sz w:val="28"/>
          <w:szCs w:val="28"/>
        </w:rPr>
      </w:pPr>
      <w:bookmarkStart w:id="22" w:name="_Toc23014"/>
      <w:r>
        <w:rPr>
          <w:rFonts w:ascii="Times New Roman" w:hAnsi="Times New Roman" w:eastAsia="Times New Roman" w:cs="Times New Roman"/>
          <w:b/>
          <w:bCs/>
          <w:spacing w:val="-1"/>
          <w:sz w:val="28"/>
          <w:szCs w:val="28"/>
        </w:rPr>
        <w:t>3.2.</w:t>
      </w:r>
      <w:r>
        <w:rPr>
          <w:rFonts w:ascii="宋体" w:hAnsi="宋体" w:eastAsia="宋体" w:cs="宋体"/>
          <w:spacing w:val="-1"/>
          <w:sz w:val="28"/>
          <w:szCs w:val="28"/>
          <w14:textOutline w14:w="4356" w14:cap="sq" w14:cmpd="sng">
            <w14:solidFill>
              <w14:srgbClr w14:val="000000"/>
            </w14:solidFill>
            <w14:prstDash w14:val="solid"/>
            <w14:bevel/>
          </w14:textOutline>
        </w:rPr>
        <w:t>建设内容</w:t>
      </w:r>
      <w:bookmarkEnd w:id="22"/>
    </w:p>
    <w:p>
      <w:pPr>
        <w:spacing w:before="195" w:line="360" w:lineRule="auto"/>
        <w:ind w:left="19" w:right="30" w:firstLine="485"/>
        <w:jc w:val="both"/>
        <w:rPr>
          <w:rFonts w:ascii="宋体" w:hAnsi="宋体" w:eastAsia="宋体" w:cs="宋体"/>
          <w:color w:val="0000FF"/>
          <w:sz w:val="24"/>
          <w:szCs w:val="24"/>
        </w:rPr>
      </w:pPr>
      <w:r>
        <w:rPr>
          <w:rFonts w:ascii="宋体" w:hAnsi="宋体" w:eastAsia="宋体" w:cs="宋体"/>
          <w:color w:val="000000" w:themeColor="text1"/>
          <w:spacing w:val="3"/>
          <w:sz w:val="24"/>
          <w:szCs w:val="24"/>
          <w14:textFill>
            <w14:solidFill>
              <w14:schemeClr w14:val="tx1"/>
            </w14:solidFill>
          </w14:textFill>
        </w:rPr>
        <w:t>本工程</w:t>
      </w:r>
      <w:r>
        <w:rPr>
          <w:rFonts w:hint="default"/>
          <w:color w:val="000000" w:themeColor="text1"/>
          <w14:textFill>
            <w14:solidFill>
              <w14:schemeClr w14:val="tx1"/>
            </w14:solidFill>
          </w14:textFill>
        </w:rPr>
        <w:t>总占地面积</w:t>
      </w:r>
      <w:r>
        <w:rPr>
          <w:rFonts w:hint="eastAsia"/>
          <w:color w:val="000000" w:themeColor="text1"/>
          <w:lang w:val="en-US" w:eastAsia="zh-CN"/>
          <w14:textFill>
            <w14:solidFill>
              <w14:schemeClr w14:val="tx1"/>
            </w14:solidFill>
          </w14:textFill>
        </w:rPr>
        <w:t>2350</w:t>
      </w:r>
      <w:r>
        <w:rPr>
          <w:rFonts w:hint="default"/>
          <w:color w:val="000000" w:themeColor="text1"/>
          <w14:textFill>
            <w14:solidFill>
              <w14:schemeClr w14:val="tx1"/>
            </w14:solidFill>
          </w14:textFill>
        </w:rPr>
        <w:t>m</w:t>
      </w:r>
      <w:r>
        <w:rPr>
          <w:rFonts w:hint="default"/>
          <w:color w:val="000000" w:themeColor="text1"/>
          <w:vertAlign w:val="superscript"/>
          <w14:textFill>
            <w14:solidFill>
              <w14:schemeClr w14:val="tx1"/>
            </w14:solidFill>
          </w14:textFill>
        </w:rPr>
        <w:t>2</w:t>
      </w:r>
      <w:r>
        <w:rPr>
          <w:rFonts w:hint="default"/>
          <w:color w:val="000000" w:themeColor="text1"/>
          <w14:textFill>
            <w14:solidFill>
              <w14:schemeClr w14:val="tx1"/>
            </w14:solidFill>
          </w14:textFill>
        </w:rPr>
        <w:t>，工程建设内容包括</w:t>
      </w:r>
      <w:r>
        <w:rPr>
          <w:rFonts w:hint="eastAsia"/>
          <w:color w:val="000000" w:themeColor="text1"/>
          <w:lang w:val="en-US" w:eastAsia="zh-CN"/>
          <w14:textFill>
            <w14:solidFill>
              <w14:schemeClr w14:val="tx1"/>
            </w14:solidFill>
          </w14:textFill>
        </w:rPr>
        <w:t>底库及边坡处理</w:t>
      </w:r>
      <w:r>
        <w:rPr>
          <w:rFonts w:hint="default" w:ascii="Times New Roman" w:hAnsi="Times New Roman" w:cs="Times New Roman"/>
          <w:color w:val="000000" w:themeColor="text1"/>
          <w:lang w:val="en-US" w:eastAsia="zh-CN"/>
          <w14:textFill>
            <w14:solidFill>
              <w14:schemeClr w14:val="tx1"/>
            </w14:solidFill>
          </w14:textFill>
        </w:rPr>
        <w:t>、填埋库区、防渗系统、渗滤液和气体导排系统、防洪排水系统</w:t>
      </w:r>
      <w:r>
        <w:rPr>
          <w:rFonts w:hint="default" w:ascii="Times New Roman" w:hAnsi="Times New Roman" w:cs="Times New Roman"/>
          <w:color w:val="000000" w:themeColor="text1"/>
          <w14:textFill>
            <w14:solidFill>
              <w14:schemeClr w14:val="tx1"/>
            </w14:solidFill>
          </w14:textFill>
        </w:rPr>
        <w:t>。本项目建成运营后，日平均处理</w:t>
      </w:r>
      <w:r>
        <w:rPr>
          <w:rFonts w:hint="default" w:ascii="Times New Roman" w:hAnsi="Times New Roman" w:cs="Times New Roman"/>
          <w:color w:val="auto"/>
        </w:rPr>
        <w:t>垃圾</w:t>
      </w:r>
      <w:r>
        <w:rPr>
          <w:rFonts w:hint="default" w:ascii="Times New Roman" w:hAnsi="Times New Roman" w:cs="Times New Roman"/>
          <w:color w:val="auto"/>
          <w:lang w:val="en-US" w:eastAsia="zh-CN"/>
        </w:rPr>
        <w:t>1t</w:t>
      </w:r>
      <w:r>
        <w:rPr>
          <w:rFonts w:hint="default" w:ascii="Times New Roman" w:hAnsi="Times New Roman" w:cs="Times New Roman"/>
          <w:color w:val="auto"/>
        </w:rPr>
        <w:t>。填埋场总库容</w:t>
      </w:r>
      <w:r>
        <w:rPr>
          <w:rFonts w:hint="default" w:ascii="Times New Roman" w:hAnsi="Times New Roman" w:cs="Times New Roman"/>
          <w:color w:val="auto"/>
          <w:lang w:val="en-US" w:eastAsia="zh-CN"/>
        </w:rPr>
        <w:t>1</w:t>
      </w:r>
      <w:r>
        <w:rPr>
          <w:rFonts w:hint="default" w:ascii="Times New Roman" w:hAnsi="Times New Roman" w:cs="Times New Roman"/>
          <w:color w:val="auto"/>
        </w:rPr>
        <w:t>万m</w:t>
      </w:r>
      <w:r>
        <w:rPr>
          <w:rFonts w:hint="default" w:ascii="Times New Roman" w:hAnsi="Times New Roman" w:cs="Times New Roman"/>
          <w:color w:val="auto"/>
          <w:vertAlign w:val="superscript"/>
        </w:rPr>
        <w:t>3</w:t>
      </w:r>
      <w:r>
        <w:rPr>
          <w:rFonts w:hint="default" w:ascii="Times New Roman" w:hAnsi="Times New Roman" w:cs="Times New Roman"/>
          <w:color w:val="auto"/>
        </w:rPr>
        <w:t>，设计使用年限</w:t>
      </w:r>
      <w:r>
        <w:rPr>
          <w:rFonts w:hint="default" w:ascii="Times New Roman" w:hAnsi="Times New Roman" w:cs="Times New Roman"/>
          <w:color w:val="auto"/>
          <w:lang w:val="en-US" w:eastAsia="zh-CN"/>
        </w:rPr>
        <w:t>10</w:t>
      </w:r>
      <w:r>
        <w:rPr>
          <w:rFonts w:hint="default" w:ascii="Times New Roman" w:hAnsi="Times New Roman" w:cs="Times New Roman"/>
          <w:color w:val="auto"/>
        </w:rPr>
        <w:t>年。</w:t>
      </w:r>
      <w:r>
        <w:rPr>
          <w:rFonts w:hint="default" w:ascii="Times New Roman" w:hAnsi="Times New Roman" w:eastAsia="宋体" w:cs="Times New Roman"/>
          <w:color w:val="auto"/>
          <w:spacing w:val="-1"/>
          <w:sz w:val="24"/>
          <w:szCs w:val="24"/>
        </w:rPr>
        <w:t>项目计划总投资：项目总投资</w:t>
      </w:r>
      <w:r>
        <w:rPr>
          <w:rFonts w:hint="default" w:ascii="Times New Roman" w:hAnsi="Times New Roman" w:cs="Times New Roman"/>
          <w:color w:val="auto"/>
          <w:sz w:val="24"/>
          <w:szCs w:val="24"/>
          <w:lang w:val="en-US" w:eastAsia="zh-CN"/>
        </w:rPr>
        <w:t>88</w:t>
      </w:r>
      <w:r>
        <w:rPr>
          <w:rFonts w:hint="default" w:ascii="Times New Roman" w:hAnsi="Times New Roman" w:eastAsia="宋体" w:cs="Times New Roman"/>
          <w:color w:val="auto"/>
          <w:spacing w:val="4"/>
          <w:sz w:val="24"/>
          <w:szCs w:val="24"/>
        </w:rPr>
        <w:t>万元。实际工程建设结算费用与环评时一致为</w:t>
      </w:r>
      <w:r>
        <w:rPr>
          <w:rFonts w:hint="eastAsia" w:cs="Times New Roman"/>
          <w:color w:val="auto"/>
          <w:spacing w:val="4"/>
          <w:sz w:val="24"/>
          <w:szCs w:val="24"/>
          <w:lang w:val="en-US" w:eastAsia="zh-CN"/>
        </w:rPr>
        <w:t>88</w:t>
      </w:r>
      <w:r>
        <w:rPr>
          <w:rFonts w:hint="default" w:ascii="Times New Roman" w:hAnsi="Times New Roman" w:eastAsia="宋体" w:cs="Times New Roman"/>
          <w:color w:val="auto"/>
          <w:spacing w:val="3"/>
          <w:sz w:val="24"/>
          <w:szCs w:val="24"/>
        </w:rPr>
        <w:t>万元，至项目竣工环</w:t>
      </w:r>
      <w:r>
        <w:rPr>
          <w:rFonts w:hint="default" w:ascii="Times New Roman" w:hAnsi="Times New Roman" w:eastAsia="宋体" w:cs="Times New Roman"/>
          <w:color w:val="auto"/>
          <w:spacing w:val="2"/>
          <w:sz w:val="24"/>
          <w:szCs w:val="24"/>
        </w:rPr>
        <w:t>保验收监测期间，每日约</w:t>
      </w:r>
      <w:r>
        <w:rPr>
          <w:rFonts w:hint="eastAsia" w:eastAsia="宋体" w:cs="Times New Roman"/>
          <w:color w:val="auto"/>
          <w:spacing w:val="2"/>
          <w:sz w:val="24"/>
          <w:szCs w:val="24"/>
          <w:lang w:val="en-US" w:eastAsia="zh-CN"/>
        </w:rPr>
        <w:t>0.5</w:t>
      </w:r>
      <w:r>
        <w:rPr>
          <w:rFonts w:hint="default" w:ascii="Times New Roman" w:hAnsi="Times New Roman" w:eastAsia="Times New Roman" w:cs="Times New Roman"/>
          <w:color w:val="auto"/>
          <w:spacing w:val="2"/>
          <w:sz w:val="24"/>
          <w:szCs w:val="24"/>
        </w:rPr>
        <w:t>t</w:t>
      </w:r>
      <w:r>
        <w:rPr>
          <w:rFonts w:hint="default" w:ascii="Times New Roman" w:hAnsi="Times New Roman" w:eastAsia="宋体" w:cs="Times New Roman"/>
          <w:color w:val="auto"/>
          <w:spacing w:val="2"/>
          <w:sz w:val="24"/>
          <w:szCs w:val="24"/>
        </w:rPr>
        <w:t>生活垃圾进场填埋。</w:t>
      </w:r>
    </w:p>
    <w:p>
      <w:pPr>
        <w:bidi w:val="0"/>
        <w:rPr>
          <w:rFonts w:ascii="宋体" w:hAnsi="宋体" w:eastAsia="宋体" w:cs="宋体"/>
          <w:sz w:val="24"/>
          <w:szCs w:val="24"/>
        </w:rPr>
      </w:pPr>
      <w:r>
        <w:rPr>
          <w:rFonts w:ascii="宋体" w:hAnsi="宋体" w:eastAsia="宋体" w:cs="宋体"/>
          <w:spacing w:val="-3"/>
          <w:sz w:val="24"/>
          <w:szCs w:val="24"/>
        </w:rPr>
        <w:t>（</w:t>
      </w:r>
      <w:r>
        <w:rPr>
          <w:rFonts w:ascii="Times New Roman" w:hAnsi="Times New Roman" w:eastAsia="Times New Roman" w:cs="Times New Roman"/>
          <w:spacing w:val="-3"/>
          <w:sz w:val="24"/>
          <w:szCs w:val="24"/>
        </w:rPr>
        <w:t>1</w:t>
      </w:r>
      <w:r>
        <w:rPr>
          <w:rFonts w:ascii="宋体" w:hAnsi="宋体" w:eastAsia="宋体" w:cs="宋体"/>
          <w:spacing w:val="-3"/>
          <w:sz w:val="24"/>
          <w:szCs w:val="24"/>
        </w:rPr>
        <w:t>）本项目主要建设内容见表</w:t>
      </w:r>
      <w:r>
        <w:rPr>
          <w:rFonts w:ascii="Times New Roman" w:hAnsi="Times New Roman" w:eastAsia="Times New Roman" w:cs="Times New Roman"/>
          <w:spacing w:val="-3"/>
          <w:sz w:val="24"/>
          <w:szCs w:val="24"/>
        </w:rPr>
        <w:t>3-1</w:t>
      </w:r>
      <w:r>
        <w:rPr>
          <w:rFonts w:ascii="宋体" w:hAnsi="宋体" w:eastAsia="宋体" w:cs="宋体"/>
          <w:spacing w:val="-3"/>
          <w:sz w:val="24"/>
          <w:szCs w:val="24"/>
        </w:rPr>
        <w:t>。</w:t>
      </w:r>
    </w:p>
    <w:p>
      <w:pPr>
        <w:bidi w:val="0"/>
        <w:ind w:left="0" w:leftChars="0" w:firstLine="0" w:firstLineChars="0"/>
        <w:jc w:val="center"/>
        <w:rPr>
          <w:rFonts w:ascii="宋体" w:hAnsi="宋体" w:eastAsia="宋体" w:cs="宋体"/>
          <w:sz w:val="24"/>
          <w:szCs w:val="24"/>
        </w:rPr>
      </w:pPr>
      <w:r>
        <w:rPr>
          <w:rFonts w:ascii="宋体" w:hAnsi="宋体" w:eastAsia="宋体" w:cs="宋体"/>
          <w:sz w:val="24"/>
          <w:szCs w:val="24"/>
          <w14:textOutline w14:w="4356" w14:cap="sq" w14:cmpd="sng">
            <w14:solidFill>
              <w14:srgbClr w14:val="000000"/>
            </w14:solidFill>
            <w14:prstDash w14:val="solid"/>
            <w14:bevel/>
          </w14:textOutline>
        </w:rPr>
        <w:t>表</w:t>
      </w:r>
      <w:r>
        <w:rPr>
          <w:rFonts w:ascii="Times New Roman" w:hAnsi="Times New Roman" w:eastAsia="Times New Roman" w:cs="Times New Roman"/>
          <w:b/>
          <w:bCs/>
          <w:sz w:val="24"/>
          <w:szCs w:val="24"/>
        </w:rPr>
        <w:t xml:space="preserve">3-1    </w:t>
      </w:r>
      <w:r>
        <w:rPr>
          <w:rFonts w:ascii="宋体" w:hAnsi="宋体" w:eastAsia="宋体" w:cs="宋体"/>
          <w:sz w:val="24"/>
          <w:szCs w:val="24"/>
          <w14:textOutline w14:w="4356" w14:cap="sq" w14:cmpd="sng">
            <w14:solidFill>
              <w14:srgbClr w14:val="000000"/>
            </w14:solidFill>
            <w14:prstDash w14:val="solid"/>
            <w14:bevel/>
          </w14:textOutline>
        </w:rPr>
        <w:t>项目主要建设内容一览表</w:t>
      </w:r>
    </w:p>
    <w:p>
      <w:pPr>
        <w:spacing w:line="74" w:lineRule="auto"/>
        <w:rPr>
          <w:rFonts w:ascii="Arial"/>
          <w:sz w:val="2"/>
        </w:rPr>
      </w:pPr>
    </w:p>
    <w:tbl>
      <w:tblPr>
        <w:tblStyle w:val="10"/>
        <w:tblW w:w="861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90"/>
        <w:gridCol w:w="1056"/>
        <w:gridCol w:w="2945"/>
        <w:gridCol w:w="3121"/>
        <w:gridCol w:w="100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9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类别</w:t>
            </w:r>
          </w:p>
        </w:tc>
        <w:tc>
          <w:tcPr>
            <w:tcW w:w="105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建设名称</w:t>
            </w:r>
          </w:p>
        </w:tc>
        <w:tc>
          <w:tcPr>
            <w:tcW w:w="29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环评阶段</w:t>
            </w:r>
            <w:r>
              <w:rPr>
                <w:rFonts w:hint="default" w:ascii="Times New Roman" w:hAnsi="Times New Roman" w:eastAsia="宋体" w:cs="Times New Roman"/>
                <w:b/>
                <w:bCs/>
                <w:sz w:val="21"/>
                <w:szCs w:val="21"/>
              </w:rPr>
              <w:t>建设内容</w:t>
            </w:r>
          </w:p>
        </w:tc>
        <w:tc>
          <w:tcPr>
            <w:tcW w:w="312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实际建设内容</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变更情况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490"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主体工程</w:t>
            </w:r>
          </w:p>
        </w:tc>
        <w:tc>
          <w:tcPr>
            <w:tcW w:w="105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底库及边坡处理</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去除有可能损伤HDPE膜的所有杂草、草木根茎、腐殖土、碎玻璃等杂物</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实际建设过程中，去除了表面杂草</w:t>
            </w:r>
            <w:r>
              <w:rPr>
                <w:rFonts w:hint="eastAsia" w:ascii="Times New Roman" w:hAnsi="Times New Roman" w:eastAsia="宋体" w:cs="Times New Roman"/>
                <w:sz w:val="21"/>
                <w:szCs w:val="21"/>
                <w:lang w:val="en-US" w:eastAsia="zh-CN"/>
              </w:rPr>
              <w:t>、草木根茎、腐殖土、碎玻璃等杂物，根据施工资料，铺设HDPE膜的过程中未发生损伤情况</w:t>
            </w:r>
          </w:p>
        </w:tc>
        <w:tc>
          <w:tcPr>
            <w:tcW w:w="100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490" w:type="dxa"/>
            <w:vMerge w:val="continue"/>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pPr>
          </w:p>
        </w:tc>
        <w:tc>
          <w:tcPr>
            <w:tcW w:w="105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填埋库区</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lang w:val="en-US" w:eastAsia="zh-CN"/>
              </w:rPr>
              <w:t>库区坡面开挖坡度为1:1.5，库区底部横坡为2%，填埋区容积为1万m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vertAlign w:val="baseline"/>
                <w:lang w:val="en-US" w:eastAsia="zh-CN"/>
              </w:rPr>
              <w:t>，垃圾填埋区内设置阀门井，面积1.69m</w:t>
            </w:r>
            <w:r>
              <w:rPr>
                <w:rFonts w:hint="eastAsia" w:ascii="Times New Roman" w:hAnsi="Times New Roman" w:eastAsia="宋体" w:cs="Times New Roman"/>
                <w:sz w:val="21"/>
                <w:szCs w:val="21"/>
                <w:vertAlign w:val="superscript"/>
                <w:lang w:val="en-US" w:eastAsia="zh-CN"/>
              </w:rPr>
              <w:t>2</w:t>
            </w:r>
            <w:r>
              <w:rPr>
                <w:rFonts w:hint="eastAsia" w:ascii="Times New Roman" w:hAnsi="Times New Roman" w:eastAsia="宋体" w:cs="Times New Roman"/>
                <w:sz w:val="21"/>
                <w:szCs w:val="21"/>
                <w:vertAlign w:val="baseline"/>
                <w:lang w:val="en-US" w:eastAsia="zh-CN"/>
              </w:rPr>
              <w:t>。平均填埋生活垃圾1.5t/d，平均填埋高度5m，规划使用年限为10年</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b/>
                <w:bCs/>
                <w:sz w:val="21"/>
                <w:szCs w:val="21"/>
                <w:lang w:eastAsia="zh-CN"/>
              </w:rPr>
            </w:pPr>
            <w:r>
              <w:rPr>
                <w:rFonts w:hint="eastAsia" w:ascii="Times New Roman" w:hAnsi="Times New Roman" w:eastAsia="宋体" w:cs="Times New Roman"/>
                <w:color w:val="000000"/>
                <w:kern w:val="0"/>
                <w:sz w:val="21"/>
                <w:szCs w:val="21"/>
                <w:lang w:val="en-US" w:eastAsia="zh-CN" w:bidi="ar"/>
              </w:rPr>
              <w:t>实际建设过程中，</w:t>
            </w:r>
            <w:r>
              <w:rPr>
                <w:rFonts w:hint="eastAsia" w:ascii="Times New Roman" w:hAnsi="Times New Roman" w:eastAsia="宋体" w:cs="Times New Roman"/>
                <w:sz w:val="21"/>
                <w:szCs w:val="21"/>
                <w:lang w:val="en-US" w:eastAsia="zh-CN"/>
              </w:rPr>
              <w:t>填埋库区坡面开挖坡度为1:1.5，库区底部横坡为2%，填埋区容积为1万m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vertAlign w:val="baseline"/>
                <w:lang w:val="en-US" w:eastAsia="zh-CN"/>
              </w:rPr>
              <w:t>，垃圾填埋区内设置阀门井，面积1.69m</w:t>
            </w:r>
            <w:r>
              <w:rPr>
                <w:rFonts w:hint="eastAsia" w:ascii="Times New Roman" w:hAnsi="Times New Roman" w:eastAsia="宋体" w:cs="Times New Roman"/>
                <w:sz w:val="21"/>
                <w:szCs w:val="21"/>
                <w:vertAlign w:val="superscript"/>
                <w:lang w:val="en-US" w:eastAsia="zh-CN"/>
              </w:rPr>
              <w:t>2</w:t>
            </w:r>
            <w:r>
              <w:rPr>
                <w:rFonts w:hint="eastAsia" w:ascii="Times New Roman" w:hAnsi="Times New Roman" w:eastAsia="宋体" w:cs="Times New Roman"/>
                <w:sz w:val="21"/>
                <w:szCs w:val="21"/>
                <w:vertAlign w:val="baseline"/>
                <w:lang w:val="en-US" w:eastAsia="zh-CN"/>
              </w:rPr>
              <w:t>。平均填埋生活垃圾1.5t/d，平均填埋高度5m，规划使用年限为10年</w:t>
            </w:r>
          </w:p>
        </w:tc>
        <w:tc>
          <w:tcPr>
            <w:tcW w:w="100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490" w:type="dxa"/>
            <w:vMerge w:val="continue"/>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eastAsia="zh-CN"/>
              </w:rPr>
            </w:pPr>
          </w:p>
        </w:tc>
        <w:tc>
          <w:tcPr>
            <w:tcW w:w="105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防渗系统</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场地基础处理夯实，铺设1.5mmHDPE防渗膜5810m</w:t>
            </w:r>
            <w:r>
              <w:rPr>
                <w:rFonts w:hint="eastAsia" w:ascii="Times New Roman" w:hAnsi="Times New Roman" w:eastAsia="宋体" w:cs="Times New Roman"/>
                <w:sz w:val="21"/>
                <w:szCs w:val="21"/>
                <w:vertAlign w:val="superscript"/>
                <w:lang w:val="en-US" w:eastAsia="zh-CN"/>
              </w:rPr>
              <w:t>2</w:t>
            </w:r>
            <w:r>
              <w:rPr>
                <w:rFonts w:hint="eastAsia" w:ascii="Times New Roman" w:hAnsi="Times New Roman" w:eastAsia="宋体" w:cs="Times New Roman"/>
                <w:sz w:val="21"/>
                <w:szCs w:val="21"/>
                <w:lang w:val="en-US" w:eastAsia="zh-CN"/>
              </w:rPr>
              <w:t>、400kg/m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土工布1676m</w:t>
            </w:r>
            <w:r>
              <w:rPr>
                <w:rFonts w:hint="eastAsia" w:ascii="Times New Roman" w:hAnsi="Times New Roman" w:eastAsia="宋体" w:cs="Times New Roman"/>
                <w:sz w:val="21"/>
                <w:szCs w:val="21"/>
                <w:vertAlign w:val="superscript"/>
                <w:lang w:val="en-US" w:eastAsia="zh-CN"/>
              </w:rPr>
              <w:t>2</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color w:val="000000"/>
                <w:kern w:val="0"/>
                <w:sz w:val="21"/>
                <w:szCs w:val="21"/>
                <w:lang w:val="en-US" w:eastAsia="zh-CN" w:bidi="ar"/>
              </w:rPr>
              <w:t>实际建设过程中，防渗系统首先进行了</w:t>
            </w:r>
            <w:r>
              <w:rPr>
                <w:rFonts w:hint="eastAsia" w:ascii="Times New Roman" w:hAnsi="Times New Roman" w:eastAsia="宋体" w:cs="Times New Roman"/>
                <w:sz w:val="21"/>
                <w:szCs w:val="21"/>
                <w:lang w:val="en-US" w:eastAsia="zh-CN"/>
              </w:rPr>
              <w:t>场地基础处理夯实，后铺设了1.5mmHDPE防渗膜5810m</w:t>
            </w:r>
            <w:r>
              <w:rPr>
                <w:rFonts w:hint="eastAsia" w:ascii="Times New Roman" w:hAnsi="Times New Roman" w:eastAsia="宋体" w:cs="Times New Roman"/>
                <w:sz w:val="21"/>
                <w:szCs w:val="21"/>
                <w:vertAlign w:val="superscript"/>
                <w:lang w:val="en-US" w:eastAsia="zh-CN"/>
              </w:rPr>
              <w:t>2</w:t>
            </w:r>
            <w:r>
              <w:rPr>
                <w:rFonts w:hint="eastAsia" w:ascii="Times New Roman" w:hAnsi="Times New Roman" w:eastAsia="宋体" w:cs="Times New Roman"/>
                <w:sz w:val="21"/>
                <w:szCs w:val="21"/>
                <w:lang w:val="en-US" w:eastAsia="zh-CN"/>
              </w:rPr>
              <w:t>和400kg/m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土工布1676m</w:t>
            </w:r>
            <w:r>
              <w:rPr>
                <w:rFonts w:hint="eastAsia" w:ascii="Times New Roman" w:hAnsi="Times New Roman" w:eastAsia="宋体" w:cs="Times New Roman"/>
                <w:sz w:val="21"/>
                <w:szCs w:val="21"/>
                <w:vertAlign w:val="superscript"/>
                <w:lang w:val="en-US" w:eastAsia="zh-CN"/>
              </w:rPr>
              <w:t>2</w:t>
            </w:r>
          </w:p>
        </w:tc>
        <w:tc>
          <w:tcPr>
            <w:tcW w:w="100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68" w:hRule="atLeast"/>
          <w:jc w:val="center"/>
        </w:trPr>
        <w:tc>
          <w:tcPr>
            <w:tcW w:w="490" w:type="dxa"/>
            <w:vMerge w:val="continue"/>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eastAsia="zh-CN"/>
              </w:rPr>
            </w:pPr>
          </w:p>
        </w:tc>
        <w:tc>
          <w:tcPr>
            <w:tcW w:w="105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渗滤液系统</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渗滤液收集池规格长4.m，宽4.8m，深3m，收集池容积约为70m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，潜水泵组一套，潜水泵流量18m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vertAlign w:val="baseline"/>
                <w:lang w:val="en-US" w:eastAsia="zh-CN"/>
              </w:rPr>
              <w:t>/</w:t>
            </w:r>
            <w:r>
              <w:rPr>
                <w:rFonts w:hint="eastAsia" w:ascii="Times New Roman" w:hAnsi="Times New Roman" w:eastAsia="宋体" w:cs="Times New Roman"/>
                <w:sz w:val="21"/>
                <w:szCs w:val="21"/>
                <w:lang w:val="en-US" w:eastAsia="zh-CN"/>
              </w:rPr>
              <w:t>h，功率1.5kw，扬程15m</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lang w:val="en-US" w:eastAsia="zh-CN"/>
              </w:rPr>
              <w:t>建设了一座长4.m，宽4.8m，深3m渗滤液收集池，其有效容积为70m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vertAlign w:val="baseline"/>
                <w:lang w:val="en-US" w:eastAsia="zh-CN"/>
              </w:rPr>
              <w:t>，</w:t>
            </w:r>
            <w:r>
              <w:rPr>
                <w:rFonts w:hint="eastAsia" w:ascii="Times New Roman" w:hAnsi="Times New Roman" w:eastAsia="宋体" w:cs="Times New Roman"/>
                <w:sz w:val="21"/>
                <w:szCs w:val="21"/>
                <w:lang w:val="en-US" w:eastAsia="zh-CN"/>
              </w:rPr>
              <w:t>潜水泵组一套，潜水泵流量18m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vertAlign w:val="baseline"/>
                <w:lang w:val="en-US" w:eastAsia="zh-CN"/>
              </w:rPr>
              <w:t>/</w:t>
            </w:r>
            <w:r>
              <w:rPr>
                <w:rFonts w:hint="eastAsia" w:ascii="Times New Roman" w:hAnsi="Times New Roman" w:eastAsia="宋体" w:cs="Times New Roman"/>
                <w:sz w:val="21"/>
                <w:szCs w:val="21"/>
                <w:lang w:val="en-US" w:eastAsia="zh-CN"/>
              </w:rPr>
              <w:t>h，功率1.5kw，扬程15m</w:t>
            </w:r>
          </w:p>
        </w:tc>
        <w:tc>
          <w:tcPr>
            <w:tcW w:w="100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57" w:hRule="atLeast"/>
          <w:jc w:val="center"/>
        </w:trPr>
        <w:tc>
          <w:tcPr>
            <w:tcW w:w="490" w:type="dxa"/>
            <w:vMerge w:val="continue"/>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eastAsia="zh-CN"/>
              </w:rPr>
            </w:pPr>
          </w:p>
        </w:tc>
        <w:tc>
          <w:tcPr>
            <w:tcW w:w="105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气体导排系统</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垂直导排管间距不大于50m，为C15无砂碎石混凝土浇筑的水泥管，水泥管内径为600mm，壁厚70，每段长度0.5m</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垂直导排管间距约40m，为C15无砂碎石混凝土浇筑的水泥管，水泥管内径为600mm，壁厚70，每段长度0.5m</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490" w:type="dxa"/>
            <w:vMerge w:val="continue"/>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eastAsia="zh-CN"/>
              </w:rPr>
            </w:pPr>
          </w:p>
        </w:tc>
        <w:tc>
          <w:tcPr>
            <w:tcW w:w="105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防洪排水系统</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北侧截洪沟：渠总长42m，边坡用浆砌石护坡，渠底铺10cm厚素混凝土</w:t>
            </w:r>
          </w:p>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南侧截洪坡：渠总长63m，边坡用浆砌石护坡，渠底铺10cm厚素混凝土</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北侧截洪沟设置渠总长42m，边坡使用了浆砌石护坡，渠底铺设了10cm厚素混凝土</w:t>
            </w:r>
          </w:p>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南侧截洪坡设置渠总长63m，边坡使用了浆砌石护坡，渠底铺设了10cm厚素混凝土</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0" w:type="dxa"/>
            <w:vMerge w:val="restart"/>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b/>
                <w:bCs/>
                <w:sz w:val="21"/>
                <w:szCs w:val="21"/>
                <w:lang w:val="en-US" w:eastAsia="zh-CN"/>
              </w:rPr>
              <w:t>辅助工程</w:t>
            </w:r>
          </w:p>
        </w:tc>
        <w:tc>
          <w:tcPr>
            <w:tcW w:w="105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环卫设施</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项目配套1辆简易自卸式收集车</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本项目购置了1辆简易自卸式收集车</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0" w:type="dxa"/>
            <w:vMerge w:val="continue"/>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eastAsia" w:ascii="Times New Roman" w:hAnsi="Times New Roman" w:eastAsia="宋体" w:cs="Times New Roman"/>
                <w:b/>
                <w:bCs/>
                <w:sz w:val="21"/>
                <w:szCs w:val="21"/>
                <w:lang w:val="en-US" w:eastAsia="zh-CN"/>
              </w:rPr>
            </w:pPr>
          </w:p>
        </w:tc>
        <w:tc>
          <w:tcPr>
            <w:tcW w:w="105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道路</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本项目厂区现状为未利用地，进场道路为泥结碎石道路，道路长194m</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经现场勘察，项目厂区现状为未利用地，进场道路为泥结碎石道路，道路长194m</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490" w:type="dxa"/>
            <w:vMerge w:val="continue"/>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eastAsia" w:ascii="Times New Roman" w:hAnsi="Times New Roman" w:eastAsia="宋体" w:cs="Times New Roman"/>
                <w:b/>
                <w:bCs/>
                <w:sz w:val="21"/>
                <w:szCs w:val="21"/>
                <w:lang w:val="en-US" w:eastAsia="zh-CN"/>
              </w:rPr>
            </w:pPr>
          </w:p>
        </w:tc>
        <w:tc>
          <w:tcPr>
            <w:tcW w:w="1056"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垃圾场围栏</w:t>
            </w:r>
          </w:p>
        </w:tc>
        <w:tc>
          <w:tcPr>
            <w:tcW w:w="2945"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垃圾场四周设围栏250m，高度为3m，并设置警示标志，再网围栏外设10m看的隔离带进行隔离</w:t>
            </w:r>
          </w:p>
        </w:tc>
        <w:tc>
          <w:tcPr>
            <w:tcW w:w="3121" w:type="dxa"/>
            <w:noWrap w:val="0"/>
            <w:vAlign w:val="center"/>
          </w:tcPr>
          <w:p>
            <w:pPr>
              <w:pStyle w:val="14"/>
              <w:keepNext w:val="0"/>
              <w:keepLines w:val="0"/>
              <w:pageBreakBefore w:val="0"/>
              <w:widowControl/>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根据现场查看，垃圾场四周设置了绿色围栏约250m，并设置警示标志</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0"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105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给水</w:t>
            </w:r>
          </w:p>
        </w:tc>
        <w:tc>
          <w:tcPr>
            <w:tcW w:w="29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生活用水采用桶装水</w:t>
            </w:r>
          </w:p>
        </w:tc>
        <w:tc>
          <w:tcPr>
            <w:tcW w:w="312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工作人员生活用水采用桶装水</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0"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p>
        </w:tc>
        <w:tc>
          <w:tcPr>
            <w:tcW w:w="105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w:t>
            </w:r>
          </w:p>
        </w:tc>
        <w:tc>
          <w:tcPr>
            <w:tcW w:w="29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厂区供电从附近的变电站接入</w:t>
            </w:r>
          </w:p>
        </w:tc>
        <w:tc>
          <w:tcPr>
            <w:tcW w:w="312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厂区供电从附近的变电站接入</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与环评阶段一致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490"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环保工程</w:t>
            </w:r>
          </w:p>
        </w:tc>
        <w:tc>
          <w:tcPr>
            <w:tcW w:w="105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废气</w:t>
            </w:r>
          </w:p>
        </w:tc>
        <w:tc>
          <w:tcPr>
            <w:tcW w:w="29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c>
          <w:tcPr>
            <w:tcW w:w="312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填埋气体：通过垂直导排管将其有组织地引排出垃圾堆体</w:t>
            </w:r>
            <w:r>
              <w:rPr>
                <w:rFonts w:hint="eastAsia" w:cs="Times New Roman"/>
                <w:color w:val="000000" w:themeColor="text1"/>
                <w:sz w:val="21"/>
                <w:szCs w:val="21"/>
                <w:lang w:val="en-US"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恶臭：每次倾倒垃圾后及时覆土压实</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垃圾填埋区定期喷洒除臭药物，夏季适当增加喷洒次数</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渗滤液收集池顶部加盖密封</w:t>
            </w:r>
            <w:r>
              <w:rPr>
                <w:rFonts w:hint="eastAsia" w:cs="Times New Roman"/>
                <w:color w:val="000000" w:themeColor="text1"/>
                <w:sz w:val="21"/>
                <w:szCs w:val="21"/>
                <w:lang w:val="en-US"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扬尘：垃圾填埋场和取土场定期洒水；采用了集装箱密封垃圾转运车；作业区四周设置了网围栏</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0"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p>
        </w:tc>
        <w:tc>
          <w:tcPr>
            <w:tcW w:w="105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废水</w:t>
            </w:r>
          </w:p>
        </w:tc>
        <w:tc>
          <w:tcPr>
            <w:tcW w:w="29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c>
          <w:tcPr>
            <w:tcW w:w="312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生活污水为职工简单洗漱废水，直接泼洒降尘</w:t>
            </w:r>
            <w:r>
              <w:rPr>
                <w:rFonts w:hint="eastAsia" w:cs="Times New Roman"/>
                <w:color w:val="000000" w:themeColor="text1"/>
                <w:sz w:val="21"/>
                <w:szCs w:val="21"/>
                <w:lang w:val="en-US" w:eastAsia="zh-CN"/>
                <w14:textFill>
                  <w14:solidFill>
                    <w14:schemeClr w14:val="tx1"/>
                  </w14:solidFill>
                </w14:textFill>
              </w:rPr>
              <w:t>；渗滤液经渗滤液调节池收集后直接回灌蒸发处理，如渗滤液调节池不能全部回灌时拉至污水厂处理</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0"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p>
        </w:tc>
        <w:tc>
          <w:tcPr>
            <w:tcW w:w="105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噪声</w:t>
            </w:r>
          </w:p>
        </w:tc>
        <w:tc>
          <w:tcPr>
            <w:tcW w:w="29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c>
          <w:tcPr>
            <w:tcW w:w="312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油发电机和水泵、采用墙体隔声、基础减振等措施后对周围环境影响较小</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90"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p>
        </w:tc>
        <w:tc>
          <w:tcPr>
            <w:tcW w:w="105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固体废物</w:t>
            </w:r>
          </w:p>
        </w:tc>
        <w:tc>
          <w:tcPr>
            <w:tcW w:w="29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c>
          <w:tcPr>
            <w:tcW w:w="312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生</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活垃圾设分类垃圾收集箱，收集后在垃圾填埋场进行填埋；渗滤液调节池产生的污泥淸掏之后在垃圾填埋场进行填埋</w:t>
            </w:r>
          </w:p>
        </w:tc>
        <w:tc>
          <w:tcPr>
            <w:tcW w:w="1006"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8618" w:type="dxa"/>
            <w:gridSpan w:val="5"/>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FF0000"/>
                <w:kern w:val="0"/>
                <w:sz w:val="21"/>
                <w:szCs w:val="21"/>
                <w:lang w:val="en-US" w:eastAsia="zh-CN" w:bidi="ar"/>
              </w:rPr>
            </w:pPr>
            <w:r>
              <w:rPr>
                <w:rFonts w:hint="eastAsia" w:cs="Times New Roman"/>
                <w:color w:val="000000" w:themeColor="text1"/>
                <w:kern w:val="0"/>
                <w:sz w:val="21"/>
                <w:szCs w:val="21"/>
                <w:lang w:val="en-US" w:eastAsia="zh-CN" w:bidi="ar"/>
                <w14:textFill>
                  <w14:solidFill>
                    <w14:schemeClr w14:val="tx1"/>
                  </w14:solidFill>
                </w14:textFill>
              </w:rPr>
              <w:t>注：本项目环评报告书中未提及环保工程</w:t>
            </w:r>
          </w:p>
        </w:tc>
      </w:tr>
    </w:tbl>
    <w:p>
      <w:pPr>
        <w:bidi w:val="0"/>
        <w:spacing w:line="360" w:lineRule="auto"/>
        <w:rPr>
          <w:rFonts w:hint="eastAsia"/>
          <w:lang w:val="en-US" w:eastAsia="zh-CN"/>
        </w:rPr>
      </w:pPr>
      <w:r>
        <w:rPr>
          <w:rFonts w:hint="eastAsia"/>
          <w:lang w:val="en-US" w:eastAsia="zh-CN"/>
        </w:rPr>
        <w:t>项目现状图详见下图。</w:t>
      </w:r>
    </w:p>
    <w:p>
      <w:pPr>
        <w:bidi w:val="0"/>
        <w:spacing w:line="360" w:lineRule="auto"/>
      </w:pPr>
      <w:r>
        <w:t>（2）主要设备清单</w:t>
      </w:r>
    </w:p>
    <w:p>
      <w:pPr>
        <w:spacing w:before="161" w:line="360" w:lineRule="auto"/>
        <w:ind w:left="3225"/>
        <w:rPr>
          <w:rFonts w:ascii="宋体" w:hAnsi="宋体" w:eastAsia="宋体" w:cs="宋体"/>
          <w:sz w:val="24"/>
          <w:szCs w:val="24"/>
        </w:rPr>
      </w:pPr>
      <w:r>
        <w:rPr>
          <w:rFonts w:ascii="宋体" w:hAnsi="宋体" w:eastAsia="宋体" w:cs="宋体"/>
          <w:spacing w:val="-1"/>
          <w:sz w:val="24"/>
          <w:szCs w:val="24"/>
          <w14:textOutline w14:w="4358" w14:cap="sq" w14:cmpd="sng">
            <w14:solidFill>
              <w14:srgbClr w14:val="000000"/>
            </w14:solidFill>
            <w14:prstDash w14:val="solid"/>
            <w14:bevel/>
          </w14:textOutline>
        </w:rPr>
        <w:t>表</w:t>
      </w:r>
      <w:r>
        <w:rPr>
          <w:rFonts w:ascii="Times New Roman" w:hAnsi="Times New Roman" w:eastAsia="Times New Roman" w:cs="Times New Roman"/>
          <w:b/>
          <w:bCs/>
          <w:spacing w:val="-1"/>
          <w:sz w:val="24"/>
          <w:szCs w:val="24"/>
        </w:rPr>
        <w:t>3-</w:t>
      </w:r>
      <w:r>
        <w:rPr>
          <w:rFonts w:hint="eastAsia" w:cs="Times New Roman"/>
          <w:b/>
          <w:bCs/>
          <w:spacing w:val="-1"/>
          <w:sz w:val="24"/>
          <w:szCs w:val="24"/>
          <w:lang w:val="en-US" w:eastAsia="zh-CN"/>
        </w:rPr>
        <w:t xml:space="preserve">2   </w:t>
      </w:r>
      <w:r>
        <w:rPr>
          <w:rFonts w:ascii="宋体" w:hAnsi="宋体" w:eastAsia="宋体" w:cs="宋体"/>
          <w:spacing w:val="-1"/>
          <w:sz w:val="24"/>
          <w:szCs w:val="24"/>
          <w14:textOutline w14:w="4358" w14:cap="sq" w14:cmpd="sng">
            <w14:solidFill>
              <w14:srgbClr w14:val="000000"/>
            </w14:solidFill>
            <w14:prstDash w14:val="solid"/>
            <w14:bevel/>
          </w14:textOutline>
        </w:rPr>
        <w:t>主要生产设备一览表</w:t>
      </w:r>
    </w:p>
    <w:p>
      <w:pPr>
        <w:spacing w:line="71" w:lineRule="auto"/>
        <w:rPr>
          <w:rFonts w:ascii="Arial"/>
          <w:sz w:val="2"/>
        </w:rPr>
      </w:pPr>
    </w:p>
    <w:tbl>
      <w:tblPr>
        <w:tblStyle w:val="13"/>
        <w:tblW w:w="843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418"/>
        <w:gridCol w:w="2155"/>
        <w:gridCol w:w="1714"/>
        <w:gridCol w:w="1553"/>
        <w:gridCol w:w="1597"/>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32" w:hRule="atLeast"/>
          <w:jc w:val="center"/>
        </w:trPr>
        <w:tc>
          <w:tcPr>
            <w:tcW w:w="141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b/>
                <w:bCs/>
                <w:sz w:val="21"/>
                <w:szCs w:val="21"/>
              </w:rPr>
            </w:pPr>
            <w:r>
              <w:rPr>
                <w:rFonts w:ascii="宋体" w:hAnsi="宋体" w:eastAsia="宋体" w:cs="宋体"/>
                <w:b/>
                <w:bCs/>
                <w:spacing w:val="6"/>
                <w:sz w:val="21"/>
                <w:szCs w:val="21"/>
              </w:rPr>
              <w:t>工程系统</w:t>
            </w:r>
          </w:p>
        </w:tc>
        <w:tc>
          <w:tcPr>
            <w:tcW w:w="215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b/>
                <w:bCs/>
                <w:sz w:val="21"/>
                <w:szCs w:val="21"/>
              </w:rPr>
            </w:pPr>
            <w:r>
              <w:rPr>
                <w:rFonts w:ascii="宋体" w:hAnsi="宋体" w:eastAsia="宋体" w:cs="宋体"/>
                <w:b/>
                <w:bCs/>
                <w:spacing w:val="6"/>
                <w:sz w:val="21"/>
                <w:szCs w:val="21"/>
              </w:rPr>
              <w:t>设备名称</w:t>
            </w:r>
          </w:p>
        </w:tc>
        <w:tc>
          <w:tcPr>
            <w:tcW w:w="171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b/>
                <w:bCs/>
                <w:sz w:val="21"/>
                <w:szCs w:val="21"/>
              </w:rPr>
            </w:pPr>
            <w:r>
              <w:rPr>
                <w:rFonts w:ascii="宋体" w:hAnsi="宋体" w:eastAsia="宋体" w:cs="宋体"/>
                <w:b/>
                <w:bCs/>
                <w:spacing w:val="3"/>
                <w:sz w:val="21"/>
                <w:szCs w:val="21"/>
              </w:rPr>
              <w:t>单位</w:t>
            </w:r>
          </w:p>
        </w:tc>
        <w:tc>
          <w:tcPr>
            <w:tcW w:w="155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b/>
                <w:bCs/>
                <w:sz w:val="21"/>
                <w:szCs w:val="21"/>
              </w:rPr>
            </w:pPr>
            <w:r>
              <w:rPr>
                <w:rFonts w:ascii="宋体" w:hAnsi="宋体" w:eastAsia="宋体" w:cs="宋体"/>
                <w:b/>
                <w:bCs/>
                <w:spacing w:val="3"/>
                <w:sz w:val="21"/>
                <w:szCs w:val="21"/>
              </w:rPr>
              <w:t>数量</w:t>
            </w:r>
          </w:p>
        </w:tc>
        <w:tc>
          <w:tcPr>
            <w:tcW w:w="159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b/>
                <w:bCs/>
                <w:sz w:val="21"/>
                <w:szCs w:val="21"/>
              </w:rPr>
            </w:pPr>
            <w:r>
              <w:rPr>
                <w:rFonts w:ascii="宋体" w:hAnsi="宋体" w:eastAsia="宋体" w:cs="宋体"/>
                <w:b/>
                <w:bCs/>
                <w:spacing w:val="2"/>
                <w:sz w:val="21"/>
                <w:szCs w:val="21"/>
              </w:rPr>
              <w:t>实际</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1418"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sz w:val="21"/>
                <w:szCs w:val="21"/>
              </w:rPr>
            </w:pPr>
            <w:r>
              <w:rPr>
                <w:rFonts w:ascii="宋体" w:hAnsi="宋体" w:eastAsia="宋体" w:cs="宋体"/>
                <w:spacing w:val="6"/>
                <w:sz w:val="21"/>
                <w:szCs w:val="21"/>
              </w:rPr>
              <w:t>垃圾填埋</w:t>
            </w:r>
            <w:r>
              <w:rPr>
                <w:rFonts w:ascii="宋体" w:hAnsi="宋体" w:eastAsia="宋体" w:cs="宋体"/>
                <w:spacing w:val="1"/>
                <w:sz w:val="21"/>
                <w:szCs w:val="21"/>
              </w:rPr>
              <w:t>场</w:t>
            </w:r>
          </w:p>
        </w:tc>
        <w:tc>
          <w:tcPr>
            <w:tcW w:w="215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sz w:val="21"/>
                <w:szCs w:val="21"/>
              </w:rPr>
            </w:pPr>
            <w:r>
              <w:rPr>
                <w:rFonts w:ascii="宋体" w:hAnsi="宋体" w:eastAsia="宋体" w:cs="宋体"/>
                <w:spacing w:val="6"/>
                <w:sz w:val="21"/>
                <w:szCs w:val="21"/>
              </w:rPr>
              <w:t>装载机</w:t>
            </w:r>
          </w:p>
        </w:tc>
        <w:tc>
          <w:tcPr>
            <w:tcW w:w="171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辆</w:t>
            </w:r>
          </w:p>
        </w:tc>
        <w:tc>
          <w:tcPr>
            <w:tcW w:w="155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59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rightChars="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1418"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sz w:val="21"/>
                <w:szCs w:val="21"/>
              </w:rPr>
            </w:pPr>
          </w:p>
        </w:tc>
        <w:tc>
          <w:tcPr>
            <w:tcW w:w="215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灭蝇药罐</w:t>
            </w:r>
          </w:p>
        </w:tc>
        <w:tc>
          <w:tcPr>
            <w:tcW w:w="171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个</w:t>
            </w:r>
          </w:p>
        </w:tc>
        <w:tc>
          <w:tcPr>
            <w:tcW w:w="155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59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rightChars="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1418"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textAlignment w:val="baseline"/>
              <w:rPr>
                <w:rFonts w:ascii="Arial"/>
                <w:sz w:val="21"/>
                <w:szCs w:val="21"/>
              </w:rPr>
            </w:pPr>
          </w:p>
        </w:tc>
        <w:tc>
          <w:tcPr>
            <w:tcW w:w="215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灭火器</w:t>
            </w:r>
          </w:p>
        </w:tc>
        <w:tc>
          <w:tcPr>
            <w:tcW w:w="171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个</w:t>
            </w:r>
          </w:p>
        </w:tc>
        <w:tc>
          <w:tcPr>
            <w:tcW w:w="155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eastAsia" w:ascii="Times New Roman" w:hAnsi="Times New Roman" w:eastAsia="宋体" w:cs="Times New Roman"/>
                <w:sz w:val="21"/>
                <w:szCs w:val="21"/>
                <w:lang w:val="en-US" w:eastAsia="zh-CN"/>
              </w:rPr>
            </w:pPr>
            <w:r>
              <w:rPr>
                <w:rFonts w:ascii="Times New Roman" w:hAnsi="Times New Roman" w:eastAsia="Times New Roman" w:cs="Times New Roman"/>
                <w:sz w:val="21"/>
                <w:szCs w:val="21"/>
              </w:rPr>
              <w:t>1</w:t>
            </w:r>
            <w:r>
              <w:rPr>
                <w:rFonts w:hint="eastAsia" w:ascii="Times New Roman" w:hAnsi="Times New Roman" w:cs="Times New Roman"/>
                <w:sz w:val="21"/>
                <w:szCs w:val="21"/>
                <w:lang w:val="en-US" w:eastAsia="zh-CN"/>
              </w:rPr>
              <w:t>0</w:t>
            </w:r>
          </w:p>
        </w:tc>
        <w:tc>
          <w:tcPr>
            <w:tcW w:w="159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rightChars="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r>
              <w:rPr>
                <w:rFonts w:hint="eastAsia" w:ascii="Times New Roman" w:hAnsi="Times New Roman" w:cs="Times New Roman"/>
                <w:sz w:val="21"/>
                <w:szCs w:val="21"/>
                <w:lang w:val="en-US" w:eastAsia="zh-CN"/>
              </w:rPr>
              <w:t>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1418"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textAlignment w:val="baseline"/>
              <w:rPr>
                <w:rFonts w:ascii="Arial"/>
                <w:sz w:val="21"/>
                <w:szCs w:val="21"/>
              </w:rPr>
            </w:pPr>
          </w:p>
        </w:tc>
        <w:tc>
          <w:tcPr>
            <w:tcW w:w="215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推土机</w:t>
            </w:r>
          </w:p>
        </w:tc>
        <w:tc>
          <w:tcPr>
            <w:tcW w:w="171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辆</w:t>
            </w:r>
          </w:p>
        </w:tc>
        <w:tc>
          <w:tcPr>
            <w:tcW w:w="155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59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rightChars="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418"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textAlignment w:val="baseline"/>
              <w:rPr>
                <w:rFonts w:ascii="Arial"/>
                <w:sz w:val="21"/>
                <w:szCs w:val="21"/>
              </w:rPr>
            </w:pPr>
          </w:p>
        </w:tc>
        <w:tc>
          <w:tcPr>
            <w:tcW w:w="215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计量设施及设备</w:t>
            </w:r>
          </w:p>
        </w:tc>
        <w:tc>
          <w:tcPr>
            <w:tcW w:w="171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宋体" w:hAnsi="宋体" w:eastAsia="宋体" w:cs="宋体"/>
                <w:sz w:val="21"/>
                <w:szCs w:val="21"/>
              </w:rPr>
            </w:pPr>
            <w:r>
              <w:rPr>
                <w:rFonts w:ascii="宋体" w:hAnsi="宋体" w:eastAsia="宋体" w:cs="宋体"/>
                <w:sz w:val="21"/>
                <w:szCs w:val="21"/>
              </w:rPr>
              <w:t>台</w:t>
            </w:r>
          </w:p>
        </w:tc>
        <w:tc>
          <w:tcPr>
            <w:tcW w:w="155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59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0" w:rightChars="0" w:firstLine="0" w:firstLineChars="0"/>
              <w:jc w:val="center"/>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r>
    </w:tbl>
    <w:p>
      <w:pPr>
        <w:pStyle w:val="2"/>
        <w:bidi w:val="0"/>
        <w:rPr>
          <w:b/>
          <w:bCs/>
        </w:rPr>
      </w:pPr>
      <w:bookmarkStart w:id="23" w:name="_Toc16404"/>
      <w:r>
        <w:rPr>
          <w:b/>
          <w:bCs/>
        </w:rPr>
        <w:t>3.3</w:t>
      </w:r>
      <w:r>
        <w:rPr>
          <w:rFonts w:hint="eastAsia"/>
          <w:b/>
          <w:bCs/>
          <w:lang w:val="en-US" w:eastAsia="zh-CN"/>
        </w:rPr>
        <w:t xml:space="preserve">   </w:t>
      </w:r>
      <w:r>
        <w:rPr>
          <w:b/>
          <w:bCs/>
        </w:rPr>
        <w:t>劳动定员及工作制度</w:t>
      </w:r>
      <w:bookmarkEnd w:id="23"/>
    </w:p>
    <w:p>
      <w:pPr>
        <w:bidi w:val="0"/>
        <w:spacing w:line="360" w:lineRule="auto"/>
      </w:pPr>
      <w:r>
        <w:t>项目劳动定员为</w:t>
      </w:r>
      <w:r>
        <w:rPr>
          <w:rFonts w:hint="eastAsia"/>
          <w:lang w:val="en-US" w:eastAsia="zh-CN"/>
        </w:rPr>
        <w:t>2</w:t>
      </w:r>
      <w:r>
        <w:t>人，</w:t>
      </w:r>
      <w:r>
        <w:rPr>
          <w:rFonts w:hint="eastAsia"/>
          <w:lang w:val="en-US" w:eastAsia="zh-CN"/>
        </w:rPr>
        <w:t>两班制，</w:t>
      </w:r>
      <w:r>
        <w:t>负责项目区垃圾的清运、填埋处理工作。工作时间为一天8小时，全年上班。</w:t>
      </w:r>
    </w:p>
    <w:p>
      <w:pPr>
        <w:pStyle w:val="2"/>
        <w:bidi w:val="0"/>
        <w:rPr>
          <w:b/>
          <w:bCs/>
        </w:rPr>
      </w:pPr>
      <w:bookmarkStart w:id="24" w:name="_Toc21415"/>
      <w:r>
        <w:rPr>
          <w:b/>
          <w:bCs/>
        </w:rPr>
        <w:t>3.4</w:t>
      </w:r>
      <w:r>
        <w:rPr>
          <w:rFonts w:hint="eastAsia"/>
          <w:b/>
          <w:bCs/>
          <w:lang w:val="en-US" w:eastAsia="zh-CN"/>
        </w:rPr>
        <w:t xml:space="preserve">   </w:t>
      </w:r>
      <w:r>
        <w:rPr>
          <w:b/>
          <w:bCs/>
        </w:rPr>
        <w:t>给排水情况</w:t>
      </w:r>
      <w:bookmarkEnd w:id="24"/>
    </w:p>
    <w:p>
      <w:pPr>
        <w:bidi w:val="0"/>
        <w:spacing w:line="360" w:lineRule="auto"/>
        <w:rPr>
          <w:rFonts w:hint="eastAsia" w:eastAsia="宋体"/>
          <w:lang w:eastAsia="zh-CN"/>
        </w:rPr>
      </w:pPr>
      <w:r>
        <w:t>本项目主要用水主要是管理人员</w:t>
      </w:r>
      <w:r>
        <w:rPr>
          <w:rFonts w:hint="eastAsia"/>
          <w:lang w:val="en-US" w:eastAsia="zh-CN"/>
        </w:rPr>
        <w:t>生活</w:t>
      </w:r>
      <w:r>
        <w:t>用水，</w:t>
      </w:r>
      <w:r>
        <w:rPr>
          <w:rFonts w:hint="eastAsia"/>
          <w:lang w:val="en-US" w:eastAsia="zh-CN"/>
        </w:rPr>
        <w:t>生活用水采用桶装水；生活污水为职工简单洗漱废水，直接泼洒降尘</w:t>
      </w:r>
      <w:r>
        <w:t>。垃圾渗滤液经过渗滤液调节池之后经泵打入垃圾场填埋区回喷降尘</w:t>
      </w:r>
      <w:r>
        <w:rPr>
          <w:rFonts w:hint="eastAsia"/>
          <w:lang w:eastAsia="zh-CN"/>
        </w:rPr>
        <w:t>。</w:t>
      </w:r>
    </w:p>
    <w:p>
      <w:pPr>
        <w:pStyle w:val="2"/>
        <w:bidi w:val="0"/>
        <w:rPr>
          <w:rFonts w:hint="default" w:eastAsia="宋体"/>
          <w:b/>
          <w:bCs/>
          <w:lang w:val="en-US" w:eastAsia="zh-CN"/>
        </w:rPr>
      </w:pPr>
      <w:bookmarkStart w:id="25" w:name="_Toc30726"/>
      <w:r>
        <w:rPr>
          <w:b/>
          <w:bCs/>
        </w:rPr>
        <w:t>3.5</w:t>
      </w:r>
      <w:r>
        <w:rPr>
          <w:rFonts w:hint="eastAsia"/>
          <w:b/>
          <w:bCs/>
          <w:lang w:val="en-US" w:eastAsia="zh-CN"/>
        </w:rPr>
        <w:t xml:space="preserve">  </w:t>
      </w:r>
      <w:r>
        <w:rPr>
          <w:b/>
          <w:bCs/>
        </w:rPr>
        <w:t xml:space="preserve"> 生产</w:t>
      </w:r>
      <w:r>
        <w:rPr>
          <w:rFonts w:hint="eastAsia"/>
          <w:b/>
          <w:bCs/>
          <w:lang w:val="en-US" w:eastAsia="zh-CN"/>
        </w:rPr>
        <w:t>工艺</w:t>
      </w:r>
      <w:bookmarkEnd w:id="25"/>
    </w:p>
    <w:p>
      <w:pPr>
        <w:bidi w:val="0"/>
        <w:spacing w:line="360" w:lineRule="auto"/>
      </w:pPr>
      <w:r>
        <w:rPr>
          <w:rFonts w:hint="eastAsia"/>
          <w:lang w:val="en-US" w:eastAsia="zh-CN"/>
        </w:rPr>
        <w:t>生活垃圾</w:t>
      </w:r>
      <w:r>
        <w:t>填埋工艺流程为：垃圾车转运车进场→卸料→推铺→压实→覆盖→</w:t>
      </w:r>
      <w:r>
        <w:rPr>
          <w:rFonts w:hint="eastAsia"/>
          <w:lang w:val="en-US" w:eastAsia="zh-CN"/>
        </w:rPr>
        <w:t>灭虫</w:t>
      </w:r>
      <w:r>
        <w:t>。</w:t>
      </w:r>
    </w:p>
    <w:p>
      <w:pPr>
        <w:bidi w:val="0"/>
        <w:rPr>
          <w:rFonts w:hint="default"/>
          <w:lang w:val="en-US" w:eastAsia="zh-CN"/>
        </w:rPr>
      </w:pPr>
      <w:r>
        <w:rPr>
          <w:rFonts w:hint="eastAsia"/>
          <w:lang w:val="en-US" w:eastAsia="zh-CN"/>
        </w:rPr>
        <w:t>工艺流程详见下图：</w:t>
      </w:r>
    </w:p>
    <w:p>
      <w:pPr>
        <w:spacing w:before="148" w:line="220" w:lineRule="auto"/>
        <w:ind w:left="0" w:leftChars="0" w:firstLine="0" w:firstLineChars="0"/>
        <w:rPr>
          <w:rFonts w:hint="eastAsia" w:ascii="宋体" w:hAnsi="宋体" w:eastAsia="宋体" w:cs="宋体"/>
          <w:spacing w:val="-1"/>
          <w:sz w:val="24"/>
          <w:szCs w:val="24"/>
          <w:lang w:eastAsia="zh-CN"/>
          <w14:textOutline w14:w="4358" w14:cap="sq" w14:cmpd="sng">
            <w14:solidFill>
              <w14:srgbClr w14:val="000000"/>
            </w14:solidFill>
            <w14:prstDash w14:val="solid"/>
            <w14:bevel/>
          </w14:textOutline>
        </w:rPr>
      </w:pPr>
      <w:r>
        <w:rPr>
          <w:rFonts w:hint="eastAsia" w:ascii="宋体" w:hAnsi="宋体" w:eastAsia="宋体" w:cs="宋体"/>
          <w:spacing w:val="-1"/>
          <w:sz w:val="24"/>
          <w:szCs w:val="24"/>
          <w:lang w:eastAsia="zh-CN"/>
          <w14:textOutline w14:w="4358" w14:cap="sq" w14:cmpd="sng">
            <w14:solidFill>
              <w14:srgbClr w14:val="000000"/>
            </w14:solidFill>
            <w14:prstDash w14:val="solid"/>
            <w14:bevel/>
          </w14:textOutline>
        </w:rPr>
        <w:drawing>
          <wp:inline distT="0" distB="0" distL="114300" distR="114300">
            <wp:extent cx="5779135" cy="1429385"/>
            <wp:effectExtent l="0" t="0" r="12065" b="18415"/>
            <wp:docPr id="3" name="图片 3" descr="未命名文件(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未命名文件(12)"/>
                    <pic:cNvPicPr>
                      <a:picLocks noChangeAspect="1"/>
                    </pic:cNvPicPr>
                  </pic:nvPicPr>
                  <pic:blipFill>
                    <a:blip r:embed="rId23"/>
                    <a:srcRect l="2157" t="6159" r="2146" b="7074"/>
                    <a:stretch>
                      <a:fillRect/>
                    </a:stretch>
                  </pic:blipFill>
                  <pic:spPr>
                    <a:xfrm>
                      <a:off x="0" y="0"/>
                      <a:ext cx="5779135" cy="1429385"/>
                    </a:xfrm>
                    <a:prstGeom prst="rect">
                      <a:avLst/>
                    </a:prstGeom>
                  </pic:spPr>
                </pic:pic>
              </a:graphicData>
            </a:graphic>
          </wp:inline>
        </w:drawing>
      </w:r>
    </w:p>
    <w:p>
      <w:pPr>
        <w:spacing w:before="148" w:line="220" w:lineRule="auto"/>
        <w:ind w:left="2262"/>
        <w:rPr>
          <w:rFonts w:ascii="宋体" w:hAnsi="宋体" w:eastAsia="宋体" w:cs="宋体"/>
          <w:sz w:val="24"/>
          <w:szCs w:val="24"/>
        </w:rPr>
      </w:pPr>
      <w:r>
        <w:rPr>
          <w:rFonts w:ascii="宋体" w:hAnsi="宋体" w:eastAsia="宋体" w:cs="宋体"/>
          <w:spacing w:val="-1"/>
          <w:sz w:val="24"/>
          <w:szCs w:val="24"/>
          <w14:textOutline w14:w="4358" w14:cap="sq" w14:cmpd="sng">
            <w14:solidFill>
              <w14:srgbClr w14:val="000000"/>
            </w14:solidFill>
            <w14:prstDash w14:val="solid"/>
            <w14:bevel/>
          </w14:textOutline>
        </w:rPr>
        <w:t>图</w:t>
      </w:r>
      <w:r>
        <w:rPr>
          <w:rFonts w:hint="eastAsia" w:ascii="Times New Roman" w:hAnsi="Times New Roman" w:cs="Times New Roman"/>
          <w:b/>
          <w:bCs/>
          <w:spacing w:val="-1"/>
          <w:sz w:val="24"/>
          <w:szCs w:val="24"/>
          <w:lang w:val="en-US" w:eastAsia="zh-CN"/>
        </w:rPr>
        <w:t>3-</w:t>
      </w:r>
      <w:r>
        <w:rPr>
          <w:rFonts w:hint="eastAsia" w:cs="Times New Roman"/>
          <w:b/>
          <w:bCs/>
          <w:spacing w:val="-1"/>
          <w:sz w:val="24"/>
          <w:szCs w:val="24"/>
          <w:lang w:val="en-US" w:eastAsia="zh-CN"/>
        </w:rPr>
        <w:t>4</w:t>
      </w:r>
      <w:r>
        <w:rPr>
          <w:rFonts w:ascii="Times New Roman" w:hAnsi="Times New Roman" w:eastAsia="Times New Roman" w:cs="Times New Roman"/>
          <w:b/>
          <w:bCs/>
          <w:spacing w:val="-1"/>
          <w:sz w:val="24"/>
          <w:szCs w:val="24"/>
        </w:rPr>
        <w:t xml:space="preserve">      </w:t>
      </w:r>
      <w:r>
        <w:rPr>
          <w:rFonts w:ascii="宋体" w:hAnsi="宋体" w:eastAsia="宋体" w:cs="宋体"/>
          <w:spacing w:val="-1"/>
          <w:sz w:val="24"/>
          <w:szCs w:val="24"/>
          <w14:textOutline w14:w="4358" w14:cap="sq" w14:cmpd="sng">
            <w14:solidFill>
              <w14:srgbClr w14:val="000000"/>
            </w14:solidFill>
            <w14:prstDash w14:val="solid"/>
            <w14:bevel/>
          </w14:textOutline>
        </w:rPr>
        <w:t>生活垃圾填埋处理工艺流程图</w:t>
      </w:r>
    </w:p>
    <w:p>
      <w:pPr>
        <w:spacing w:before="186" w:line="360" w:lineRule="auto"/>
        <w:ind w:left="147"/>
        <w:outlineLvl w:val="1"/>
        <w:rPr>
          <w:rFonts w:hint="eastAsia" w:ascii="Times New Roman" w:hAnsi="Times New Roman" w:cs="Times New Roman"/>
          <w:b/>
          <w:bCs/>
          <w:sz w:val="24"/>
          <w:szCs w:val="24"/>
          <w:lang w:val="en-US" w:eastAsia="zh-CN"/>
        </w:rPr>
      </w:pPr>
      <w:bookmarkStart w:id="26" w:name="_Toc6483"/>
      <w:r>
        <w:rPr>
          <w:rFonts w:hint="eastAsia" w:ascii="Times New Roman" w:hAnsi="Times New Roman" w:cs="Times New Roman"/>
          <w:b/>
          <w:bCs/>
          <w:sz w:val="24"/>
          <w:szCs w:val="24"/>
          <w:lang w:val="en-US" w:eastAsia="zh-CN"/>
        </w:rPr>
        <w:t>工艺流程情况说明：</w:t>
      </w:r>
      <w:bookmarkEnd w:id="26"/>
    </w:p>
    <w:p>
      <w:pPr>
        <w:bidi w:val="0"/>
        <w:rPr>
          <w:rFonts w:hint="default"/>
          <w:lang w:val="en-US" w:eastAsia="zh-CN"/>
        </w:rPr>
      </w:pPr>
      <w:r>
        <w:rPr>
          <w:rFonts w:hint="default"/>
          <w:lang w:val="en-US" w:eastAsia="zh-CN"/>
        </w:rPr>
        <w:t>垃圾卫生填埋作业工艺流程为卸料、推铺、压实、覆盖，灭虫。</w:t>
      </w:r>
    </w:p>
    <w:p>
      <w:pPr>
        <w:bidi w:val="0"/>
        <w:rPr>
          <w:rFonts w:hint="default"/>
          <w:lang w:val="en-US" w:eastAsia="zh-CN"/>
        </w:rPr>
      </w:pPr>
      <w:r>
        <w:rPr>
          <w:rFonts w:hint="default"/>
          <w:lang w:val="en-US" w:eastAsia="zh-CN"/>
        </w:rPr>
        <w:t>垃圾转运车运送垃圾进入垃圾填埋场，经计量系统的称重计量，然后进入垃级卫生填埋区，在作业面上倾倒垃圾，推土机将垃圾推平，由推土机进行压实处理，当达到单元作业厚度时，再由排上机排上进行单元覆盖。当垃圾厚度达到中间发蔷层厚度时，进行中间层</w:t>
      </w:r>
      <w:r>
        <w:rPr>
          <w:rFonts w:hint="eastAsia"/>
          <w:lang w:val="en-US" w:eastAsia="zh-CN"/>
        </w:rPr>
        <w:t>覆盖，</w:t>
      </w:r>
      <w:r>
        <w:rPr>
          <w:rFonts w:hint="default"/>
          <w:lang w:val="en-US" w:eastAsia="zh-CN"/>
        </w:rPr>
        <w:t>如此返复，直至终场。</w:t>
      </w:r>
    </w:p>
    <w:p>
      <w:pPr>
        <w:bidi w:val="0"/>
        <w:rPr>
          <w:rFonts w:hint="default"/>
          <w:lang w:val="en-US" w:eastAsia="zh-CN"/>
        </w:rPr>
      </w:pPr>
      <w:r>
        <w:rPr>
          <w:rFonts w:hint="eastAsia"/>
          <w:lang w:val="en-US" w:eastAsia="zh-CN"/>
        </w:rPr>
        <w:t>（1）</w:t>
      </w:r>
      <w:r>
        <w:rPr>
          <w:rFonts w:hint="default"/>
          <w:lang w:val="en-US" w:eastAsia="zh-CN"/>
        </w:rPr>
        <w:t>卸料</w:t>
      </w:r>
    </w:p>
    <w:p>
      <w:pPr>
        <w:bidi w:val="0"/>
        <w:rPr>
          <w:rFonts w:hint="default"/>
          <w:lang w:val="en-US" w:eastAsia="zh-CN"/>
        </w:rPr>
      </w:pPr>
      <w:r>
        <w:rPr>
          <w:rFonts w:hint="default"/>
          <w:lang w:val="en-US" w:eastAsia="zh-CN"/>
        </w:rPr>
        <w:t>本工程垃圾转运车在进入垃圾项埋场后，直接进入卸料层面进行卸料，晴天时车辆在垃圾雄休表面直接行驶，雨天时可在垃圾堆优表面键设建筑垃圾或明码石做为道路垫层，也可以利用预制水泥版铺设临时道路</w:t>
      </w:r>
    </w:p>
    <w:p>
      <w:pPr>
        <w:bidi w:val="0"/>
        <w:rPr>
          <w:rFonts w:hint="default"/>
          <w:lang w:val="en-US" w:eastAsia="zh-CN"/>
        </w:rPr>
      </w:pPr>
      <w:r>
        <w:rPr>
          <w:rFonts w:hint="eastAsia"/>
          <w:lang w:val="en-US" w:eastAsia="zh-CN"/>
        </w:rPr>
        <w:t>（2）</w:t>
      </w:r>
      <w:r>
        <w:rPr>
          <w:rFonts w:hint="default"/>
          <w:lang w:val="en-US" w:eastAsia="zh-CN"/>
        </w:rPr>
        <w:t>排铺</w:t>
      </w:r>
    </w:p>
    <w:p>
      <w:pPr>
        <w:bidi w:val="0"/>
        <w:rPr>
          <w:rFonts w:hint="default"/>
          <w:lang w:val="en-US" w:eastAsia="zh-CN"/>
        </w:rPr>
      </w:pPr>
      <w:r>
        <w:rPr>
          <w:rFonts w:hint="default"/>
          <w:lang w:val="en-US" w:eastAsia="zh-CN"/>
        </w:rPr>
        <w:t>本下程转运车值倒的垃圾山推土机推铺，推铺有利于垃圾压实工序的顺利进行，保证设计压实密度的实现(密度不小于0.85g/cm</w:t>
      </w:r>
      <w:r>
        <w:rPr>
          <w:rFonts w:hint="default"/>
          <w:vertAlign w:val="superscript"/>
          <w:lang w:val="en-US" w:eastAsia="zh-CN"/>
        </w:rPr>
        <w:t>3</w:t>
      </w:r>
      <w:r>
        <w:rPr>
          <w:rFonts w:hint="default"/>
          <w:lang w:val="en-US" w:eastAsia="zh-CN"/>
        </w:rPr>
        <w:t>)，每次摊铺垃圾厚度0.5m。</w:t>
      </w:r>
    </w:p>
    <w:p>
      <w:pPr>
        <w:bidi w:val="0"/>
        <w:rPr>
          <w:rFonts w:hint="default"/>
          <w:lang w:val="en-US" w:eastAsia="zh-CN"/>
        </w:rPr>
      </w:pPr>
      <w:r>
        <w:rPr>
          <w:rFonts w:hint="eastAsia"/>
          <w:lang w:val="en-US" w:eastAsia="zh-CN"/>
        </w:rPr>
        <w:t>（3）</w:t>
      </w:r>
      <w:r>
        <w:rPr>
          <w:rFonts w:hint="default"/>
          <w:lang w:val="en-US" w:eastAsia="zh-CN"/>
        </w:rPr>
        <w:t>压实</w:t>
      </w:r>
    </w:p>
    <w:p>
      <w:pPr>
        <w:bidi w:val="0"/>
        <w:rPr>
          <w:rFonts w:hint="default"/>
          <w:lang w:val="en-US" w:eastAsia="zh-CN"/>
        </w:rPr>
      </w:pPr>
      <w:r>
        <w:rPr>
          <w:rFonts w:hint="default"/>
          <w:lang w:val="en-US" w:eastAsia="zh-CN"/>
        </w:rPr>
        <w:t>依埋垃圾的压实可以有效的增加填埋场的消纳能力，延长填埋场的使用年限;减少填埋场的沉降量，不仅有利于垃圾堆休的稳定，也有益于增加堆积物边坡的稳定性，以利于土地的后期开发利用，是填埋场作业中很重要的工序。垃圾填埋场的有效压实能够增加填埋场强度，防止坍塌，防止填埋场不均匀沉降，能够减少垃圾孔隙率，有利于形成厌氧环境，减少港入垃圾准体中的降雨量及蚊娓.咀虫的滋生</w:t>
      </w:r>
      <w:r>
        <w:rPr>
          <w:rFonts w:hint="eastAsia"/>
          <w:lang w:val="en-US" w:eastAsia="zh-CN"/>
        </w:rPr>
        <w:t>；</w:t>
      </w:r>
      <w:r>
        <w:rPr>
          <w:rFonts w:hint="default"/>
          <w:lang w:val="en-US" w:eastAsia="zh-CN"/>
        </w:rPr>
        <w:t>减少拉圾传沥液和填埋气休的迁移，提高填埋气体的产生量:也有利于填埋机械的在垃圾堆体上的移动，减少机具的保养和维护要求。</w:t>
      </w:r>
    </w:p>
    <w:p>
      <w:pPr>
        <w:bidi w:val="0"/>
        <w:rPr>
          <w:rFonts w:hint="default"/>
          <w:lang w:val="en-US" w:eastAsia="zh-CN"/>
        </w:rPr>
      </w:pPr>
      <w:r>
        <w:rPr>
          <w:rFonts w:hint="eastAsia"/>
          <w:lang w:val="en-US" w:eastAsia="zh-CN"/>
        </w:rPr>
        <w:t>（4）覆盖</w:t>
      </w:r>
    </w:p>
    <w:p>
      <w:pPr>
        <w:bidi w:val="0"/>
        <w:rPr>
          <w:rFonts w:hint="default"/>
          <w:lang w:val="en-US" w:eastAsia="zh-CN"/>
        </w:rPr>
      </w:pPr>
      <w:r>
        <w:rPr>
          <w:rFonts w:hint="default"/>
          <w:lang w:val="en-US" w:eastAsia="zh-CN"/>
        </w:rPr>
        <w:t>生活垃圾</w:t>
      </w:r>
      <w:r>
        <w:rPr>
          <w:rFonts w:hint="eastAsia"/>
          <w:lang w:val="en-US" w:eastAsia="zh-CN"/>
        </w:rPr>
        <w:t>卫生</w:t>
      </w:r>
      <w:r>
        <w:rPr>
          <w:rFonts w:hint="default"/>
          <w:lang w:val="en-US" w:eastAsia="zh-CN"/>
        </w:rPr>
        <w:t>填理场漫小是卫生填理的重要特征之一，也是区别于露天难放的重要因素、垃圾上群覆盖分为日覆盖、中间</w:t>
      </w:r>
      <w:r>
        <w:rPr>
          <w:rFonts w:hint="eastAsia"/>
          <w:lang w:val="en-US" w:eastAsia="zh-CN"/>
        </w:rPr>
        <w:t>覆盖</w:t>
      </w:r>
      <w:r>
        <w:rPr>
          <w:rFonts w:hint="default"/>
          <w:lang w:val="en-US" w:eastAsia="zh-CN"/>
        </w:rPr>
        <w:t>和终场覆盖，每一颗盖的功能作用不同，对覆盖上科的要求也不一样</w:t>
      </w:r>
    </w:p>
    <w:p>
      <w:pPr>
        <w:bidi w:val="0"/>
        <w:rPr>
          <w:rFonts w:hint="default"/>
          <w:lang w:val="en-US" w:eastAsia="zh-CN"/>
        </w:rPr>
      </w:pPr>
      <w:r>
        <w:rPr>
          <w:rFonts w:hint="default"/>
          <w:lang w:val="en-US" w:eastAsia="zh-CN"/>
        </w:rPr>
        <w:t>①日</w:t>
      </w:r>
      <w:r>
        <w:rPr>
          <w:rFonts w:hint="eastAsia"/>
          <w:lang w:val="en-US" w:eastAsia="zh-CN"/>
        </w:rPr>
        <w:t>覆盖</w:t>
      </w:r>
    </w:p>
    <w:p>
      <w:pPr>
        <w:bidi w:val="0"/>
        <w:rPr>
          <w:rFonts w:hint="default"/>
          <w:lang w:val="en-US" w:eastAsia="zh-CN"/>
        </w:rPr>
      </w:pPr>
      <w:r>
        <w:rPr>
          <w:rFonts w:hint="default"/>
          <w:lang w:val="en-US" w:eastAsia="zh-CN"/>
        </w:rPr>
        <w:t>日覆盖是在完成每天垃圾填埋量后进行</w:t>
      </w:r>
      <w:r>
        <w:rPr>
          <w:rFonts w:hint="eastAsia"/>
          <w:lang w:val="en-US" w:eastAsia="zh-CN"/>
        </w:rPr>
        <w:t>，日覆盖</w:t>
      </w:r>
      <w:r>
        <w:rPr>
          <w:rFonts w:hint="default"/>
          <w:lang w:val="en-US" w:eastAsia="zh-CN"/>
        </w:rPr>
        <w:t>的作用有</w:t>
      </w:r>
      <w:r>
        <w:rPr>
          <w:rFonts w:hint="eastAsia"/>
          <w:lang w:val="en-US" w:eastAsia="zh-CN"/>
        </w:rPr>
        <w:t>：</w:t>
      </w:r>
      <w:r>
        <w:rPr>
          <w:rFonts w:hint="default"/>
          <w:lang w:val="en-US" w:eastAsia="zh-CN"/>
        </w:rPr>
        <w:t>改善道路交通</w:t>
      </w:r>
      <w:r>
        <w:rPr>
          <w:rFonts w:hint="eastAsia"/>
          <w:lang w:val="en-US" w:eastAsia="zh-CN"/>
        </w:rPr>
        <w:t>；</w:t>
      </w:r>
      <w:r>
        <w:rPr>
          <w:rFonts w:hint="default"/>
          <w:lang w:val="en-US" w:eastAsia="zh-CN"/>
        </w:rPr>
        <w:t>改善填埋区环境状况</w:t>
      </w:r>
      <w:r>
        <w:rPr>
          <w:rFonts w:hint="eastAsia"/>
          <w:lang w:val="en-US" w:eastAsia="zh-CN"/>
        </w:rPr>
        <w:t>；</w:t>
      </w:r>
      <w:r>
        <w:rPr>
          <w:rFonts w:hint="default"/>
          <w:lang w:val="en-US" w:eastAsia="zh-CN"/>
        </w:rPr>
        <w:t>减少恶臭气体的</w:t>
      </w:r>
      <w:r>
        <w:rPr>
          <w:rFonts w:hint="eastAsia"/>
          <w:lang w:val="en-US" w:eastAsia="zh-CN"/>
        </w:rPr>
        <w:t>发散；</w:t>
      </w:r>
      <w:r>
        <w:rPr>
          <w:rFonts w:hint="default"/>
          <w:lang w:val="en-US" w:eastAsia="zh-CN"/>
        </w:rPr>
        <w:t>减少遇风天气</w:t>
      </w:r>
      <w:r>
        <w:rPr>
          <w:rFonts w:hint="eastAsia"/>
          <w:lang w:val="en-US" w:eastAsia="zh-CN"/>
        </w:rPr>
        <w:t>尘土</w:t>
      </w:r>
      <w:r>
        <w:rPr>
          <w:rFonts w:hint="default"/>
          <w:lang w:val="en-US" w:eastAsia="zh-CN"/>
        </w:rPr>
        <w:t>和</w:t>
      </w:r>
      <w:r>
        <w:rPr>
          <w:rFonts w:hint="eastAsia"/>
          <w:lang w:val="en-US" w:eastAsia="zh-CN"/>
        </w:rPr>
        <w:t>轻质垃圾漫天飞扬；</w:t>
      </w:r>
      <w:r>
        <w:rPr>
          <w:rFonts w:hint="default"/>
          <w:lang w:val="en-US" w:eastAsia="zh-CN"/>
        </w:rPr>
        <w:t>降低疾病通过鸟类、鼠类、蚊蝇等的传播</w:t>
      </w:r>
      <w:r>
        <w:rPr>
          <w:rFonts w:hint="eastAsia"/>
          <w:lang w:val="en-US" w:eastAsia="zh-CN"/>
        </w:rPr>
        <w:t>；</w:t>
      </w:r>
      <w:r>
        <w:rPr>
          <w:rFonts w:hint="default"/>
          <w:lang w:val="en-US" w:eastAsia="zh-CN"/>
        </w:rPr>
        <w:t>降低火灾危险。日覆盖要求确保垃圾填埋层稳定并且不阻碍</w:t>
      </w:r>
      <w:r>
        <w:rPr>
          <w:rFonts w:hint="eastAsia"/>
          <w:lang w:val="en-US" w:eastAsia="zh-CN"/>
        </w:rPr>
        <w:t>垃圾</w:t>
      </w:r>
      <w:r>
        <w:rPr>
          <w:rFonts w:hint="default"/>
          <w:lang w:val="en-US" w:eastAsia="zh-CN"/>
        </w:rPr>
        <w:t>的生物降解，因此，土</w:t>
      </w:r>
      <w:r>
        <w:rPr>
          <w:rFonts w:hint="eastAsia"/>
          <w:lang w:val="en-US" w:eastAsia="zh-CN"/>
        </w:rPr>
        <w:t>料</w:t>
      </w:r>
      <w:r>
        <w:rPr>
          <w:rFonts w:hint="default"/>
          <w:lang w:val="en-US" w:eastAsia="zh-CN"/>
        </w:rPr>
        <w:t>要求应具有一定的透气性，选用砂性土作为日</w:t>
      </w:r>
      <w:r>
        <w:rPr>
          <w:rFonts w:hint="eastAsia"/>
          <w:lang w:val="en-US" w:eastAsia="zh-CN"/>
        </w:rPr>
        <w:t>覆盖土</w:t>
      </w:r>
      <w:r>
        <w:rPr>
          <w:rFonts w:hint="default"/>
          <w:lang w:val="en-US" w:eastAsia="zh-CN"/>
        </w:rPr>
        <w:t>较为适宜，</w:t>
      </w:r>
      <w:r>
        <w:rPr>
          <w:rFonts w:hint="eastAsia"/>
          <w:lang w:val="en-US" w:eastAsia="zh-CN"/>
        </w:rPr>
        <w:t>日</w:t>
      </w:r>
      <w:r>
        <w:rPr>
          <w:rFonts w:hint="default"/>
          <w:lang w:val="en-US" w:eastAsia="zh-CN"/>
        </w:rPr>
        <w:t>覆盖层厚度为0.15m</w:t>
      </w:r>
    </w:p>
    <w:p>
      <w:pPr>
        <w:bidi w:val="0"/>
        <w:rPr>
          <w:rFonts w:hint="default"/>
          <w:lang w:val="en-US" w:eastAsia="zh-CN"/>
        </w:rPr>
      </w:pPr>
      <w:r>
        <w:rPr>
          <w:rFonts w:hint="default"/>
          <w:lang w:val="en-US" w:eastAsia="zh-CN"/>
        </w:rPr>
        <w:t>②中间覆盖</w:t>
      </w:r>
    </w:p>
    <w:p>
      <w:pPr>
        <w:bidi w:val="0"/>
        <w:rPr>
          <w:rFonts w:hint="default"/>
          <w:lang w:val="en-US" w:eastAsia="zh-CN"/>
        </w:rPr>
      </w:pPr>
      <w:r>
        <w:rPr>
          <w:rFonts w:hint="default"/>
          <w:lang w:val="en-US" w:eastAsia="zh-CN"/>
        </w:rPr>
        <w:t>中间覆盖是在完成设计2.5m厚度后进行，生活垃圾填埋设计中间</w:t>
      </w:r>
      <w:r>
        <w:rPr>
          <w:rFonts w:hint="eastAsia"/>
          <w:lang w:val="en-US" w:eastAsia="zh-CN"/>
        </w:rPr>
        <w:t>覆盖</w:t>
      </w:r>
      <w:r>
        <w:rPr>
          <w:rFonts w:hint="default"/>
          <w:lang w:val="en-US" w:eastAsia="zh-CN"/>
        </w:rPr>
        <w:t>的作用</w:t>
      </w:r>
      <w:r>
        <w:rPr>
          <w:rFonts w:hint="eastAsia"/>
          <w:lang w:val="en-US" w:eastAsia="zh-CN"/>
        </w:rPr>
        <w:t>：</w:t>
      </w:r>
      <w:r>
        <w:rPr>
          <w:rFonts w:hint="default"/>
          <w:lang w:val="en-US" w:eastAsia="zh-CN"/>
        </w:rPr>
        <w:t>防止垃圾</w:t>
      </w:r>
      <w:r>
        <w:rPr>
          <w:rFonts w:hint="eastAsia"/>
          <w:lang w:val="en-US" w:eastAsia="zh-CN"/>
        </w:rPr>
        <w:t>填埋</w:t>
      </w:r>
      <w:r>
        <w:rPr>
          <w:rFonts w:hint="default"/>
          <w:lang w:val="en-US" w:eastAsia="zh-CN"/>
        </w:rPr>
        <w:t>气的无序排放</w:t>
      </w:r>
      <w:r>
        <w:rPr>
          <w:rFonts w:hint="eastAsia"/>
          <w:lang w:val="en-US" w:eastAsia="zh-CN"/>
        </w:rPr>
        <w:t>；</w:t>
      </w:r>
      <w:r>
        <w:rPr>
          <w:rFonts w:hint="default"/>
          <w:lang w:val="en-US" w:eastAsia="zh-CN"/>
        </w:rPr>
        <w:t>减少雨水深入垃圾</w:t>
      </w:r>
      <w:r>
        <w:rPr>
          <w:rFonts w:hint="eastAsia"/>
          <w:lang w:val="en-US" w:eastAsia="zh-CN"/>
        </w:rPr>
        <w:t>堆</w:t>
      </w:r>
      <w:r>
        <w:rPr>
          <w:rFonts w:hint="default"/>
          <w:lang w:val="en-US" w:eastAsia="zh-CN"/>
        </w:rPr>
        <w:t>体的数量，从而减少</w:t>
      </w:r>
      <w:r>
        <w:rPr>
          <w:rFonts w:hint="eastAsia"/>
          <w:lang w:val="en-US" w:eastAsia="zh-CN"/>
        </w:rPr>
        <w:t>渗</w:t>
      </w:r>
      <w:r>
        <w:rPr>
          <w:rFonts w:hint="default"/>
          <w:lang w:val="en-US" w:eastAsia="zh-CN"/>
        </w:rPr>
        <w:t>沥</w:t>
      </w:r>
      <w:r>
        <w:rPr>
          <w:rFonts w:hint="eastAsia"/>
          <w:lang w:val="en-US" w:eastAsia="zh-CN"/>
        </w:rPr>
        <w:t>液</w:t>
      </w:r>
      <w:r>
        <w:rPr>
          <w:rFonts w:hint="default"/>
          <w:lang w:val="en-US" w:eastAsia="zh-CN"/>
        </w:rPr>
        <w:t>的产生量</w:t>
      </w:r>
      <w:r>
        <w:rPr>
          <w:rFonts w:hint="eastAsia"/>
          <w:lang w:val="en-US" w:eastAsia="zh-CN"/>
        </w:rPr>
        <w:t>；</w:t>
      </w:r>
      <w:r>
        <w:rPr>
          <w:rFonts w:hint="default"/>
          <w:lang w:val="en-US" w:eastAsia="zh-CN"/>
        </w:rPr>
        <w:t>通过碾压的中间覆盖粘土形成坡向填理区排水设施的坡度</w:t>
      </w:r>
      <w:r>
        <w:rPr>
          <w:rFonts w:hint="eastAsia"/>
          <w:lang w:val="en-US" w:eastAsia="zh-CN"/>
        </w:rPr>
        <w:t>，利于</w:t>
      </w:r>
      <w:r>
        <w:rPr>
          <w:rFonts w:hint="default"/>
          <w:lang w:val="en-US" w:eastAsia="zh-CN"/>
        </w:rPr>
        <w:t>填埋区</w:t>
      </w:r>
      <w:r>
        <w:rPr>
          <w:rFonts w:hint="eastAsia"/>
          <w:lang w:val="en-US" w:eastAsia="zh-CN"/>
        </w:rPr>
        <w:t>雨水</w:t>
      </w:r>
      <w:r>
        <w:rPr>
          <w:rFonts w:hint="default"/>
          <w:lang w:val="en-US" w:eastAsia="zh-CN"/>
        </w:rPr>
        <w:t>的导排。</w:t>
      </w:r>
    </w:p>
    <w:p>
      <w:pPr>
        <w:bidi w:val="0"/>
        <w:rPr>
          <w:rFonts w:hint="default"/>
          <w:lang w:val="en-US" w:eastAsia="zh-CN"/>
        </w:rPr>
      </w:pPr>
      <w:r>
        <w:rPr>
          <w:rFonts w:hint="default"/>
          <w:lang w:val="en-US" w:eastAsia="zh-CN"/>
        </w:rPr>
        <w:t>③终场</w:t>
      </w:r>
      <w:r>
        <w:rPr>
          <w:rFonts w:hint="eastAsia"/>
          <w:lang w:val="en-US" w:eastAsia="zh-CN"/>
        </w:rPr>
        <w:t>覆盖</w:t>
      </w:r>
    </w:p>
    <w:p>
      <w:pPr>
        <w:bidi w:val="0"/>
        <w:rPr>
          <w:rFonts w:hint="default"/>
          <w:lang w:val="en-US" w:eastAsia="zh-CN"/>
        </w:rPr>
      </w:pPr>
      <w:r>
        <w:rPr>
          <w:rFonts w:hint="default"/>
          <w:lang w:val="en-US" w:eastAsia="zh-CN"/>
        </w:rPr>
        <w:t>终场覆盖贯穿于垃圾填埋场</w:t>
      </w:r>
      <w:r>
        <w:rPr>
          <w:rFonts w:hint="eastAsia"/>
          <w:lang w:val="en-US" w:eastAsia="zh-CN"/>
        </w:rPr>
        <w:t>，</w:t>
      </w:r>
      <w:r>
        <w:rPr>
          <w:rFonts w:hint="default"/>
          <w:lang w:val="en-US" w:eastAsia="zh-CN"/>
        </w:rPr>
        <w:t>垃圾</w:t>
      </w:r>
      <w:r>
        <w:rPr>
          <w:rFonts w:hint="eastAsia"/>
          <w:lang w:val="en-US" w:eastAsia="zh-CN"/>
        </w:rPr>
        <w:t>填埋</w:t>
      </w:r>
      <w:r>
        <w:rPr>
          <w:rFonts w:hint="default"/>
          <w:lang w:val="en-US" w:eastAsia="zh-CN"/>
        </w:rPr>
        <w:t>高度高于垃圾坝至终场的整个过程，终场覆盖的作用</w:t>
      </w:r>
      <w:r>
        <w:rPr>
          <w:rFonts w:hint="eastAsia"/>
          <w:lang w:val="en-US" w:eastAsia="zh-CN"/>
        </w:rPr>
        <w:t>：</w:t>
      </w:r>
      <w:r>
        <w:rPr>
          <w:rFonts w:hint="default"/>
          <w:lang w:val="en-US" w:eastAsia="zh-CN"/>
        </w:rPr>
        <w:t>减少雨水渗入垃圾堆体的数量，</w:t>
      </w:r>
      <w:r>
        <w:rPr>
          <w:rFonts w:hint="eastAsia"/>
          <w:lang w:val="en-US" w:eastAsia="zh-CN"/>
        </w:rPr>
        <w:t>从而</w:t>
      </w:r>
      <w:r>
        <w:rPr>
          <w:rFonts w:hint="default"/>
          <w:lang w:val="en-US" w:eastAsia="zh-CN"/>
        </w:rPr>
        <w:t>减少</w:t>
      </w:r>
      <w:r>
        <w:rPr>
          <w:rFonts w:hint="eastAsia"/>
          <w:lang w:val="en-US" w:eastAsia="zh-CN"/>
        </w:rPr>
        <w:t>渗</w:t>
      </w:r>
      <w:r>
        <w:rPr>
          <w:rFonts w:hint="default"/>
          <w:lang w:val="en-US" w:eastAsia="zh-CN"/>
        </w:rPr>
        <w:t>沥液的产生量</w:t>
      </w:r>
      <w:r>
        <w:rPr>
          <w:rFonts w:hint="eastAsia"/>
          <w:lang w:val="en-US" w:eastAsia="zh-CN"/>
        </w:rPr>
        <w:t>；</w:t>
      </w:r>
      <w:r>
        <w:rPr>
          <w:rFonts w:hint="default"/>
          <w:lang w:val="en-US" w:eastAsia="zh-CN"/>
        </w:rPr>
        <w:t>防止填理气</w:t>
      </w:r>
      <w:r>
        <w:rPr>
          <w:rFonts w:hint="eastAsia"/>
          <w:lang w:val="en-US" w:eastAsia="zh-CN"/>
        </w:rPr>
        <w:t>外溢</w:t>
      </w:r>
      <w:r>
        <w:rPr>
          <w:rFonts w:hint="default"/>
          <w:lang w:val="en-US" w:eastAsia="zh-CN"/>
        </w:rPr>
        <w:t>、扩散</w:t>
      </w:r>
      <w:r>
        <w:rPr>
          <w:rFonts w:hint="eastAsia"/>
          <w:lang w:val="en-US" w:eastAsia="zh-CN"/>
        </w:rPr>
        <w:t>；</w:t>
      </w:r>
      <w:r>
        <w:rPr>
          <w:rFonts w:hint="default"/>
          <w:lang w:val="en-US" w:eastAsia="zh-CN"/>
        </w:rPr>
        <w:t>阻止鸟类、鼠类、</w:t>
      </w:r>
      <w:r>
        <w:rPr>
          <w:rFonts w:hint="eastAsia"/>
          <w:lang w:val="en-US" w:eastAsia="zh-CN"/>
        </w:rPr>
        <w:t>蚊</w:t>
      </w:r>
      <w:r>
        <w:rPr>
          <w:rFonts w:hint="default"/>
          <w:lang w:val="en-US" w:eastAsia="zh-CN"/>
        </w:rPr>
        <w:t>蝇等与生活垃圾的</w:t>
      </w:r>
      <w:r>
        <w:rPr>
          <w:rFonts w:hint="eastAsia"/>
          <w:lang w:val="en-US" w:eastAsia="zh-CN"/>
        </w:rPr>
        <w:t>接</w:t>
      </w:r>
      <w:r>
        <w:rPr>
          <w:rFonts w:hint="default"/>
          <w:lang w:val="en-US" w:eastAsia="zh-CN"/>
        </w:rPr>
        <w:t>触，杜绝</w:t>
      </w:r>
      <w:r>
        <w:rPr>
          <w:rFonts w:hint="eastAsia"/>
          <w:lang w:val="en-US" w:eastAsia="zh-CN"/>
        </w:rPr>
        <w:t>疾病</w:t>
      </w:r>
      <w:r>
        <w:rPr>
          <w:rFonts w:hint="default"/>
          <w:lang w:val="en-US" w:eastAsia="zh-CN"/>
        </w:rPr>
        <w:t>的传播</w:t>
      </w:r>
      <w:r>
        <w:rPr>
          <w:rFonts w:hint="eastAsia"/>
          <w:lang w:val="en-US" w:eastAsia="zh-CN"/>
        </w:rPr>
        <w:t>；</w:t>
      </w:r>
      <w:r>
        <w:rPr>
          <w:rFonts w:hint="default"/>
          <w:lang w:val="en-US" w:eastAsia="zh-CN"/>
        </w:rPr>
        <w:t>避免填埋垃圾</w:t>
      </w:r>
      <w:r>
        <w:rPr>
          <w:rFonts w:hint="eastAsia"/>
          <w:lang w:val="en-US" w:eastAsia="zh-CN"/>
        </w:rPr>
        <w:t>随</w:t>
      </w:r>
      <w:r>
        <w:rPr>
          <w:rFonts w:hint="default"/>
          <w:lang w:val="en-US" w:eastAsia="zh-CN"/>
        </w:rPr>
        <w:t>风、雨四处飞扬、漂流</w:t>
      </w:r>
      <w:r>
        <w:rPr>
          <w:rFonts w:hint="eastAsia"/>
          <w:lang w:val="en-US" w:eastAsia="zh-CN"/>
        </w:rPr>
        <w:t>；</w:t>
      </w:r>
      <w:r>
        <w:rPr>
          <w:rFonts w:hint="default"/>
          <w:lang w:val="en-US" w:eastAsia="zh-CN"/>
        </w:rPr>
        <w:t>阻断垃圾堆体与人和动物的</w:t>
      </w:r>
      <w:r>
        <w:rPr>
          <w:rFonts w:hint="eastAsia"/>
          <w:lang w:val="en-US" w:eastAsia="zh-CN"/>
        </w:rPr>
        <w:t>直接</w:t>
      </w:r>
      <w:r>
        <w:rPr>
          <w:rFonts w:hint="default"/>
          <w:lang w:val="en-US" w:eastAsia="zh-CN"/>
        </w:rPr>
        <w:t>接触</w:t>
      </w:r>
      <w:r>
        <w:rPr>
          <w:rFonts w:hint="eastAsia"/>
          <w:lang w:val="en-US" w:eastAsia="zh-CN"/>
        </w:rPr>
        <w:t>；</w:t>
      </w:r>
      <w:r>
        <w:rPr>
          <w:rFonts w:hint="default"/>
          <w:lang w:val="en-US" w:eastAsia="zh-CN"/>
        </w:rPr>
        <w:t>终场覆盖有利于垃圾</w:t>
      </w:r>
      <w:r>
        <w:rPr>
          <w:rFonts w:hint="eastAsia"/>
          <w:lang w:val="en-US" w:eastAsia="zh-CN"/>
        </w:rPr>
        <w:t>堆体</w:t>
      </w:r>
      <w:r>
        <w:rPr>
          <w:rFonts w:hint="default"/>
          <w:lang w:val="en-US" w:eastAsia="zh-CN"/>
        </w:rPr>
        <w:t>表面的植被和绿化</w:t>
      </w:r>
      <w:r>
        <w:rPr>
          <w:rFonts w:hint="eastAsia"/>
          <w:lang w:val="en-US" w:eastAsia="zh-CN"/>
        </w:rPr>
        <w:t>；</w:t>
      </w:r>
      <w:r>
        <w:rPr>
          <w:rFonts w:hint="default"/>
          <w:lang w:val="en-US" w:eastAsia="zh-CN"/>
        </w:rPr>
        <w:t>便于</w:t>
      </w:r>
      <w:r>
        <w:rPr>
          <w:rFonts w:hint="eastAsia"/>
          <w:lang w:val="en-US" w:eastAsia="zh-CN"/>
        </w:rPr>
        <w:t>垃圾</w:t>
      </w:r>
      <w:r>
        <w:rPr>
          <w:rFonts w:hint="default"/>
          <w:lang w:val="en-US" w:eastAsia="zh-CN"/>
        </w:rPr>
        <w:t>填理</w:t>
      </w:r>
      <w:r>
        <w:rPr>
          <w:rFonts w:hint="eastAsia"/>
          <w:lang w:val="en-US" w:eastAsia="zh-CN"/>
        </w:rPr>
        <w:t>土</w:t>
      </w:r>
      <w:r>
        <w:rPr>
          <w:rFonts w:hint="default"/>
          <w:lang w:val="en-US" w:eastAsia="zh-CN"/>
        </w:rPr>
        <w:t>地的再利用。</w:t>
      </w:r>
    </w:p>
    <w:p>
      <w:pPr>
        <w:bidi w:val="0"/>
        <w:rPr>
          <w:rFonts w:hint="default"/>
          <w:lang w:val="en-US" w:eastAsia="zh-CN"/>
        </w:rPr>
      </w:pPr>
      <w:r>
        <w:rPr>
          <w:rFonts w:hint="default"/>
          <w:lang w:val="en-US" w:eastAsia="zh-CN"/>
        </w:rPr>
        <w:t>本工程</w:t>
      </w:r>
      <w:r>
        <w:rPr>
          <w:rFonts w:hint="eastAsia"/>
          <w:lang w:val="en-US" w:eastAsia="zh-CN"/>
        </w:rPr>
        <w:t>垃圾填埋</w:t>
      </w:r>
      <w:r>
        <w:rPr>
          <w:rFonts w:hint="default"/>
          <w:lang w:val="en-US" w:eastAsia="zh-CN"/>
        </w:rPr>
        <w:t>最终封场覆盖层采取下面作法</w:t>
      </w:r>
      <w:r>
        <w:rPr>
          <w:rFonts w:hint="eastAsia"/>
          <w:lang w:val="en-US" w:eastAsia="zh-CN"/>
        </w:rPr>
        <w:t>：</w:t>
      </w:r>
      <w:r>
        <w:rPr>
          <w:rFonts w:hint="default"/>
          <w:lang w:val="en-US" w:eastAsia="zh-CN"/>
        </w:rPr>
        <w:t>在垃圾层上铺一层0.3m厚的贴土层，上面再铺一层400g无纺</w:t>
      </w:r>
      <w:r>
        <w:rPr>
          <w:rFonts w:hint="eastAsia"/>
          <w:lang w:val="en-US" w:eastAsia="zh-CN"/>
        </w:rPr>
        <w:t>土工</w:t>
      </w:r>
      <w:r>
        <w:rPr>
          <w:rFonts w:hint="default"/>
          <w:lang w:val="en-US" w:eastAsia="zh-CN"/>
        </w:rPr>
        <w:t>布，无纺土</w:t>
      </w:r>
      <w:r>
        <w:rPr>
          <w:rFonts w:hint="eastAsia"/>
          <w:lang w:val="en-US" w:eastAsia="zh-CN"/>
        </w:rPr>
        <w:t>工</w:t>
      </w:r>
      <w:r>
        <w:rPr>
          <w:rFonts w:hint="default"/>
          <w:lang w:val="en-US" w:eastAsia="zh-CN"/>
        </w:rPr>
        <w:t>布上铺1.5mm厚双面HDPE</w:t>
      </w:r>
      <w:r>
        <w:rPr>
          <w:rFonts w:hint="eastAsia"/>
          <w:lang w:val="en-US" w:eastAsia="zh-CN"/>
        </w:rPr>
        <w:t>土</w:t>
      </w:r>
      <w:r>
        <w:rPr>
          <w:rFonts w:hint="default"/>
          <w:lang w:val="en-US" w:eastAsia="zh-CN"/>
        </w:rPr>
        <w:t>工膜，土工膜上铺复合三维排水网格，排水网格铺500mm厚压实七层压实土层上铺100mm厚耕植土层。符合《生活垃圾卫生填理场封场技术规程》(CJJ112-2007)有关规定</w:t>
      </w:r>
      <w:r>
        <w:rPr>
          <w:rFonts w:hint="eastAsia"/>
          <w:lang w:val="en-US" w:eastAsia="zh-CN"/>
        </w:rPr>
        <w:t>。</w:t>
      </w:r>
    </w:p>
    <w:p>
      <w:pPr>
        <w:bidi w:val="0"/>
        <w:rPr>
          <w:rFonts w:hint="default"/>
          <w:lang w:val="en-US" w:eastAsia="zh-CN"/>
        </w:rPr>
      </w:pPr>
      <w:r>
        <w:rPr>
          <w:rFonts w:hint="eastAsia"/>
          <w:lang w:val="en-US" w:eastAsia="zh-CN"/>
        </w:rPr>
        <w:t>（5）</w:t>
      </w:r>
      <w:r>
        <w:rPr>
          <w:rFonts w:hint="default"/>
          <w:lang w:val="en-US" w:eastAsia="zh-CN"/>
        </w:rPr>
        <w:t>灭虫</w:t>
      </w:r>
    </w:p>
    <w:p>
      <w:pPr>
        <w:bidi w:val="0"/>
        <w:rPr>
          <w:rFonts w:hint="default"/>
          <w:lang w:val="en-US" w:eastAsia="zh-CN"/>
        </w:rPr>
      </w:pPr>
      <w:r>
        <w:rPr>
          <w:rFonts w:hint="default"/>
          <w:lang w:val="en-US" w:eastAsia="zh-CN"/>
        </w:rPr>
        <w:t>为了防止垃圾填埋场蚊蜘滋生、鼠害泛滥，在拉圾堆体表面进行喷药杀虫，本工程设计垃圾填埋场配暨专门灭虫人员，在夏秋平节蚊娓活动期每天上、下午</w:t>
      </w:r>
      <w:r>
        <w:rPr>
          <w:rFonts w:hint="eastAsia"/>
          <w:lang w:val="en-US" w:eastAsia="zh-CN"/>
        </w:rPr>
        <w:t>哥进行1次喷药操作，也可以根据苍蝇、蚊虫的出现规律是时进行调整。</w:t>
      </w:r>
    </w:p>
    <w:p>
      <w:pPr>
        <w:bidi w:val="0"/>
        <w:rPr>
          <w:rFonts w:hint="default"/>
          <w:lang w:val="en-US" w:eastAsia="zh-CN"/>
        </w:rPr>
      </w:pPr>
      <w:r>
        <w:rPr>
          <w:rFonts w:hint="eastAsia"/>
          <w:lang w:val="en-US" w:eastAsia="zh-CN"/>
        </w:rPr>
        <w:t>根据现场实际调查，运行工艺与环评阶段一致。</w:t>
      </w:r>
    </w:p>
    <w:p>
      <w:pPr>
        <w:pStyle w:val="2"/>
        <w:bidi w:val="0"/>
        <w:rPr>
          <w:b/>
          <w:bCs/>
        </w:rPr>
      </w:pPr>
      <w:bookmarkStart w:id="27" w:name="_Toc18205"/>
      <w:r>
        <w:rPr>
          <w:b/>
          <w:bCs/>
        </w:rPr>
        <w:t>3.6</w:t>
      </w:r>
      <w:r>
        <w:rPr>
          <w:rFonts w:hint="eastAsia"/>
          <w:b/>
          <w:bCs/>
          <w:lang w:val="en-US" w:eastAsia="zh-CN"/>
        </w:rPr>
        <w:t xml:space="preserve">   </w:t>
      </w:r>
      <w:r>
        <w:rPr>
          <w:b/>
          <w:bCs/>
        </w:rPr>
        <w:t>项目变动情况</w:t>
      </w:r>
      <w:bookmarkEnd w:id="27"/>
    </w:p>
    <w:p>
      <w:pPr>
        <w:bidi w:val="0"/>
      </w:pPr>
      <w:r>
        <w:t>根据《关于加强建设项目重大变动环境影响评价管理工作的通知》（陕环环评函〔2021〕11号）文件规定</w:t>
      </w:r>
      <w:r>
        <w:rPr>
          <w:rFonts w:hint="eastAsia"/>
          <w:lang w:eastAsia="zh-CN"/>
        </w:rPr>
        <w:t>“</w:t>
      </w:r>
      <w:r>
        <w:t>建设项目的性质、规模、地点、生产工艺和环境保护措施五个因素中的一项或一项以上发生重大变动，且可能导致环境影响显著变化（特别是不利环境影响加重）的，界定为重大变动</w:t>
      </w:r>
      <w:r>
        <w:rPr>
          <w:rFonts w:hint="eastAsia"/>
          <w:lang w:eastAsia="zh-CN"/>
        </w:rPr>
        <w:t>”</w:t>
      </w:r>
      <w:r>
        <w:t>，以及生态环境部办公厅（环办环评函</w:t>
      </w:r>
      <w:r>
        <w:rPr>
          <w:rFonts w:hint="eastAsia"/>
        </w:rPr>
        <w:t>〔</w:t>
      </w:r>
      <w:r>
        <w:t>2020</w:t>
      </w:r>
      <w:r>
        <w:rPr>
          <w:rFonts w:hint="eastAsia"/>
        </w:rPr>
        <w:t>〕</w:t>
      </w:r>
      <w:r>
        <w:t>688号）关于印发《污染影响类建设项目重大变动清单》（试行）的通知有关规定</w:t>
      </w:r>
      <w:r>
        <w:rPr>
          <w:rFonts w:hint="eastAsia"/>
          <w:lang w:eastAsia="zh-CN"/>
        </w:rPr>
        <w:t>：</w:t>
      </w:r>
      <w:r>
        <w:t>适用于污染影响类建设项目环境影响评价管理进行判定。经现场调查和</w:t>
      </w:r>
      <w:r>
        <w:rPr>
          <w:rFonts w:hint="eastAsia"/>
          <w:lang w:val="en-US" w:eastAsia="zh-CN"/>
        </w:rPr>
        <w:t>与</w:t>
      </w:r>
      <w:r>
        <w:t>建设单位核实，本项目实际建设性质、地理位置、生产工艺、防治污染措施基本未发生变动，具体变动情况如下表所示：</w:t>
      </w:r>
    </w:p>
    <w:p>
      <w:pPr>
        <w:bidi w:val="0"/>
        <w:jc w:val="center"/>
        <w:rPr>
          <w:b/>
          <w:bCs/>
        </w:rPr>
      </w:pPr>
      <w:r>
        <w:rPr>
          <w:b/>
          <w:bCs/>
        </w:rPr>
        <w:t>表3-</w:t>
      </w:r>
      <w:r>
        <w:rPr>
          <w:rFonts w:hint="eastAsia"/>
          <w:b/>
          <w:bCs/>
          <w:lang w:val="en-US" w:eastAsia="zh-CN"/>
        </w:rPr>
        <w:t>3</w:t>
      </w:r>
      <w:r>
        <w:rPr>
          <w:b/>
          <w:bCs/>
        </w:rPr>
        <w:t xml:space="preserve">    项目变动情况一览表</w:t>
      </w:r>
    </w:p>
    <w:p>
      <w:pPr>
        <w:spacing w:line="88" w:lineRule="auto"/>
        <w:rPr>
          <w:rFonts w:ascii="Arial"/>
          <w:sz w:val="2"/>
        </w:rPr>
      </w:pPr>
    </w:p>
    <w:tbl>
      <w:tblPr>
        <w:tblStyle w:val="13"/>
        <w:tblW w:w="8699" w:type="dxa"/>
        <w:tblInd w:w="1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4877"/>
        <w:gridCol w:w="2644"/>
        <w:gridCol w:w="1178"/>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污染影响类建设项目重大变动清单</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具体情况</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是否属于重</w:t>
            </w:r>
            <w:r>
              <w:rPr>
                <w:rFonts w:hint="default" w:ascii="Times New Roman" w:hAnsi="Times New Roman" w:eastAsia="宋体" w:cs="Times New Roman"/>
                <w:spacing w:val="6"/>
                <w:sz w:val="21"/>
                <w:szCs w:val="21"/>
              </w:rPr>
              <w:t>大变更</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1.建设项目开发、使用功能发生变化的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无改变</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position w:val="1"/>
                <w:sz w:val="21"/>
                <w:szCs w:val="21"/>
              </w:rPr>
              <w:t>2.生产、处置或储存能力增大30%及以上的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无变化</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3.生产、处置或储存能力增大，导致废水第一类污染物排放量增</w:t>
            </w:r>
            <w:r>
              <w:rPr>
                <w:rFonts w:hint="default" w:ascii="Times New Roman" w:hAnsi="Times New Roman" w:eastAsia="宋体" w:cs="Times New Roman"/>
                <w:spacing w:val="3"/>
                <w:sz w:val="21"/>
                <w:szCs w:val="21"/>
              </w:rPr>
              <w:t>加的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本项目生产、处置</w:t>
            </w:r>
            <w:r>
              <w:rPr>
                <w:rFonts w:hint="default" w:ascii="Times New Roman" w:hAnsi="Times New Roman" w:eastAsia="宋体" w:cs="Times New Roman"/>
                <w:spacing w:val="7"/>
                <w:sz w:val="21"/>
                <w:szCs w:val="21"/>
              </w:rPr>
              <w:t>能力一致，且项目</w:t>
            </w:r>
            <w:r>
              <w:rPr>
                <w:rFonts w:hint="default" w:ascii="Times New Roman" w:hAnsi="Times New Roman" w:eastAsia="宋体" w:cs="Times New Roman"/>
                <w:spacing w:val="8"/>
                <w:sz w:val="21"/>
                <w:szCs w:val="21"/>
              </w:rPr>
              <w:t>渗滤液回喷，无第一类污染物增加</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450"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4.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w:t>
            </w:r>
            <w:r>
              <w:rPr>
                <w:rFonts w:hint="default" w:ascii="Times New Roman" w:hAnsi="Times New Roman" w:eastAsia="宋体" w:cs="Times New Roman"/>
                <w:spacing w:val="17"/>
                <w:sz w:val="21"/>
                <w:szCs w:val="21"/>
              </w:rPr>
              <w:t>）；</w:t>
            </w:r>
            <w:r>
              <w:rPr>
                <w:rFonts w:hint="default" w:ascii="Times New Roman" w:hAnsi="Times New Roman" w:eastAsia="宋体" w:cs="Times New Roman"/>
                <w:spacing w:val="9"/>
                <w:sz w:val="21"/>
                <w:szCs w:val="21"/>
              </w:rPr>
              <w:t>位于达标区的建设项目生产、处置或储存能力增大，导</w:t>
            </w:r>
            <w:r>
              <w:rPr>
                <w:rFonts w:hint="default" w:ascii="Times New Roman" w:hAnsi="Times New Roman" w:eastAsia="宋体" w:cs="Times New Roman"/>
                <w:spacing w:val="8"/>
                <w:sz w:val="21"/>
                <w:szCs w:val="21"/>
              </w:rPr>
              <w:t>致污染物排放量增加10%及以上的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位于达标区，</w:t>
            </w:r>
            <w:r>
              <w:rPr>
                <w:rFonts w:hint="default" w:ascii="Times New Roman" w:hAnsi="Times New Roman" w:eastAsia="宋体" w:cs="Times New Roman"/>
                <w:spacing w:val="-48"/>
                <w:sz w:val="21"/>
                <w:szCs w:val="21"/>
              </w:rPr>
              <w:t xml:space="preserve"> </w:t>
            </w:r>
            <w:r>
              <w:rPr>
                <w:rFonts w:hint="default" w:ascii="Times New Roman" w:hAnsi="Times New Roman" w:eastAsia="宋体" w:cs="Times New Roman"/>
                <w:spacing w:val="2"/>
                <w:sz w:val="21"/>
                <w:szCs w:val="21"/>
              </w:rPr>
              <w:t>日处</w:t>
            </w:r>
            <w:r>
              <w:rPr>
                <w:rFonts w:hint="default" w:ascii="Times New Roman" w:hAnsi="Times New Roman" w:eastAsia="宋体" w:cs="Times New Roman"/>
                <w:spacing w:val="8"/>
                <w:sz w:val="21"/>
                <w:szCs w:val="21"/>
              </w:rPr>
              <w:t>理能力未增加，未</w:t>
            </w:r>
            <w:r>
              <w:rPr>
                <w:rFonts w:hint="default" w:ascii="Times New Roman" w:hAnsi="Times New Roman" w:eastAsia="宋体" w:cs="Times New Roman"/>
                <w:spacing w:val="7"/>
                <w:sz w:val="21"/>
                <w:szCs w:val="21"/>
              </w:rPr>
              <w:t>导致污染物排放增</w:t>
            </w:r>
            <w:r>
              <w:rPr>
                <w:rFonts w:hint="default" w:ascii="Times New Roman" w:hAnsi="Times New Roman" w:eastAsia="宋体" w:cs="Times New Roman"/>
                <w:sz w:val="21"/>
                <w:szCs w:val="21"/>
              </w:rPr>
              <w:t>加</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5.重新选址；在原厂址附近调整（包括总平</w:t>
            </w:r>
            <w:r>
              <w:rPr>
                <w:rFonts w:hint="default" w:ascii="Times New Roman" w:hAnsi="Times New Roman" w:eastAsia="宋体" w:cs="Times New Roman"/>
                <w:spacing w:val="8"/>
                <w:sz w:val="21"/>
                <w:szCs w:val="21"/>
              </w:rPr>
              <w:t>面布置变化）导致环境防护距离范围变化且新增敏感点的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选址未变，敏感点</w:t>
            </w:r>
            <w:r>
              <w:rPr>
                <w:rFonts w:hint="default" w:ascii="Times New Roman" w:hAnsi="Times New Roman" w:eastAsia="宋体" w:cs="Times New Roman"/>
                <w:spacing w:val="5"/>
                <w:sz w:val="21"/>
                <w:szCs w:val="21"/>
              </w:rPr>
              <w:t>未变化</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907"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6.新增产品品种或生产工艺（含主要生产装置、设备及配套设</w:t>
            </w:r>
            <w:r>
              <w:rPr>
                <w:rFonts w:hint="default" w:ascii="Times New Roman" w:hAnsi="Times New Roman" w:eastAsia="宋体" w:cs="Times New Roman"/>
                <w:spacing w:val="8"/>
                <w:sz w:val="21"/>
                <w:szCs w:val="21"/>
              </w:rPr>
              <w:t>施）、主要原辅材料、燃料变化，导</w:t>
            </w:r>
            <w:r>
              <w:rPr>
                <w:rFonts w:hint="default" w:ascii="Times New Roman" w:hAnsi="Times New Roman" w:eastAsia="宋体" w:cs="Times New Roman"/>
                <w:spacing w:val="-19"/>
                <w:sz w:val="21"/>
                <w:szCs w:val="21"/>
              </w:rPr>
              <w:t xml:space="preserve"> </w:t>
            </w:r>
            <w:r>
              <w:rPr>
                <w:rFonts w:hint="default" w:ascii="Times New Roman" w:hAnsi="Times New Roman" w:eastAsia="宋体" w:cs="Times New Roman"/>
                <w:spacing w:val="8"/>
                <w:sz w:val="21"/>
                <w:szCs w:val="21"/>
              </w:rPr>
              <w:t>致以下情形之一</w:t>
            </w:r>
            <w:r>
              <w:rPr>
                <w:rFonts w:hint="eastAsia" w:ascii="Times New Roman" w:hAnsi="Times New Roman" w:cs="Times New Roman"/>
                <w:spacing w:val="8"/>
                <w:sz w:val="21"/>
                <w:szCs w:val="21"/>
                <w:lang w:eastAsia="zh-CN"/>
              </w:rPr>
              <w:t>：</w:t>
            </w:r>
            <w:r>
              <w:rPr>
                <w:rFonts w:hint="default" w:ascii="Times New Roman" w:hAnsi="Times New Roman" w:eastAsia="宋体" w:cs="Times New Roman"/>
                <w:spacing w:val="9"/>
                <w:sz w:val="21"/>
                <w:szCs w:val="21"/>
              </w:rPr>
              <w:t>新增排放污染物种类的（毒性、挥发性降低的除外</w:t>
            </w:r>
            <w:r>
              <w:rPr>
                <w:rFonts w:hint="default" w:ascii="Times New Roman" w:hAnsi="Times New Roman" w:eastAsia="宋体" w:cs="Times New Roman"/>
                <w:spacing w:val="4"/>
                <w:sz w:val="21"/>
                <w:szCs w:val="21"/>
              </w:rPr>
              <w:t>）；</w:t>
            </w:r>
            <w:r>
              <w:rPr>
                <w:rFonts w:hint="default" w:ascii="Times New Roman" w:hAnsi="Times New Roman" w:eastAsia="宋体" w:cs="Times New Roman"/>
                <w:spacing w:val="9"/>
                <w:sz w:val="21"/>
                <w:szCs w:val="21"/>
              </w:rPr>
              <w:t>位于环境质量不达标区的建设项目相应污染物排放量增加的；</w:t>
            </w:r>
            <w:r>
              <w:rPr>
                <w:rFonts w:hint="default" w:ascii="Times New Roman" w:hAnsi="Times New Roman" w:eastAsia="宋体" w:cs="Times New Roman"/>
                <w:spacing w:val="8"/>
                <w:sz w:val="21"/>
                <w:szCs w:val="21"/>
              </w:rPr>
              <w:t>废水第一类污染物排放量增加的；</w:t>
            </w:r>
            <w:r>
              <w:rPr>
                <w:rFonts w:hint="default" w:ascii="Times New Roman" w:hAnsi="Times New Roman" w:eastAsia="宋体" w:cs="Times New Roman"/>
                <w:spacing w:val="6"/>
                <w:sz w:val="21"/>
                <w:szCs w:val="21"/>
              </w:rPr>
              <w:t>其他污染物排放量增加10%及以上的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本项目与环评相比，运营方式未变化，无废水第一类污染物排放，其他污染物无明显增加</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7.物料运输、装卸、贮存方式变化，导致大气污</w:t>
            </w:r>
            <w:r>
              <w:rPr>
                <w:rFonts w:hint="default" w:ascii="Times New Roman" w:hAnsi="Times New Roman" w:eastAsia="宋体" w:cs="Times New Roman"/>
                <w:spacing w:val="8"/>
                <w:sz w:val="21"/>
                <w:szCs w:val="21"/>
              </w:rPr>
              <w:t>染物无组织排</w:t>
            </w:r>
            <w:r>
              <w:rPr>
                <w:rFonts w:hint="default" w:ascii="Times New Roman" w:hAnsi="Times New Roman" w:eastAsia="宋体" w:cs="Times New Roman"/>
                <w:spacing w:val="5"/>
                <w:sz w:val="21"/>
                <w:szCs w:val="21"/>
              </w:rPr>
              <w:t>放量增加10%及以上的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本项目物料运输、装卸、贮存方式未</w:t>
            </w:r>
            <w:r>
              <w:rPr>
                <w:rFonts w:hint="default" w:ascii="Times New Roman" w:hAnsi="Times New Roman" w:eastAsia="宋体" w:cs="Times New Roman"/>
                <w:spacing w:val="6"/>
                <w:sz w:val="21"/>
                <w:szCs w:val="21"/>
              </w:rPr>
              <w:t>发生变化</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8.废气、废水污染防治措施变化，导致第6条中</w:t>
            </w:r>
            <w:r>
              <w:rPr>
                <w:rFonts w:hint="default" w:ascii="Times New Roman" w:hAnsi="Times New Roman" w:eastAsia="宋体" w:cs="Times New Roman"/>
                <w:spacing w:val="8"/>
                <w:sz w:val="21"/>
                <w:szCs w:val="21"/>
              </w:rPr>
              <w:t>所列情形之一</w:t>
            </w:r>
            <w:r>
              <w:rPr>
                <w:rFonts w:hint="default" w:ascii="Times New Roman" w:hAnsi="Times New Roman" w:eastAsia="宋体" w:cs="Times New Roman"/>
                <w:spacing w:val="9"/>
                <w:sz w:val="21"/>
                <w:szCs w:val="21"/>
              </w:rPr>
              <w:t>（废气无组织排放改为有组织排放、污染防治措施强化或改进</w:t>
            </w:r>
            <w:r>
              <w:rPr>
                <w:rFonts w:hint="default" w:ascii="Times New Roman" w:hAnsi="Times New Roman" w:eastAsia="宋体" w:cs="Times New Roman"/>
                <w:spacing w:val="8"/>
                <w:sz w:val="21"/>
                <w:szCs w:val="21"/>
              </w:rPr>
              <w:t>的除外）或大气污染物无组织排放量增加10%及以上的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无变化</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9.新增废水直接排放口；废水由间接排放改为直接排放；废水直</w:t>
            </w:r>
            <w:r>
              <w:rPr>
                <w:rFonts w:hint="default" w:ascii="Times New Roman" w:hAnsi="Times New Roman" w:eastAsia="宋体" w:cs="Times New Roman"/>
                <w:spacing w:val="8"/>
                <w:sz w:val="21"/>
                <w:szCs w:val="21"/>
              </w:rPr>
              <w:t>接排放口位置变化，导致不利环境</w:t>
            </w:r>
            <w:r>
              <w:rPr>
                <w:rFonts w:hint="default" w:ascii="Times New Roman" w:hAnsi="Times New Roman" w:eastAsia="宋体" w:cs="Times New Roman"/>
                <w:spacing w:val="-24"/>
                <w:sz w:val="21"/>
                <w:szCs w:val="21"/>
              </w:rPr>
              <w:t xml:space="preserve"> </w:t>
            </w:r>
            <w:r>
              <w:rPr>
                <w:rFonts w:hint="default" w:ascii="Times New Roman" w:hAnsi="Times New Roman" w:eastAsia="宋体" w:cs="Times New Roman"/>
                <w:spacing w:val="8"/>
                <w:sz w:val="21"/>
                <w:szCs w:val="21"/>
              </w:rPr>
              <w:t>影响加重的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本项目生活污水为职工简单洗漱废水，直接泼洒降尘，渗滤液回喷，无直</w:t>
            </w:r>
            <w:r>
              <w:rPr>
                <w:rFonts w:hint="default" w:ascii="Times New Roman" w:hAnsi="Times New Roman" w:eastAsia="宋体" w:cs="Times New Roman"/>
                <w:spacing w:val="7"/>
                <w:sz w:val="21"/>
                <w:szCs w:val="21"/>
              </w:rPr>
              <w:t>接排放口</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10.新增废气主要排放口（废气无组织排放改为有组织排放的除</w:t>
            </w:r>
            <w:r>
              <w:rPr>
                <w:rFonts w:hint="default" w:ascii="Times New Roman" w:hAnsi="Times New Roman" w:eastAsia="宋体" w:cs="Times New Roman"/>
                <w:spacing w:val="7"/>
                <w:sz w:val="21"/>
                <w:szCs w:val="21"/>
              </w:rPr>
              <w:t>外</w:t>
            </w:r>
            <w:r>
              <w:rPr>
                <w:rFonts w:hint="default" w:ascii="Times New Roman" w:hAnsi="Times New Roman" w:eastAsia="宋体" w:cs="Times New Roman"/>
                <w:spacing w:val="21"/>
                <w:sz w:val="21"/>
                <w:szCs w:val="21"/>
              </w:rPr>
              <w:t>）；</w:t>
            </w:r>
            <w:r>
              <w:rPr>
                <w:rFonts w:hint="default" w:ascii="Times New Roman" w:hAnsi="Times New Roman" w:eastAsia="宋体" w:cs="Times New Roman"/>
                <w:spacing w:val="7"/>
                <w:sz w:val="21"/>
                <w:szCs w:val="21"/>
              </w:rPr>
              <w:t>主要排放口排气筒高度降低10%及以上的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项目区废气无组织</w:t>
            </w:r>
            <w:r>
              <w:rPr>
                <w:rFonts w:hint="default" w:ascii="Times New Roman" w:hAnsi="Times New Roman" w:eastAsia="宋体" w:cs="Times New Roman"/>
                <w:spacing w:val="1"/>
                <w:sz w:val="21"/>
                <w:szCs w:val="21"/>
              </w:rPr>
              <w:t xml:space="preserve"> </w:t>
            </w:r>
            <w:r>
              <w:rPr>
                <w:rFonts w:hint="default" w:ascii="Times New Roman" w:hAnsi="Times New Roman" w:eastAsia="宋体" w:cs="Times New Roman"/>
                <w:spacing w:val="4"/>
                <w:sz w:val="21"/>
                <w:szCs w:val="21"/>
              </w:rPr>
              <w:t>排放</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11.噪声、土壤或地下水污染防治措施变化，导致不利环境影响</w:t>
            </w:r>
            <w:r>
              <w:rPr>
                <w:rFonts w:hint="default" w:ascii="Times New Roman" w:hAnsi="Times New Roman" w:eastAsia="宋体" w:cs="Times New Roman"/>
                <w:spacing w:val="5"/>
                <w:sz w:val="21"/>
                <w:szCs w:val="21"/>
              </w:rPr>
              <w:t>加重的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噪声、土壤或地下</w:t>
            </w:r>
            <w:r>
              <w:rPr>
                <w:rFonts w:hint="default" w:ascii="Times New Roman" w:hAnsi="Times New Roman" w:eastAsia="宋体" w:cs="Times New Roman"/>
                <w:spacing w:val="8"/>
                <w:sz w:val="21"/>
                <w:szCs w:val="21"/>
              </w:rPr>
              <w:t>水污染防治措施未</w:t>
            </w:r>
            <w:r>
              <w:rPr>
                <w:rFonts w:hint="default" w:ascii="Times New Roman" w:hAnsi="Times New Roman" w:eastAsia="宋体" w:cs="Times New Roman"/>
                <w:spacing w:val="6"/>
                <w:sz w:val="21"/>
                <w:szCs w:val="21"/>
              </w:rPr>
              <w:t>发生变化</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12.固体废物利用处置方式由委托外单位利用处置改为自行利用</w:t>
            </w:r>
            <w:r>
              <w:rPr>
                <w:rFonts w:hint="default" w:ascii="Times New Roman" w:hAnsi="Times New Roman" w:eastAsia="宋体" w:cs="Times New Roman"/>
                <w:spacing w:val="9"/>
                <w:sz w:val="21"/>
                <w:szCs w:val="21"/>
              </w:rPr>
              <w:t>处置的（自行利用处置设施单独开展环境影响评价的除外</w:t>
            </w:r>
            <w:r>
              <w:rPr>
                <w:rFonts w:hint="default" w:ascii="Times New Roman" w:hAnsi="Times New Roman" w:eastAsia="宋体" w:cs="Times New Roman"/>
                <w:spacing w:val="-12"/>
                <w:sz w:val="21"/>
                <w:szCs w:val="21"/>
              </w:rPr>
              <w:t>）；</w:t>
            </w:r>
            <w:r>
              <w:rPr>
                <w:rFonts w:hint="default" w:ascii="Times New Roman" w:hAnsi="Times New Roman" w:eastAsia="宋体" w:cs="Times New Roman"/>
                <w:spacing w:val="8"/>
                <w:sz w:val="21"/>
                <w:szCs w:val="21"/>
              </w:rPr>
              <w:t>固体废物自行处置方式变化，导致不利环境影响加重的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固体废物处置方式</w:t>
            </w:r>
            <w:r>
              <w:rPr>
                <w:rFonts w:hint="default" w:ascii="Times New Roman" w:hAnsi="Times New Roman" w:eastAsia="宋体" w:cs="Times New Roman"/>
                <w:spacing w:val="8"/>
                <w:sz w:val="21"/>
                <w:szCs w:val="21"/>
              </w:rPr>
              <w:t>与环评一致，未发</w:t>
            </w:r>
            <w:r>
              <w:rPr>
                <w:rFonts w:hint="default" w:ascii="Times New Roman" w:hAnsi="Times New Roman" w:eastAsia="宋体" w:cs="Times New Roman"/>
                <w:spacing w:val="6"/>
                <w:sz w:val="21"/>
                <w:szCs w:val="21"/>
              </w:rPr>
              <w:t>生改变</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4877"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both"/>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13.事故废水暂存能力或拦截设施变化，导致环境风险防范能力</w:t>
            </w:r>
            <w:r>
              <w:rPr>
                <w:rFonts w:hint="default" w:ascii="Times New Roman" w:hAnsi="Times New Roman" w:eastAsia="宋体" w:cs="Times New Roman"/>
                <w:spacing w:val="6"/>
                <w:sz w:val="21"/>
                <w:szCs w:val="21"/>
              </w:rPr>
              <w:t>弱化或降低的</w:t>
            </w:r>
          </w:p>
        </w:tc>
        <w:tc>
          <w:tcPr>
            <w:tcW w:w="26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w:t>
            </w:r>
          </w:p>
        </w:tc>
        <w:tc>
          <w:tcPr>
            <w:tcW w:w="117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48" w:leftChars="20" w:right="113"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不属于</w:t>
            </w:r>
          </w:p>
        </w:tc>
      </w:tr>
    </w:tbl>
    <w:p>
      <w:pPr>
        <w:bidi w:val="0"/>
      </w:pPr>
      <w:r>
        <w:rPr>
          <w:rFonts w:hint="eastAsia"/>
          <w:color w:val="000000" w:themeColor="text1"/>
          <w:lang w:val="en-US" w:eastAsia="zh-CN"/>
          <w14:textFill>
            <w14:solidFill>
              <w14:schemeClr w14:val="tx1"/>
            </w14:solidFill>
          </w14:textFill>
        </w:rPr>
        <w:t>本项目在运行过程中变动情况：由于洗车场所离本项目场区距离相近，因此未设置洗车平台，不属于</w:t>
      </w:r>
      <w:r>
        <w:rPr>
          <w:color w:val="000000" w:themeColor="text1"/>
          <w14:textFill>
            <w14:solidFill>
              <w14:schemeClr w14:val="tx1"/>
            </w14:solidFill>
          </w14:textFill>
        </w:rPr>
        <w:t>《污染影响类建设项目重大变动清单》</w:t>
      </w:r>
      <w:r>
        <w:rPr>
          <w:rFonts w:hint="eastAsia"/>
          <w:color w:val="000000" w:themeColor="text1"/>
          <w:lang w:val="en-US" w:eastAsia="zh-CN"/>
          <w14:textFill>
            <w14:solidFill>
              <w14:schemeClr w14:val="tx1"/>
            </w14:solidFill>
          </w14:textFill>
        </w:rPr>
        <w:t>所列项</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根据上表可知，本项目未发生重大变动。</w:t>
      </w:r>
    </w:p>
    <w:p>
      <w:pPr>
        <w:spacing w:line="240" w:lineRule="auto"/>
        <w:ind w:left="0" w:leftChars="0" w:firstLine="0" w:firstLineChars="0"/>
        <w:jc w:val="center"/>
        <w:sectPr>
          <w:footerReference r:id="rId7"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3"/>
        <w:bidi w:val="0"/>
      </w:pPr>
      <w:bookmarkStart w:id="28" w:name="bookmark4"/>
      <w:bookmarkEnd w:id="28"/>
      <w:bookmarkStart w:id="29" w:name="_Toc4573"/>
      <w:r>
        <w:rPr>
          <w:rFonts w:hint="eastAsia"/>
          <w:b/>
          <w:bCs w:val="0"/>
          <w:lang w:val="en-US" w:eastAsia="zh-CN"/>
        </w:rPr>
        <w:t xml:space="preserve">第四章   </w:t>
      </w:r>
      <w:r>
        <w:rPr>
          <w:b/>
          <w:bCs w:val="0"/>
        </w:rPr>
        <w:t>环境保护措施</w:t>
      </w:r>
      <w:bookmarkEnd w:id="29"/>
    </w:p>
    <w:p>
      <w:pPr>
        <w:pStyle w:val="2"/>
        <w:bidi w:val="0"/>
        <w:rPr>
          <w:b/>
          <w:bCs/>
        </w:rPr>
      </w:pPr>
      <w:bookmarkStart w:id="30" w:name="_Toc22964"/>
      <w:r>
        <w:rPr>
          <w:b/>
          <w:bCs/>
        </w:rPr>
        <w:t>4.1</w:t>
      </w:r>
      <w:r>
        <w:rPr>
          <w:rFonts w:hint="eastAsia"/>
          <w:b/>
          <w:bCs/>
          <w:lang w:val="en-US" w:eastAsia="zh-CN"/>
        </w:rPr>
        <w:t xml:space="preserve">   </w:t>
      </w:r>
      <w:r>
        <w:rPr>
          <w:b/>
          <w:bCs/>
        </w:rPr>
        <w:t>污染物治理/处置设施</w:t>
      </w:r>
      <w:bookmarkEnd w:id="30"/>
    </w:p>
    <w:p>
      <w:pPr>
        <w:bidi w:val="0"/>
        <w:rPr>
          <w:b/>
          <w:bCs/>
        </w:rPr>
      </w:pPr>
      <w:r>
        <w:rPr>
          <w:b/>
          <w:bCs/>
        </w:rPr>
        <w:t>4.1.1</w:t>
      </w:r>
      <w:r>
        <w:rPr>
          <w:rFonts w:hint="eastAsia"/>
          <w:b/>
          <w:bCs/>
          <w:lang w:val="en-US" w:eastAsia="zh-CN"/>
        </w:rPr>
        <w:t xml:space="preserve">  </w:t>
      </w:r>
      <w:r>
        <w:rPr>
          <w:b/>
          <w:bCs/>
        </w:rPr>
        <w:t>废水</w:t>
      </w:r>
    </w:p>
    <w:p>
      <w:pPr>
        <w:bidi w:val="0"/>
        <w:rPr>
          <w:rFonts w:hint="eastAsia"/>
          <w:lang w:eastAsia="zh-CN"/>
        </w:rPr>
      </w:pPr>
      <w:r>
        <w:t>项目运营期产生的废水主要是垃圾填埋场产生的渗滤液和生活辅助区的生活污水</w:t>
      </w:r>
      <w:r>
        <w:rPr>
          <w:rFonts w:hint="eastAsia"/>
          <w:lang w:eastAsia="zh-CN"/>
        </w:rPr>
        <w:t>。</w:t>
      </w:r>
    </w:p>
    <w:p>
      <w:pPr>
        <w:bidi w:val="0"/>
      </w:pPr>
      <w:r>
        <w:t>（1）垃圾渗滤液</w:t>
      </w:r>
    </w:p>
    <w:p>
      <w:pPr>
        <w:bidi w:val="0"/>
        <w:ind w:left="0" w:leftChars="0" w:firstLine="480" w:firstLineChars="200"/>
      </w:pPr>
      <w:r>
        <w:t>垃圾渗滤液是一种高浓度有机废水，同时还含有大量细菌、病原菌和有毒有害物质，成份较为复杂。本项目渗滤液最终去向为回喷填埋区处理。渗滤液产生量不大，渗滤液经渗滤液调节池收集后回灌垃圾堆体蒸发处理。渗滤液集液池位于下游垃圾坝下方，有效容积600m</w:t>
      </w:r>
      <w:r>
        <w:rPr>
          <w:vertAlign w:val="superscript"/>
        </w:rPr>
        <w:t>3</w:t>
      </w:r>
      <w:r>
        <w:t>。因此，本项目渗滤液经渗滤液调节池收集后直接回灌蒸发处理。</w:t>
      </w:r>
    </w:p>
    <w:p>
      <w:pPr>
        <w:bidi w:val="0"/>
        <w:rPr>
          <w:rFonts w:hint="eastAsia" w:eastAsia="宋体"/>
          <w:lang w:eastAsia="zh-CN"/>
        </w:rPr>
      </w:pPr>
      <w:r>
        <w:t>（2）生活</w:t>
      </w:r>
      <w:r>
        <w:rPr>
          <w:rFonts w:hint="eastAsia"/>
          <w:lang w:val="en-US" w:eastAsia="zh-CN"/>
        </w:rPr>
        <w:t>污水</w:t>
      </w:r>
    </w:p>
    <w:p>
      <w:pPr>
        <w:bidi w:val="0"/>
      </w:pPr>
      <w:r>
        <w:t>项目运营期生产生活辅助区废水主要是职工生活污水，生活污水为职工简单洗漱废水，</w:t>
      </w:r>
      <w:r>
        <w:rPr>
          <w:rFonts w:hint="eastAsia"/>
          <w:lang w:val="en-US" w:eastAsia="zh-CN"/>
        </w:rPr>
        <w:t>直接泼洒降尘</w:t>
      </w:r>
      <w:r>
        <w:t>。</w:t>
      </w:r>
    </w:p>
    <w:p>
      <w:pPr>
        <w:bidi w:val="0"/>
        <w:rPr>
          <w:b/>
          <w:bCs/>
        </w:rPr>
      </w:pPr>
      <w:r>
        <w:rPr>
          <w:b/>
          <w:bCs/>
        </w:rPr>
        <w:t>4.1.2</w:t>
      </w:r>
      <w:r>
        <w:rPr>
          <w:rFonts w:hint="eastAsia"/>
          <w:b/>
          <w:bCs/>
          <w:lang w:val="en-US" w:eastAsia="zh-CN"/>
        </w:rPr>
        <w:t xml:space="preserve">  </w:t>
      </w:r>
      <w:r>
        <w:rPr>
          <w:b/>
          <w:bCs/>
        </w:rPr>
        <w:t>废气</w:t>
      </w:r>
    </w:p>
    <w:p>
      <w:pPr>
        <w:bidi w:val="0"/>
      </w:pPr>
      <w:r>
        <w:rPr>
          <w:rFonts w:hint="eastAsia"/>
          <w:lang w:val="en-US" w:eastAsia="zh-CN"/>
        </w:rPr>
        <w:t>本项目运行过程中的废气主要是填埋气体、恶臭、以及转运、倾倒过程中产生的扬尘</w:t>
      </w:r>
      <w:r>
        <w:t>。</w:t>
      </w:r>
    </w:p>
    <w:p>
      <w:pPr>
        <w:numPr>
          <w:ilvl w:val="0"/>
          <w:numId w:val="0"/>
        </w:numPr>
        <w:bidi w:val="0"/>
        <w:ind w:firstLine="480" w:firstLineChars="200"/>
        <w:rPr>
          <w:rFonts w:hint="eastAsia"/>
          <w:lang w:val="en-US" w:eastAsia="zh-CN"/>
        </w:rPr>
      </w:pPr>
      <w:r>
        <w:rPr>
          <w:rFonts w:hint="eastAsia" w:ascii="Times New Roman" w:hAnsi="Times New Roman" w:eastAsia="宋体" w:cs="Arial"/>
          <w:snapToGrid w:val="0"/>
          <w:color w:val="000000"/>
          <w:kern w:val="0"/>
          <w:sz w:val="24"/>
          <w:szCs w:val="21"/>
          <w:lang w:val="en-US" w:eastAsia="zh-CN" w:bidi="ar-SA"/>
        </w:rPr>
        <w:t>（1）</w:t>
      </w:r>
      <w:r>
        <w:rPr>
          <w:rFonts w:hint="eastAsia"/>
          <w:lang w:val="en-US" w:eastAsia="zh-CN"/>
        </w:rPr>
        <w:t>填埋气体：本填埋场填埋气体产生量较少，利用经济性不高，通过垂直导排管将其有组织地引排出垃圾堆体。</w:t>
      </w:r>
    </w:p>
    <w:p>
      <w:pPr>
        <w:numPr>
          <w:ilvl w:val="0"/>
          <w:numId w:val="0"/>
        </w:numPr>
        <w:bidi w:val="0"/>
        <w:ind w:firstLine="480" w:firstLineChars="200"/>
        <w:rPr>
          <w:rFonts w:hint="eastAsia"/>
          <w:lang w:val="en-US" w:eastAsia="zh-CN"/>
        </w:rPr>
      </w:pPr>
      <w:r>
        <w:rPr>
          <w:rFonts w:hint="eastAsia" w:ascii="Times New Roman" w:hAnsi="Times New Roman" w:eastAsia="宋体" w:cs="Arial"/>
          <w:snapToGrid w:val="0"/>
          <w:color w:val="000000"/>
          <w:kern w:val="0"/>
          <w:sz w:val="24"/>
          <w:szCs w:val="21"/>
          <w:lang w:val="en-US" w:eastAsia="zh-CN" w:bidi="ar-SA"/>
        </w:rPr>
        <w:t>（2）</w:t>
      </w:r>
      <w:r>
        <w:rPr>
          <w:rFonts w:hint="eastAsia"/>
          <w:lang w:val="en-US" w:eastAsia="zh-CN"/>
        </w:rPr>
        <w:t>恶臭：垃圾填理场的恶臭主要来自垃圾中有机物分解产生的NH</w:t>
      </w:r>
      <w:r>
        <w:rPr>
          <w:rFonts w:hint="eastAsia"/>
          <w:vertAlign w:val="subscript"/>
          <w:lang w:val="en-US" w:eastAsia="zh-CN"/>
        </w:rPr>
        <w:t>3</w:t>
      </w:r>
      <w:r>
        <w:rPr>
          <w:rFonts w:hint="eastAsia"/>
          <w:lang w:val="en-US" w:eastAsia="zh-CN"/>
        </w:rPr>
        <w:t>和H</w:t>
      </w:r>
      <w:r>
        <w:rPr>
          <w:rFonts w:hint="eastAsia"/>
          <w:vertAlign w:val="subscript"/>
          <w:lang w:val="en-US" w:eastAsia="zh-CN"/>
        </w:rPr>
        <w:t>2</w:t>
      </w:r>
      <w:r>
        <w:rPr>
          <w:rFonts w:hint="eastAsia"/>
          <w:lang w:val="en-US" w:eastAsia="zh-CN"/>
        </w:rPr>
        <w:t>S以及渗沥液产生的臭气。由于垃圾埋场是开放型的，因此采用及时覆盖抑制臭气的散发，土壤中的微生物本身还有脱臭除臭作用。</w:t>
      </w:r>
    </w:p>
    <w:p>
      <w:pPr>
        <w:bidi w:val="0"/>
        <w:rPr>
          <w:rFonts w:hint="default"/>
          <w:lang w:val="en-US" w:eastAsia="zh-CN"/>
        </w:rPr>
      </w:pPr>
      <w:r>
        <w:rPr>
          <w:rFonts w:hint="eastAsia"/>
          <w:lang w:val="en-US" w:eastAsia="zh-CN"/>
        </w:rPr>
        <w:t>经现场勘察及走访了解，每次倾倒垃圾后及时覆土压实，确保垃圾不暴露在空气中；垃圾填埋区定期喷洒除臭药物，夏季适当增加喷洒次数；渗滤液收集池顶部加盖密封。</w:t>
      </w:r>
    </w:p>
    <w:p>
      <w:pPr>
        <w:bidi w:val="0"/>
        <w:rPr>
          <w:rFonts w:hint="eastAsia"/>
          <w:lang w:val="en-US" w:eastAsia="zh-CN"/>
        </w:rPr>
      </w:pPr>
      <w:r>
        <w:rPr>
          <w:rFonts w:hint="eastAsia"/>
          <w:lang w:val="en-US" w:eastAsia="zh-CN"/>
        </w:rPr>
        <w:t>（3）扬尘</w:t>
      </w:r>
    </w:p>
    <w:p>
      <w:pPr>
        <w:bidi w:val="0"/>
        <w:rPr>
          <w:rFonts w:hint="default"/>
          <w:lang w:val="en-US" w:eastAsia="zh-CN"/>
        </w:rPr>
      </w:pPr>
      <w:r>
        <w:rPr>
          <w:rFonts w:hint="eastAsia"/>
          <w:lang w:val="en-US" w:eastAsia="zh-CN"/>
        </w:rPr>
        <w:t>经现场勘察及走访了解，垃圾填埋场和取土场定期洒水；采用了集装箱密封垃圾转运车；作业区四周设置了网围栏。</w:t>
      </w:r>
    </w:p>
    <w:p>
      <w:pPr>
        <w:bidi w:val="0"/>
        <w:rPr>
          <w:b/>
          <w:bCs/>
        </w:rPr>
      </w:pPr>
      <w:r>
        <w:rPr>
          <w:b/>
          <w:bCs/>
        </w:rPr>
        <w:t>4.1.3</w:t>
      </w:r>
      <w:r>
        <w:rPr>
          <w:rFonts w:hint="eastAsia"/>
          <w:b/>
          <w:bCs/>
          <w:lang w:val="en-US" w:eastAsia="zh-CN"/>
        </w:rPr>
        <w:t xml:space="preserve">   </w:t>
      </w:r>
      <w:r>
        <w:rPr>
          <w:b/>
          <w:bCs/>
        </w:rPr>
        <w:t>噪声</w:t>
      </w:r>
    </w:p>
    <w:p>
      <w:pPr>
        <w:bidi w:val="0"/>
      </w:pPr>
      <w:r>
        <w:t>本项目产生的噪声主要为污水处理设施水泵、分体式空调运行噪声。柴油发电机和水泵、采用墙体隔声、基础减振等措施后对周围环境影响较小。</w:t>
      </w:r>
    </w:p>
    <w:p>
      <w:pPr>
        <w:bidi w:val="0"/>
        <w:rPr>
          <w:b/>
          <w:bCs/>
        </w:rPr>
      </w:pPr>
      <w:r>
        <w:rPr>
          <w:b/>
          <w:bCs/>
        </w:rPr>
        <w:t>4.1.4. 固体废物</w:t>
      </w:r>
    </w:p>
    <w:p>
      <w:pPr>
        <w:bidi w:val="0"/>
      </w:pPr>
      <w:r>
        <w:t>本项目的固体废弃物主要包括生活垃圾、污泥。生活垃圾设分类垃圾收集箱，</w:t>
      </w:r>
      <w:r>
        <w:rPr>
          <w:rFonts w:hint="eastAsia"/>
          <w:lang w:val="en-US" w:eastAsia="zh-CN"/>
        </w:rPr>
        <w:t>收集后在</w:t>
      </w:r>
      <w:r>
        <w:t>垃圾填埋场进行填埋；渗滤液调节池产生的污泥淸掏之后</w:t>
      </w:r>
      <w:r>
        <w:rPr>
          <w:rFonts w:hint="eastAsia"/>
          <w:lang w:val="en-US" w:eastAsia="zh-CN"/>
        </w:rPr>
        <w:t>在</w:t>
      </w:r>
      <w:r>
        <w:t>垃圾填埋场进行填埋。经过以上措施，本项目产生的固体废物均可得到有效处置。</w:t>
      </w:r>
    </w:p>
    <w:p>
      <w:pPr>
        <w:bidi w:val="0"/>
      </w:pPr>
    </w:p>
    <w:p>
      <w:pPr>
        <w:spacing w:line="16" w:lineRule="exact"/>
        <w:ind w:left="0" w:leftChars="0" w:firstLine="0" w:firstLineChars="0"/>
      </w:pPr>
    </w:p>
    <w:p>
      <w:pPr>
        <w:sectPr>
          <w:footerReference r:id="rId8"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2"/>
        <w:bidi w:val="0"/>
        <w:rPr>
          <w:rFonts w:ascii="宋体" w:hAnsi="宋体" w:eastAsia="宋体" w:cs="宋体"/>
          <w:color w:val="000000" w:themeColor="text1"/>
          <w:sz w:val="24"/>
          <w:szCs w:val="24"/>
          <w14:textFill>
            <w14:solidFill>
              <w14:schemeClr w14:val="tx1"/>
            </w14:solidFill>
          </w14:textFill>
        </w:rPr>
      </w:pPr>
      <w:bookmarkStart w:id="31" w:name="_Toc23712"/>
      <w:r>
        <w:rPr>
          <w:rFonts w:ascii="Times New Roman" w:hAnsi="Times New Roman" w:eastAsia="Times New Roman" w:cs="Times New Roman"/>
          <w:b/>
          <w:bCs/>
          <w:color w:val="000000" w:themeColor="text1"/>
          <w:spacing w:val="-2"/>
          <w:sz w:val="24"/>
          <w:szCs w:val="24"/>
          <w14:textFill>
            <w14:solidFill>
              <w14:schemeClr w14:val="tx1"/>
            </w14:solidFill>
          </w14:textFill>
        </w:rPr>
        <w:t>4.2.</w:t>
      </w:r>
      <w:r>
        <w:rPr>
          <w:rFonts w:ascii="宋体" w:hAnsi="宋体" w:eastAsia="宋体" w:cs="宋体"/>
          <w:color w:val="000000" w:themeColor="text1"/>
          <w:spacing w:val="-2"/>
          <w:sz w:val="24"/>
          <w:szCs w:val="24"/>
          <w14:textOutline w14:w="4358" w14:cap="sq" w14:cmpd="sng">
            <w14:solidFill>
              <w14:srgbClr w14:val="000000"/>
            </w14:solidFill>
            <w14:prstDash w14:val="solid"/>
            <w14:bevel/>
          </w14:textOutline>
          <w14:textFill>
            <w14:solidFill>
              <w14:schemeClr w14:val="tx1"/>
            </w14:solidFill>
          </w14:textFill>
        </w:rPr>
        <w:t>环保设施投资及“三同时</w:t>
      </w:r>
      <w:r>
        <w:rPr>
          <w:rFonts w:ascii="宋体" w:hAnsi="宋体" w:eastAsia="宋体" w:cs="宋体"/>
          <w:color w:val="000000" w:themeColor="text1"/>
          <w:spacing w:val="-73"/>
          <w:sz w:val="24"/>
          <w:szCs w:val="24"/>
          <w14:textFill>
            <w14:solidFill>
              <w14:schemeClr w14:val="tx1"/>
            </w14:solidFill>
          </w14:textFill>
        </w:rPr>
        <w:t xml:space="preserve"> </w:t>
      </w:r>
      <w:r>
        <w:rPr>
          <w:rFonts w:ascii="宋体" w:hAnsi="宋体" w:eastAsia="宋体" w:cs="宋体"/>
          <w:color w:val="000000" w:themeColor="text1"/>
          <w:spacing w:val="-2"/>
          <w:sz w:val="24"/>
          <w:szCs w:val="24"/>
          <w14:textOutline w14:w="4358" w14:cap="sq" w14:cmpd="sng">
            <w14:solidFill>
              <w14:srgbClr w14:val="000000"/>
            </w14:solidFill>
            <w14:prstDash w14:val="solid"/>
            <w14:bevel/>
          </w14:textOutline>
          <w14:textFill>
            <w14:solidFill>
              <w14:schemeClr w14:val="tx1"/>
            </w14:solidFill>
          </w14:textFill>
        </w:rPr>
        <w:t>”落实情况</w:t>
      </w:r>
      <w:bookmarkEnd w:id="31"/>
    </w:p>
    <w:p>
      <w:pPr>
        <w:spacing w:before="192" w:line="360" w:lineRule="auto"/>
        <w:ind w:left="128"/>
        <w:outlineLvl w:val="2"/>
        <w:rPr>
          <w:rFonts w:ascii="宋体" w:hAnsi="宋体" w:eastAsia="宋体" w:cs="宋体"/>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pacing w:val="-1"/>
          <w:sz w:val="24"/>
          <w:szCs w:val="24"/>
          <w14:textFill>
            <w14:solidFill>
              <w14:schemeClr w14:val="tx1"/>
            </w14:solidFill>
          </w14:textFill>
        </w:rPr>
        <w:t>4.2.1</w:t>
      </w:r>
      <w:r>
        <w:rPr>
          <w:rFonts w:hint="eastAsia" w:eastAsia="宋体" w:cs="Times New Roman"/>
          <w:b/>
          <w:bCs/>
          <w:color w:val="000000" w:themeColor="text1"/>
          <w:spacing w:val="-1"/>
          <w:sz w:val="24"/>
          <w:szCs w:val="24"/>
          <w:lang w:val="en-US" w:eastAsia="zh-CN"/>
          <w14:textFill>
            <w14:solidFill>
              <w14:schemeClr w14:val="tx1"/>
            </w14:solidFill>
          </w14:textFill>
        </w:rPr>
        <w:t xml:space="preserve">  </w:t>
      </w:r>
      <w:r>
        <w:rPr>
          <w:rFonts w:ascii="宋体" w:hAnsi="宋体" w:eastAsia="宋体" w:cs="宋体"/>
          <w:color w:val="000000" w:themeColor="text1"/>
          <w:spacing w:val="-1"/>
          <w:sz w:val="24"/>
          <w:szCs w:val="24"/>
          <w14:textOutline w14:w="4358" w14:cap="sq" w14:cmpd="sng">
            <w14:solidFill>
              <w14:srgbClr w14:val="000000"/>
            </w14:solidFill>
            <w14:prstDash w14:val="solid"/>
            <w14:bevel/>
          </w14:textOutline>
          <w14:textFill>
            <w14:solidFill>
              <w14:schemeClr w14:val="tx1"/>
            </w14:solidFill>
          </w14:textFill>
        </w:rPr>
        <w:t>环保设施投资情况</w:t>
      </w:r>
    </w:p>
    <w:p>
      <w:pPr>
        <w:bidi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环评报告中，项目总投资为</w:t>
      </w:r>
      <w:r>
        <w:rPr>
          <w:rFonts w:hint="eastAsia"/>
          <w:color w:val="000000" w:themeColor="text1"/>
          <w:lang w:val="en-US" w:eastAsia="zh-CN"/>
          <w14:textFill>
            <w14:solidFill>
              <w14:schemeClr w14:val="tx1"/>
            </w14:solidFill>
          </w14:textFill>
        </w:rPr>
        <w:t>88</w:t>
      </w:r>
      <w:r>
        <w:rPr>
          <w:color w:val="000000" w:themeColor="text1"/>
          <w14:textFill>
            <w14:solidFill>
              <w14:schemeClr w14:val="tx1"/>
            </w14:solidFill>
          </w14:textFill>
        </w:rPr>
        <w:t>万元，</w:t>
      </w:r>
      <w:r>
        <w:rPr>
          <w:rFonts w:hint="eastAsia"/>
          <w:color w:val="000000" w:themeColor="text1"/>
          <w:lang w:val="en-US" w:eastAsia="zh-CN"/>
          <w14:textFill>
            <w14:solidFill>
              <w14:schemeClr w14:val="tx1"/>
            </w14:solidFill>
          </w14:textFill>
        </w:rPr>
        <w:t>未提及环保投资</w:t>
      </w:r>
      <w:r>
        <w:rPr>
          <w:color w:val="000000" w:themeColor="text1"/>
          <w14:textFill>
            <w14:solidFill>
              <w14:schemeClr w14:val="tx1"/>
            </w14:solidFill>
          </w14:textFill>
        </w:rPr>
        <w:t>。实际工程建设结算费用与环评时一致为</w:t>
      </w:r>
      <w:r>
        <w:rPr>
          <w:rFonts w:hint="eastAsia"/>
          <w:color w:val="000000" w:themeColor="text1"/>
          <w:lang w:val="en-US" w:eastAsia="zh-CN"/>
          <w14:textFill>
            <w14:solidFill>
              <w14:schemeClr w14:val="tx1"/>
            </w14:solidFill>
          </w14:textFill>
        </w:rPr>
        <w:t>88</w:t>
      </w:r>
      <w:r>
        <w:rPr>
          <w:color w:val="000000" w:themeColor="text1"/>
          <w14:textFill>
            <w14:solidFill>
              <w14:schemeClr w14:val="tx1"/>
            </w14:solidFill>
          </w14:textFill>
        </w:rPr>
        <w:t>万元，环保投资</w:t>
      </w:r>
      <w:r>
        <w:rPr>
          <w:rFonts w:hint="eastAsia"/>
          <w:color w:val="000000" w:themeColor="text1"/>
          <w:lang w:val="en-US" w:eastAsia="zh-CN"/>
          <w14:textFill>
            <w14:solidFill>
              <w14:schemeClr w14:val="tx1"/>
            </w14:solidFill>
          </w14:textFill>
        </w:rPr>
        <w:t>4.5</w:t>
      </w:r>
      <w:r>
        <w:rPr>
          <w:color w:val="000000" w:themeColor="text1"/>
          <w14:textFill>
            <w14:solidFill>
              <w14:schemeClr w14:val="tx1"/>
            </w14:solidFill>
          </w14:textFill>
        </w:rPr>
        <w:t>万元，占总投资的</w:t>
      </w:r>
      <w:r>
        <w:rPr>
          <w:rFonts w:hint="eastAsia"/>
          <w:color w:val="000000" w:themeColor="text1"/>
          <w:lang w:val="en-US" w:eastAsia="zh-CN"/>
          <w14:textFill>
            <w14:solidFill>
              <w14:schemeClr w14:val="tx1"/>
            </w14:solidFill>
          </w14:textFill>
        </w:rPr>
        <w:t>5.1</w:t>
      </w:r>
      <w:r>
        <w:rPr>
          <w:color w:val="000000" w:themeColor="text1"/>
          <w14:textFill>
            <w14:solidFill>
              <w14:schemeClr w14:val="tx1"/>
            </w14:solidFill>
          </w14:textFill>
        </w:rPr>
        <w:t>% 。本项目运营期环保治理措施投资见表4-1。</w:t>
      </w:r>
    </w:p>
    <w:p>
      <w:pPr>
        <w:bidi w:val="0"/>
        <w:spacing w:line="36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4-1   项目竣工环境保护验收投资一览表  单位：万元</w:t>
      </w:r>
    </w:p>
    <w:p>
      <w:pPr>
        <w:spacing w:line="14" w:lineRule="exact"/>
        <w:rPr>
          <w:color w:val="000000" w:themeColor="text1"/>
          <w14:textFill>
            <w14:solidFill>
              <w14:schemeClr w14:val="tx1"/>
            </w14:solidFill>
          </w14:textFill>
        </w:rPr>
      </w:pPr>
    </w:p>
    <w:tbl>
      <w:tblPr>
        <w:tblStyle w:val="10"/>
        <w:tblW w:w="81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275"/>
        <w:gridCol w:w="882"/>
        <w:gridCol w:w="765"/>
        <w:gridCol w:w="3894"/>
        <w:gridCol w:w="85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01" w:type="dxa"/>
            <w:gridSpan w:val="2"/>
            <w:vMerge w:val="restart"/>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项目</w:t>
            </w:r>
          </w:p>
        </w:tc>
        <w:tc>
          <w:tcPr>
            <w:tcW w:w="1647" w:type="dxa"/>
            <w:gridSpan w:val="2"/>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环评设计</w:t>
            </w:r>
          </w:p>
        </w:tc>
        <w:tc>
          <w:tcPr>
            <w:tcW w:w="4750" w:type="dxa"/>
            <w:gridSpan w:val="2"/>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实际设计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01" w:type="dxa"/>
            <w:gridSpan w:val="2"/>
            <w:vMerge w:val="continue"/>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themeColor="text1"/>
                <w:sz w:val="21"/>
                <w:szCs w:val="21"/>
                <w14:textFill>
                  <w14:solidFill>
                    <w14:schemeClr w14:val="tx1"/>
                  </w14:solidFill>
                </w14:textFill>
              </w:rPr>
            </w:pP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内</w:t>
            </w:r>
            <w:r>
              <w:rPr>
                <w:rFonts w:hint="eastAsia" w:ascii="Times New Roman" w:hAnsi="Times New Roman"/>
                <w:color w:val="000000" w:themeColor="text1"/>
                <w:sz w:val="21"/>
                <w:szCs w:val="21"/>
                <w14:textFill>
                  <w14:solidFill>
                    <w14:schemeClr w14:val="tx1"/>
                  </w14:solidFill>
                </w14:textFill>
              </w:rPr>
              <w:t xml:space="preserve">  </w:t>
            </w:r>
            <w:r>
              <w:rPr>
                <w:rFonts w:ascii="Times New Roman" w:hAnsi="Times New Roman"/>
                <w:color w:val="000000" w:themeColor="text1"/>
                <w:sz w:val="21"/>
                <w:szCs w:val="21"/>
                <w14:textFill>
                  <w14:solidFill>
                    <w14:schemeClr w14:val="tx1"/>
                  </w14:solidFill>
                </w14:textFill>
              </w:rPr>
              <w:t>容</w:t>
            </w:r>
          </w:p>
        </w:tc>
        <w:tc>
          <w:tcPr>
            <w:tcW w:w="76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投资</w:t>
            </w: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内</w:t>
            </w:r>
            <w:r>
              <w:rPr>
                <w:rFonts w:hint="eastAsia" w:ascii="Times New Roman" w:hAnsi="Times New Roman"/>
                <w:color w:val="000000" w:themeColor="text1"/>
                <w:sz w:val="21"/>
                <w:szCs w:val="21"/>
                <w14:textFill>
                  <w14:solidFill>
                    <w14:schemeClr w14:val="tx1"/>
                  </w14:solidFill>
                </w14:textFill>
              </w:rPr>
              <w:t xml:space="preserve">  </w:t>
            </w:r>
            <w:r>
              <w:rPr>
                <w:rFonts w:ascii="Times New Roman" w:hAnsi="Times New Roman"/>
                <w:color w:val="000000" w:themeColor="text1"/>
                <w:sz w:val="21"/>
                <w:szCs w:val="21"/>
                <w14:textFill>
                  <w14:solidFill>
                    <w14:schemeClr w14:val="tx1"/>
                  </w14:solidFill>
                </w14:textFill>
              </w:rPr>
              <w:t>容</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投资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3" w:hRule="atLeast"/>
          <w:jc w:val="center"/>
        </w:trPr>
        <w:tc>
          <w:tcPr>
            <w:tcW w:w="526" w:type="dxa"/>
            <w:vMerge w:val="restart"/>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r>
              <w:rPr>
                <w:rFonts w:ascii="Times New Roman" w:hAnsi="Times New Roman"/>
                <w:color w:val="000000"/>
                <w:sz w:val="21"/>
                <w:szCs w:val="21"/>
              </w:rPr>
              <w:t>废气</w:t>
            </w:r>
          </w:p>
        </w:tc>
        <w:tc>
          <w:tcPr>
            <w:tcW w:w="127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恶臭</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w:t>
            </w:r>
          </w:p>
        </w:tc>
        <w:tc>
          <w:tcPr>
            <w:tcW w:w="765"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w:t>
            </w: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及时覆盖、喷洒药剂</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Arial"/>
                <w:snapToGrid w:val="0"/>
                <w:color w:val="000000"/>
                <w:kern w:val="0"/>
                <w:sz w:val="21"/>
                <w:szCs w:val="21"/>
                <w:lang w:val="en-US" w:eastAsia="zh-CN" w:bidi="ar-SA"/>
              </w:rPr>
            </w:pPr>
            <w:r>
              <w:rPr>
                <w:rFonts w:hint="eastAsia" w:eastAsia="宋体" w:cs="Arial"/>
                <w:snapToGrid w:val="0"/>
                <w:color w:val="000000"/>
                <w:kern w:val="0"/>
                <w:sz w:val="21"/>
                <w:szCs w:val="21"/>
                <w:lang w:val="en-US" w:eastAsia="zh-CN" w:bidi="ar-SA"/>
              </w:rPr>
              <w:t>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526" w:type="dxa"/>
            <w:vMerge w:val="continue"/>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p>
        </w:tc>
        <w:tc>
          <w:tcPr>
            <w:tcW w:w="127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olor w:val="000000"/>
                <w:sz w:val="21"/>
                <w:szCs w:val="21"/>
                <w:lang w:val="en-US" w:eastAsia="zh-CN"/>
              </w:rPr>
            </w:pPr>
            <w:r>
              <w:rPr>
                <w:rFonts w:hint="eastAsia"/>
                <w:color w:val="000000"/>
                <w:sz w:val="21"/>
                <w:szCs w:val="21"/>
                <w:lang w:val="en-US" w:eastAsia="zh-CN"/>
              </w:rPr>
              <w:t>填埋气体</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color w:val="000000"/>
                <w:sz w:val="21"/>
                <w:szCs w:val="21"/>
                <w:lang w:val="en-US" w:eastAsia="zh-CN"/>
              </w:rPr>
            </w:pPr>
          </w:p>
        </w:tc>
        <w:tc>
          <w:tcPr>
            <w:tcW w:w="765"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color w:val="000000"/>
                <w:sz w:val="21"/>
                <w:szCs w:val="21"/>
                <w:lang w:val="en-US" w:eastAsia="zh-CN"/>
              </w:rPr>
            </w:pP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垂直导排管</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Arial"/>
                <w:snapToGrid w:val="0"/>
                <w:color w:val="000000"/>
                <w:kern w:val="0"/>
                <w:sz w:val="21"/>
                <w:szCs w:val="21"/>
                <w:lang w:val="en-US" w:eastAsia="zh-CN" w:bidi="ar-SA"/>
              </w:rPr>
            </w:pPr>
            <w:r>
              <w:rPr>
                <w:rFonts w:hint="eastAsia" w:eastAsia="宋体" w:cs="Arial"/>
                <w:snapToGrid w:val="0"/>
                <w:color w:val="000000"/>
                <w:kern w:val="0"/>
                <w:sz w:val="21"/>
                <w:szCs w:val="21"/>
                <w:lang w:val="en-US" w:eastAsia="zh-CN" w:bidi="ar-SA"/>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526" w:type="dxa"/>
            <w:vMerge w:val="continue"/>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p>
        </w:tc>
        <w:tc>
          <w:tcPr>
            <w:tcW w:w="127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扬尘</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w:t>
            </w:r>
          </w:p>
        </w:tc>
        <w:tc>
          <w:tcPr>
            <w:tcW w:w="765"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w:t>
            </w: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洒水、网围栏</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Arial"/>
                <w:snapToGrid w:val="0"/>
                <w:color w:val="000000"/>
                <w:kern w:val="0"/>
                <w:sz w:val="21"/>
                <w:szCs w:val="21"/>
                <w:lang w:val="en-US" w:eastAsia="zh-CN" w:bidi="ar-SA"/>
              </w:rPr>
            </w:pPr>
            <w:r>
              <w:rPr>
                <w:rFonts w:hint="eastAsia" w:eastAsia="宋体" w:cs="Arial"/>
                <w:snapToGrid w:val="0"/>
                <w:color w:val="000000"/>
                <w:kern w:val="0"/>
                <w:sz w:val="21"/>
                <w:szCs w:val="21"/>
                <w:lang w:val="en-US" w:eastAsia="zh-CN" w:bidi="ar-SA"/>
              </w:rPr>
              <w:t>1.5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52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r>
              <w:rPr>
                <w:rFonts w:ascii="Times New Roman" w:hAnsi="Times New Roman"/>
                <w:color w:val="000000"/>
                <w:sz w:val="21"/>
                <w:szCs w:val="21"/>
              </w:rPr>
              <w:t>噪声</w:t>
            </w:r>
          </w:p>
        </w:tc>
        <w:tc>
          <w:tcPr>
            <w:tcW w:w="127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r>
              <w:rPr>
                <w:rFonts w:ascii="Times New Roman" w:hAnsi="Times New Roman"/>
                <w:color w:val="000000"/>
                <w:sz w:val="21"/>
                <w:szCs w:val="21"/>
              </w:rPr>
              <w:t>噪声治理</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w:t>
            </w:r>
          </w:p>
        </w:tc>
        <w:tc>
          <w:tcPr>
            <w:tcW w:w="765"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r>
              <w:rPr>
                <w:rFonts w:ascii="Times New Roman" w:hAnsi="Times New Roman"/>
                <w:color w:val="000000"/>
                <w:sz w:val="21"/>
                <w:szCs w:val="21"/>
              </w:rPr>
              <w:t>/</w:t>
            </w: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墙体隔声、基础减震</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Arial"/>
                <w:snapToGrid w:val="0"/>
                <w:color w:val="000000"/>
                <w:kern w:val="0"/>
                <w:sz w:val="21"/>
                <w:szCs w:val="21"/>
                <w:lang w:val="en-US" w:eastAsia="zh-CN" w:bidi="ar-SA"/>
              </w:rPr>
            </w:pPr>
            <w:r>
              <w:rPr>
                <w:rFonts w:hint="eastAsia" w:eastAsia="宋体" w:cs="Arial"/>
                <w:snapToGrid w:val="0"/>
                <w:color w:val="000000"/>
                <w:kern w:val="0"/>
                <w:sz w:val="21"/>
                <w:szCs w:val="21"/>
                <w:lang w:val="en-US" w:eastAsia="zh-CN" w:bidi="ar-SA"/>
              </w:rPr>
              <w:t>纳入总投资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26" w:type="dxa"/>
            <w:vMerge w:val="restart"/>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r>
              <w:rPr>
                <w:rFonts w:ascii="Times New Roman" w:hAnsi="Times New Roman"/>
                <w:color w:val="000000"/>
                <w:sz w:val="21"/>
                <w:szCs w:val="21"/>
              </w:rPr>
              <w:t>固废</w:t>
            </w:r>
          </w:p>
        </w:tc>
        <w:tc>
          <w:tcPr>
            <w:tcW w:w="127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生活垃圾</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w:t>
            </w:r>
          </w:p>
        </w:tc>
        <w:tc>
          <w:tcPr>
            <w:tcW w:w="765"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w:t>
            </w: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购置垃圾箱，收集后填埋</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Arial"/>
                <w:snapToGrid w:val="0"/>
                <w:color w:val="000000"/>
                <w:kern w:val="0"/>
                <w:sz w:val="21"/>
                <w:szCs w:val="21"/>
                <w:lang w:val="en-US" w:eastAsia="zh-CN" w:bidi="ar-SA"/>
              </w:rPr>
            </w:pPr>
            <w:r>
              <w:rPr>
                <w:rFonts w:hint="eastAsia" w:eastAsia="宋体" w:cs="Arial"/>
                <w:snapToGrid w:val="0"/>
                <w:color w:val="000000"/>
                <w:kern w:val="0"/>
                <w:sz w:val="21"/>
                <w:szCs w:val="21"/>
                <w:lang w:val="en-US" w:eastAsia="zh-CN" w:bidi="ar-SA"/>
              </w:rPr>
              <w:t>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26" w:type="dxa"/>
            <w:vMerge w:val="continue"/>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p>
        </w:tc>
        <w:tc>
          <w:tcPr>
            <w:tcW w:w="127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olor w:val="000000"/>
                <w:sz w:val="21"/>
                <w:szCs w:val="21"/>
                <w:lang w:val="en-US" w:eastAsia="zh-CN"/>
              </w:rPr>
            </w:pPr>
            <w:r>
              <w:rPr>
                <w:rFonts w:hint="eastAsia"/>
                <w:color w:val="000000"/>
                <w:sz w:val="21"/>
                <w:szCs w:val="21"/>
                <w:lang w:val="en-US" w:eastAsia="zh-CN"/>
              </w:rPr>
              <w:t>污泥</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w:t>
            </w:r>
          </w:p>
        </w:tc>
        <w:tc>
          <w:tcPr>
            <w:tcW w:w="765"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w:t>
            </w: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填埋</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Arial"/>
                <w:snapToGrid w:val="0"/>
                <w:color w:val="000000"/>
                <w:kern w:val="0"/>
                <w:sz w:val="21"/>
                <w:szCs w:val="21"/>
                <w:lang w:val="en-US" w:eastAsia="zh-CN" w:bidi="ar-SA"/>
              </w:rPr>
            </w:pPr>
            <w:r>
              <w:rPr>
                <w:rFonts w:hint="eastAsia" w:eastAsia="宋体" w:cs="Arial"/>
                <w:snapToGrid w:val="0"/>
                <w:color w:val="000000"/>
                <w:kern w:val="0"/>
                <w:sz w:val="21"/>
                <w:szCs w:val="21"/>
                <w:lang w:val="en-US" w:eastAsia="zh-CN" w:bidi="ar-SA"/>
              </w:rPr>
              <w:t>纳入总投资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26" w:type="dxa"/>
            <w:vMerge w:val="restart"/>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r>
              <w:rPr>
                <w:rFonts w:ascii="Times New Roman" w:hAnsi="Times New Roman"/>
                <w:color w:val="000000"/>
                <w:sz w:val="21"/>
                <w:szCs w:val="21"/>
              </w:rPr>
              <w:t>废水</w:t>
            </w:r>
          </w:p>
        </w:tc>
        <w:tc>
          <w:tcPr>
            <w:tcW w:w="127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eastAsia="zh-CN"/>
              </w:rPr>
            </w:pPr>
            <w:r>
              <w:rPr>
                <w:rFonts w:hint="eastAsia"/>
                <w:color w:val="000000"/>
                <w:sz w:val="21"/>
                <w:szCs w:val="21"/>
                <w:lang w:val="en-US" w:eastAsia="zh-CN"/>
              </w:rPr>
              <w:t>渗滤液</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w:t>
            </w:r>
          </w:p>
        </w:tc>
        <w:tc>
          <w:tcPr>
            <w:tcW w:w="765"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w:t>
            </w: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渗滤液调节池</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Arial"/>
                <w:snapToGrid w:val="0"/>
                <w:color w:val="000000"/>
                <w:kern w:val="0"/>
                <w:sz w:val="21"/>
                <w:szCs w:val="21"/>
                <w:lang w:val="en-US" w:eastAsia="zh-CN" w:bidi="ar-SA"/>
              </w:rPr>
            </w:pPr>
            <w:r>
              <w:rPr>
                <w:rFonts w:hint="eastAsia" w:eastAsia="宋体" w:cs="Arial"/>
                <w:snapToGrid w:val="0"/>
                <w:color w:val="000000"/>
                <w:kern w:val="0"/>
                <w:sz w:val="21"/>
                <w:szCs w:val="21"/>
                <w:lang w:val="en-US" w:eastAsia="zh-CN" w:bidi="ar-SA"/>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26" w:type="dxa"/>
            <w:vMerge w:val="continue"/>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p>
        </w:tc>
        <w:tc>
          <w:tcPr>
            <w:tcW w:w="127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color w:val="000000"/>
                <w:sz w:val="21"/>
                <w:szCs w:val="21"/>
                <w:lang w:val="en-US" w:eastAsia="zh-CN"/>
              </w:rPr>
              <w:t>生活污水</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color w:val="000000"/>
                <w:sz w:val="21"/>
                <w:szCs w:val="21"/>
                <w:lang w:val="en-US" w:eastAsia="zh-CN"/>
              </w:rPr>
            </w:pPr>
          </w:p>
        </w:tc>
        <w:tc>
          <w:tcPr>
            <w:tcW w:w="765"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color w:val="000000"/>
                <w:sz w:val="21"/>
                <w:szCs w:val="21"/>
                <w:lang w:val="en-US" w:eastAsia="zh-CN"/>
              </w:rPr>
            </w:pPr>
          </w:p>
        </w:tc>
        <w:tc>
          <w:tcPr>
            <w:tcW w:w="3894"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olor w:val="000000"/>
                <w:sz w:val="21"/>
                <w:szCs w:val="21"/>
                <w:lang w:val="en-US" w:eastAsia="zh-CN"/>
              </w:rPr>
            </w:pPr>
            <w:r>
              <w:rPr>
                <w:rFonts w:hint="eastAsia"/>
                <w:color w:val="000000"/>
                <w:sz w:val="21"/>
                <w:szCs w:val="21"/>
                <w:lang w:val="en-US" w:eastAsia="zh-CN"/>
              </w:rPr>
              <w:t>泼洒降尘</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Arial"/>
                <w:snapToGrid w:val="0"/>
                <w:color w:val="000000"/>
                <w:kern w:val="0"/>
                <w:sz w:val="21"/>
                <w:szCs w:val="21"/>
                <w:lang w:val="en-US" w:eastAsia="zh-CN" w:bidi="ar-SA"/>
              </w:rPr>
            </w:pPr>
            <w:r>
              <w:rPr>
                <w:rFonts w:hint="eastAsia" w:cs="Arial"/>
                <w:snapToGrid w:val="0"/>
                <w:color w:val="000000"/>
                <w:kern w:val="0"/>
                <w:sz w:val="21"/>
                <w:szCs w:val="21"/>
                <w:lang w:val="en-US" w:eastAsia="zh-CN" w:bidi="ar-S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01" w:type="dxa"/>
            <w:gridSpan w:val="2"/>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r>
              <w:rPr>
                <w:rFonts w:ascii="Times New Roman" w:hAnsi="Times New Roman"/>
                <w:color w:val="000000"/>
                <w:sz w:val="21"/>
                <w:szCs w:val="21"/>
              </w:rPr>
              <w:t>总计</w:t>
            </w:r>
          </w:p>
        </w:tc>
        <w:tc>
          <w:tcPr>
            <w:tcW w:w="882"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Times New Roman" w:hAnsi="Times New Roman"/>
                <w:color w:val="000000"/>
                <w:sz w:val="21"/>
                <w:szCs w:val="21"/>
              </w:rPr>
            </w:pPr>
            <w:r>
              <w:rPr>
                <w:rFonts w:ascii="Times New Roman" w:hAnsi="Times New Roman"/>
                <w:color w:val="000000"/>
                <w:sz w:val="21"/>
                <w:szCs w:val="21"/>
              </w:rPr>
              <w:t>/</w:t>
            </w:r>
          </w:p>
        </w:tc>
        <w:tc>
          <w:tcPr>
            <w:tcW w:w="765"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w:t>
            </w:r>
          </w:p>
        </w:tc>
        <w:tc>
          <w:tcPr>
            <w:tcW w:w="3894" w:type="dxa"/>
            <w:tcBorders>
              <w:tl2br w:val="nil"/>
              <w:tr2bl w:val="nil"/>
            </w:tcBorders>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w:t>
            </w:r>
          </w:p>
        </w:tc>
        <w:tc>
          <w:tcPr>
            <w:tcW w:w="856" w:type="dxa"/>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eastAsia="宋体"/>
                <w:color w:val="000000"/>
                <w:sz w:val="21"/>
                <w:szCs w:val="21"/>
                <w:lang w:val="en-US" w:eastAsia="zh-CN"/>
              </w:rPr>
              <w:t>4.5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8198" w:type="dxa"/>
            <w:gridSpan w:val="6"/>
            <w:tcBorders>
              <w:tl2br w:val="nil"/>
              <w:tr2bl w:val="nil"/>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注：环评未提及环评投资明细</w:t>
            </w:r>
          </w:p>
        </w:tc>
      </w:tr>
    </w:tbl>
    <w:p>
      <w:pPr>
        <w:bidi w:val="0"/>
        <w:spacing w:line="360" w:lineRule="auto"/>
        <w:ind w:left="0" w:leftChars="0" w:firstLine="482" w:firstLineChars="200"/>
        <w:rPr>
          <w:rFonts w:hint="default" w:ascii="Times New Roman" w:hAnsi="Times New Roman" w:eastAsia="宋体" w:cs="Times New Roman"/>
          <w:b/>
          <w:bCs/>
        </w:rPr>
      </w:pPr>
      <w:r>
        <w:rPr>
          <w:rFonts w:hint="default" w:ascii="Times New Roman" w:hAnsi="Times New Roman" w:eastAsia="宋体" w:cs="Times New Roman"/>
          <w:b/>
          <w:bCs/>
        </w:rPr>
        <w:t>4.2.2</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“三同时 ”及环评批复落实情况</w:t>
      </w:r>
    </w:p>
    <w:p>
      <w:pPr>
        <w:bidi w:val="0"/>
        <w:spacing w:line="360" w:lineRule="auto"/>
        <w:ind w:left="0" w:leftChars="0"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表4-2    项目环评“三同时”落实情况一览表</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16"/>
        <w:gridCol w:w="2700"/>
        <w:gridCol w:w="2340"/>
        <w:gridCol w:w="214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142"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sz w:val="21"/>
                <w:szCs w:val="21"/>
                <w:lang w:val="en-US" w:eastAsia="zh-CN"/>
              </w:rPr>
            </w:pPr>
            <w:r>
              <w:rPr>
                <w:rFonts w:hint="eastAsia"/>
                <w:sz w:val="21"/>
                <w:szCs w:val="21"/>
                <w:lang w:val="en-US" w:eastAsia="zh-CN"/>
              </w:rPr>
              <w:t>类别</w:t>
            </w:r>
          </w:p>
        </w:tc>
        <w:tc>
          <w:tcPr>
            <w:tcW w:w="270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21"/>
                <w:szCs w:val="21"/>
                <w:lang w:val="en-US" w:eastAsia="zh-CN"/>
              </w:rPr>
            </w:pPr>
            <w:r>
              <w:rPr>
                <w:rFonts w:hint="eastAsia"/>
                <w:sz w:val="21"/>
                <w:szCs w:val="21"/>
                <w:lang w:val="en-US" w:eastAsia="zh-CN"/>
              </w:rPr>
              <w:t>环评文件中要求的环保措施</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21"/>
                <w:szCs w:val="21"/>
                <w:lang w:val="en-US" w:eastAsia="zh-CN"/>
              </w:rPr>
            </w:pPr>
            <w:r>
              <w:rPr>
                <w:rFonts w:hint="eastAsia"/>
                <w:sz w:val="21"/>
                <w:szCs w:val="21"/>
                <w:lang w:val="en-US" w:eastAsia="zh-CN"/>
              </w:rPr>
              <w:t>审批文件中要求的环保措施</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21"/>
                <w:szCs w:val="21"/>
                <w:lang w:val="en-US" w:eastAsia="zh-CN"/>
              </w:rPr>
            </w:pPr>
            <w:r>
              <w:rPr>
                <w:rFonts w:hint="eastAsia"/>
                <w:sz w:val="21"/>
                <w:szCs w:val="21"/>
                <w:lang w:val="en-US" w:eastAsia="zh-CN"/>
              </w:rPr>
              <w:t>环保措施落实情况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426"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eastAsia="宋体"/>
                <w:sz w:val="21"/>
                <w:szCs w:val="21"/>
                <w:lang w:val="en-US" w:eastAsia="zh-CN"/>
              </w:rPr>
            </w:pPr>
            <w:r>
              <w:rPr>
                <w:rFonts w:ascii="Times New Roman" w:hAnsi="Times New Roman"/>
                <w:color w:val="000000"/>
                <w:sz w:val="21"/>
                <w:szCs w:val="21"/>
              </w:rPr>
              <w:t>废气</w:t>
            </w:r>
          </w:p>
        </w:tc>
        <w:tc>
          <w:tcPr>
            <w:tcW w:w="71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hint="eastAsia" w:ascii="Times New Roman" w:hAnsi="Times New Roman"/>
                <w:color w:val="000000"/>
                <w:sz w:val="21"/>
                <w:szCs w:val="21"/>
                <w:lang w:val="en-US" w:eastAsia="zh-CN"/>
              </w:rPr>
              <w:t>恶臭</w:t>
            </w:r>
          </w:p>
        </w:tc>
        <w:tc>
          <w:tcPr>
            <w:tcW w:w="270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eastAsia"/>
                <w:sz w:val="21"/>
                <w:szCs w:val="21"/>
              </w:rPr>
              <w:t>本项日拟采取填埋垃圾及时覆盖、经常喷酒药物等措施来降低臭气浓度，成熟可整，操作方便，合理可行</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eastAsia"/>
                <w:sz w:val="21"/>
                <w:szCs w:val="21"/>
              </w:rPr>
              <w:t>按城镇规划和区域环境功能，合理布设垃圾收集点和转运站与周围景观相协调，落实各站（点）恶臭、二次扬尘的防治措施，减少对周围环境的影响</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每次倾倒垃圾后及时覆土压实</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垃圾填埋区定期喷洒除臭药物，夏季适当增加喷洒次数</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渗滤液收集池顶部加盖密封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42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p>
        </w:tc>
        <w:tc>
          <w:tcPr>
            <w:tcW w:w="71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hint="eastAsia"/>
                <w:color w:val="000000"/>
                <w:sz w:val="21"/>
                <w:szCs w:val="21"/>
                <w:lang w:val="en-US" w:eastAsia="zh-CN"/>
              </w:rPr>
              <w:t>填埋气体</w:t>
            </w:r>
          </w:p>
        </w:tc>
        <w:tc>
          <w:tcPr>
            <w:tcW w:w="270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t>垃圾填埋场设置有填埋气体收集、导排系统</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21"/>
                <w:szCs w:val="21"/>
                <w:lang w:val="en-US" w:eastAsia="zh-CN"/>
              </w:rPr>
            </w:pPr>
            <w:r>
              <w:rPr>
                <w:rFonts w:hint="eastAsia"/>
                <w:sz w:val="21"/>
                <w:szCs w:val="21"/>
                <w:lang w:val="en-US" w:eastAsia="zh-CN"/>
              </w:rPr>
              <w:t>/</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通过垂直导排管将其有组织地引排出垃圾堆体</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42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eastAsia="宋体"/>
                <w:sz w:val="21"/>
                <w:szCs w:val="21"/>
                <w:lang w:val="en-US" w:eastAsia="zh-CN"/>
              </w:rPr>
            </w:pPr>
          </w:p>
        </w:tc>
        <w:tc>
          <w:tcPr>
            <w:tcW w:w="71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hint="eastAsia" w:eastAsia="宋体"/>
                <w:color w:val="000000"/>
                <w:sz w:val="21"/>
                <w:szCs w:val="21"/>
                <w:lang w:val="en-US" w:eastAsia="zh-CN"/>
              </w:rPr>
              <w:t>扬尘</w:t>
            </w:r>
          </w:p>
        </w:tc>
        <w:tc>
          <w:tcPr>
            <w:tcW w:w="270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t>扬尘防治措施主要为垃圾分区逐层填埋、层层覆土压实、表层经常洒水等，均为填埋场普遍采用，效果明显，可有效减轻扬尘污染，防治措施可行</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21"/>
                <w:szCs w:val="21"/>
                <w:lang w:val="en-US" w:eastAsia="zh-CN"/>
              </w:rPr>
            </w:pPr>
            <w:r>
              <w:rPr>
                <w:rFonts w:hint="eastAsia"/>
                <w:sz w:val="21"/>
                <w:szCs w:val="21"/>
                <w:lang w:val="en-US" w:eastAsia="zh-CN"/>
              </w:rPr>
              <w:t>/</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垃圾填埋场和取土场定期洒水；采用了集装箱密封垃圾转运车；作业区四周设置了网围栏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42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ascii="Times New Roman" w:hAnsi="Times New Roman"/>
                <w:color w:val="000000"/>
                <w:sz w:val="21"/>
                <w:szCs w:val="21"/>
              </w:rPr>
              <w:t>噪声</w:t>
            </w:r>
          </w:p>
        </w:tc>
        <w:tc>
          <w:tcPr>
            <w:tcW w:w="71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ascii="Times New Roman" w:hAnsi="Times New Roman"/>
                <w:color w:val="000000"/>
                <w:sz w:val="21"/>
                <w:szCs w:val="21"/>
              </w:rPr>
              <w:t>噪声治理</w:t>
            </w:r>
          </w:p>
        </w:tc>
        <w:tc>
          <w:tcPr>
            <w:tcW w:w="270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t>目前填埋作业机械尚无消声隔声措施，主要靠距离袁减来减少对周围居民的影响，同时应规范各种机械设备的操作，尽可能选用低噪声设备，加强设备的维护和保养等</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21"/>
                <w:szCs w:val="21"/>
                <w:lang w:val="en-US" w:eastAsia="zh-CN"/>
              </w:rPr>
            </w:pPr>
            <w:r>
              <w:rPr>
                <w:rFonts w:hint="eastAsia"/>
                <w:sz w:val="21"/>
                <w:szCs w:val="21"/>
                <w:lang w:val="en-US" w:eastAsia="zh-CN"/>
              </w:rPr>
              <w:t>/</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油发电机和水泵、采用墙体隔声、基础减振等措施后对周围环境影响较小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426"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ascii="Times New Roman" w:hAnsi="Times New Roman"/>
                <w:color w:val="000000"/>
                <w:sz w:val="21"/>
                <w:szCs w:val="21"/>
              </w:rPr>
              <w:t>固废</w:t>
            </w:r>
          </w:p>
        </w:tc>
        <w:tc>
          <w:tcPr>
            <w:tcW w:w="71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hint="eastAsia" w:ascii="Times New Roman" w:hAnsi="Times New Roman"/>
                <w:color w:val="000000"/>
                <w:sz w:val="21"/>
                <w:szCs w:val="21"/>
                <w:lang w:val="en-US" w:eastAsia="zh-CN"/>
              </w:rPr>
              <w:t>生活垃圾</w:t>
            </w:r>
          </w:p>
        </w:tc>
        <w:tc>
          <w:tcPr>
            <w:tcW w:w="270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eastAsia" w:eastAsia="宋体" w:cs="Times New Roman"/>
                <w:snapToGrid w:val="0"/>
                <w:color w:val="000000" w:themeColor="text1"/>
                <w:kern w:val="0"/>
                <w:sz w:val="21"/>
                <w:szCs w:val="21"/>
                <w:lang w:val="en-US" w:eastAsia="zh-CN" w:bidi="ar-SA"/>
                <w14:textFill>
                  <w14:solidFill>
                    <w14:schemeClr w14:val="tx1"/>
                  </w14:solidFill>
                </w14:textFill>
              </w:rPr>
              <w:t>/</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21"/>
                <w:szCs w:val="21"/>
                <w:lang w:val="en-US" w:eastAsia="zh-CN"/>
              </w:rPr>
            </w:pPr>
            <w:r>
              <w:rPr>
                <w:rFonts w:hint="eastAsia"/>
                <w:sz w:val="21"/>
                <w:szCs w:val="21"/>
                <w:lang w:val="en-US" w:eastAsia="zh-CN"/>
              </w:rPr>
              <w:t>/</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设分类垃圾收集箱，收集后在垃圾填埋场进行填埋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2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eastAsia="宋体"/>
                <w:sz w:val="21"/>
                <w:szCs w:val="21"/>
                <w:lang w:val="en-US" w:eastAsia="zh-CN"/>
              </w:rPr>
            </w:pPr>
          </w:p>
        </w:tc>
        <w:tc>
          <w:tcPr>
            <w:tcW w:w="71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hint="eastAsia"/>
                <w:color w:val="000000"/>
                <w:sz w:val="21"/>
                <w:szCs w:val="21"/>
                <w:lang w:val="en-US" w:eastAsia="zh-CN"/>
              </w:rPr>
              <w:t>污泥</w:t>
            </w:r>
          </w:p>
        </w:tc>
        <w:tc>
          <w:tcPr>
            <w:tcW w:w="270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21"/>
                <w:szCs w:val="21"/>
                <w:lang w:val="en-US" w:eastAsia="zh-CN"/>
              </w:rPr>
            </w:pPr>
            <w:r>
              <w:rPr>
                <w:rFonts w:hint="eastAsia"/>
                <w:sz w:val="21"/>
                <w:szCs w:val="21"/>
                <w:lang w:val="en-US" w:eastAsia="zh-CN"/>
              </w:rPr>
              <w:t>/</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21"/>
                <w:szCs w:val="21"/>
                <w:lang w:val="en-US" w:eastAsia="zh-CN"/>
              </w:rPr>
            </w:pPr>
            <w:r>
              <w:rPr>
                <w:rFonts w:hint="eastAsia"/>
                <w:sz w:val="21"/>
                <w:szCs w:val="21"/>
                <w:lang w:val="en-US" w:eastAsia="zh-CN"/>
              </w:rPr>
              <w:t>/</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污泥淸掏之后在垃圾填埋场进行填埋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26"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eastAsia="宋体"/>
                <w:sz w:val="21"/>
                <w:szCs w:val="21"/>
                <w:lang w:val="en-US" w:eastAsia="zh-CN"/>
              </w:rPr>
            </w:pPr>
            <w:r>
              <w:rPr>
                <w:rFonts w:ascii="Times New Roman" w:hAnsi="Times New Roman"/>
                <w:color w:val="000000"/>
                <w:sz w:val="21"/>
                <w:szCs w:val="21"/>
              </w:rPr>
              <w:t>废水</w:t>
            </w:r>
          </w:p>
        </w:tc>
        <w:tc>
          <w:tcPr>
            <w:tcW w:w="71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hint="eastAsia"/>
                <w:color w:val="000000"/>
                <w:sz w:val="21"/>
                <w:szCs w:val="21"/>
                <w:lang w:val="en-US" w:eastAsia="zh-CN"/>
              </w:rPr>
              <w:t>渗滤液</w:t>
            </w:r>
          </w:p>
        </w:tc>
        <w:tc>
          <w:tcPr>
            <w:tcW w:w="270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eastAsia"/>
                <w:sz w:val="21"/>
                <w:szCs w:val="21"/>
              </w:rPr>
              <w:t>本工程拟将渗滤液收集后，定期回喷至垃圾堆体上进行自然蒸发消耗</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eastAsia"/>
                <w:sz w:val="21"/>
                <w:szCs w:val="21"/>
              </w:rPr>
              <w:t>根据项目区域环境特征和工程特点，优化垃圾场渗液的疏导，收集并按生活垃圾填埋场污染控制的程序，优化垃圾填埋场的防渗措施，确保垃圾场安全、稳定运行</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eastAsia" w:cs="Times New Roman"/>
                <w:color w:val="000000" w:themeColor="text1"/>
                <w:sz w:val="21"/>
                <w:szCs w:val="21"/>
                <w:lang w:val="en-US" w:eastAsia="zh-CN"/>
                <w14:textFill>
                  <w14:solidFill>
                    <w14:schemeClr w14:val="tx1"/>
                  </w14:solidFill>
                </w14:textFill>
              </w:rPr>
              <w:t>滤液经渗滤液调节池收集后直接回灌蒸发处理，如渗滤液调节池不能全部回灌时拉至污水厂处理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42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p>
        </w:tc>
        <w:tc>
          <w:tcPr>
            <w:tcW w:w="71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sz w:val="21"/>
                <w:szCs w:val="21"/>
                <w:lang w:val="en-US" w:eastAsia="zh-CN"/>
              </w:rPr>
            </w:pPr>
            <w:r>
              <w:rPr>
                <w:rFonts w:hint="eastAsia"/>
                <w:color w:val="000000"/>
                <w:sz w:val="21"/>
                <w:szCs w:val="21"/>
                <w:lang w:val="en-US" w:eastAsia="zh-CN"/>
              </w:rPr>
              <w:t>生活污水</w:t>
            </w:r>
          </w:p>
        </w:tc>
        <w:tc>
          <w:tcPr>
            <w:tcW w:w="270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21"/>
                <w:szCs w:val="21"/>
                <w:lang w:val="en-US" w:eastAsia="zh-CN"/>
              </w:rPr>
            </w:pPr>
            <w:r>
              <w:rPr>
                <w:rFonts w:hint="eastAsia"/>
                <w:sz w:val="21"/>
                <w:szCs w:val="21"/>
                <w:lang w:val="en-US" w:eastAsia="zh-CN"/>
              </w:rPr>
              <w:t>/</w:t>
            </w:r>
          </w:p>
        </w:tc>
        <w:tc>
          <w:tcPr>
            <w:tcW w:w="2340"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21"/>
                <w:szCs w:val="21"/>
                <w:lang w:val="en-US" w:eastAsia="zh-CN"/>
              </w:rPr>
            </w:pPr>
            <w:r>
              <w:rPr>
                <w:rFonts w:hint="eastAsia"/>
                <w:sz w:val="21"/>
                <w:szCs w:val="21"/>
                <w:lang w:val="en-US" w:eastAsia="zh-CN"/>
              </w:rPr>
              <w:t>/</w:t>
            </w:r>
          </w:p>
        </w:tc>
        <w:tc>
          <w:tcPr>
            <w:tcW w:w="214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sz w:val="21"/>
                <w:szCs w:val="21"/>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生活污水为职工简单洗漱废水，直接泼洒降尘</w:t>
            </w:r>
          </w:p>
        </w:tc>
      </w:tr>
    </w:tbl>
    <w:p>
      <w:pPr>
        <w:spacing w:line="47" w:lineRule="auto"/>
        <w:rPr>
          <w:rFonts w:ascii="Arial"/>
          <w:color w:val="FF0000"/>
          <w:sz w:val="2"/>
        </w:rPr>
      </w:pPr>
    </w:p>
    <w:p>
      <w:pPr>
        <w:sectPr>
          <w:footerReference r:id="rId9"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3"/>
        <w:bidi w:val="0"/>
        <w:rPr>
          <w:b/>
          <w:bCs/>
          <w:sz w:val="32"/>
          <w:szCs w:val="32"/>
        </w:rPr>
      </w:pPr>
      <w:bookmarkStart w:id="32" w:name="bookmark5"/>
      <w:bookmarkEnd w:id="32"/>
      <w:bookmarkStart w:id="33" w:name="_Toc3192"/>
      <w:r>
        <w:rPr>
          <w:rFonts w:hint="eastAsia"/>
          <w:b/>
          <w:bCs/>
          <w:sz w:val="32"/>
          <w:szCs w:val="32"/>
          <w:lang w:val="en-US" w:eastAsia="zh-CN"/>
        </w:rPr>
        <w:t xml:space="preserve">第五章   </w:t>
      </w:r>
      <w:r>
        <w:rPr>
          <w:b/>
          <w:bCs/>
          <w:sz w:val="32"/>
          <w:szCs w:val="32"/>
        </w:rPr>
        <w:t>建设项目环评报告书的主要结论</w:t>
      </w:r>
      <w:bookmarkEnd w:id="33"/>
    </w:p>
    <w:p>
      <w:pPr>
        <w:bidi w:val="0"/>
        <w:ind w:left="0" w:leftChars="0" w:firstLine="0" w:firstLineChars="0"/>
        <w:jc w:val="center"/>
        <w:outlineLvl w:val="1"/>
        <w:rPr>
          <w:b/>
          <w:bCs/>
          <w:sz w:val="32"/>
          <w:szCs w:val="32"/>
        </w:rPr>
      </w:pPr>
      <w:bookmarkStart w:id="34" w:name="_Toc15178"/>
      <w:r>
        <w:rPr>
          <w:b/>
          <w:bCs/>
          <w:sz w:val="32"/>
          <w:szCs w:val="32"/>
        </w:rPr>
        <w:t>与建议及审批部门审批决定</w:t>
      </w:r>
      <w:bookmarkEnd w:id="34"/>
    </w:p>
    <w:p>
      <w:pPr>
        <w:pStyle w:val="2"/>
        <w:bidi w:val="0"/>
        <w:rPr>
          <w:rFonts w:hint="default"/>
        </w:rPr>
      </w:pPr>
      <w:bookmarkStart w:id="35" w:name="_Toc31538"/>
      <w:r>
        <w:rPr>
          <w:rFonts w:hint="default"/>
        </w:rPr>
        <w:t>5.1.环境影响报告书主要结论与建议</w:t>
      </w:r>
      <w:bookmarkEnd w:id="35"/>
    </w:p>
    <w:p>
      <w:pPr>
        <w:bidi w:val="0"/>
        <w:rPr>
          <w:rFonts w:hint="default"/>
          <w:b/>
          <w:bCs/>
        </w:rPr>
      </w:pPr>
      <w:r>
        <w:rPr>
          <w:rFonts w:hint="default"/>
          <w:b/>
          <w:bCs/>
        </w:rPr>
        <w:t>5.1.1</w:t>
      </w:r>
      <w:r>
        <w:rPr>
          <w:rFonts w:hint="default"/>
          <w:b/>
          <w:bCs/>
          <w:lang w:val="en-US" w:eastAsia="zh-CN"/>
        </w:rPr>
        <w:t xml:space="preserve">  </w:t>
      </w:r>
      <w:r>
        <w:rPr>
          <w:rFonts w:hint="default"/>
          <w:b/>
          <w:bCs/>
        </w:rPr>
        <w:t>项目概况</w:t>
      </w:r>
    </w:p>
    <w:p>
      <w:pPr>
        <w:bidi w:val="0"/>
        <w:spacing w:line="360" w:lineRule="auto"/>
        <w:rPr>
          <w:rFonts w:hint="eastAsia" w:ascii="Times New Roman" w:hAnsi="Times New Roman" w:eastAsia="宋体" w:cs="Times New Roman"/>
          <w:lang w:eastAsia="zh-CN"/>
        </w:rPr>
      </w:pPr>
      <w:r>
        <w:rPr>
          <w:rFonts w:hint="eastAsia" w:cs="Times New Roman"/>
          <w:lang w:val="en-US" w:eastAsia="zh-CN"/>
        </w:rPr>
        <w:t>拟</w:t>
      </w:r>
      <w:r>
        <w:rPr>
          <w:rFonts w:hint="default" w:ascii="Times New Roman" w:hAnsi="Times New Roman" w:eastAsia="宋体" w:cs="Times New Roman"/>
        </w:rPr>
        <w:t>建垃圾填埋场位于河北乡赛羊村</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石藏寺</w:t>
      </w:r>
      <w:r>
        <w:rPr>
          <w:rFonts w:hint="eastAsia" w:ascii="Times New Roman" w:hAnsi="Times New Roman" w:eastAsia="宋体" w:cs="Times New Roman"/>
          <w:lang w:eastAsia="zh-CN"/>
        </w:rPr>
        <w:t>）</w:t>
      </w:r>
      <w:r>
        <w:rPr>
          <w:rFonts w:hint="default" w:ascii="Times New Roman" w:hAnsi="Times New Roman" w:eastAsia="宋体" w:cs="Times New Roman"/>
        </w:rPr>
        <w:t>4km</w:t>
      </w:r>
      <w:r>
        <w:rPr>
          <w:rFonts w:hint="eastAsia" w:ascii="Times New Roman" w:hAnsi="Times New Roman" w:eastAsia="宋体" w:cs="Times New Roman"/>
          <w:lang w:val="en-US" w:eastAsia="zh-CN"/>
        </w:rPr>
        <w:t>处诺日央宗</w:t>
      </w:r>
      <w:r>
        <w:rPr>
          <w:rFonts w:hint="default" w:ascii="Times New Roman" w:hAnsi="Times New Roman" w:eastAsia="宋体" w:cs="Times New Roman"/>
        </w:rPr>
        <w:t>。</w:t>
      </w:r>
      <w:r>
        <w:rPr>
          <w:rFonts w:hint="eastAsia" w:ascii="Times New Roman" w:hAnsi="Times New Roman" w:eastAsia="宋体" w:cs="Times New Roman"/>
          <w:lang w:val="en-US" w:eastAsia="zh-CN"/>
        </w:rPr>
        <w:t>主要</w:t>
      </w:r>
      <w:r>
        <w:rPr>
          <w:rFonts w:hint="default" w:ascii="Times New Roman" w:hAnsi="Times New Roman" w:eastAsia="宋体" w:cs="Times New Roman"/>
        </w:rPr>
        <w:t>建设</w:t>
      </w:r>
      <w:r>
        <w:rPr>
          <w:rFonts w:hint="eastAsia" w:ascii="Times New Roman" w:hAnsi="Times New Roman" w:eastAsia="宋体" w:cs="Times New Roman"/>
          <w:lang w:val="en-US" w:eastAsia="zh-CN"/>
        </w:rPr>
        <w:t>内容</w:t>
      </w:r>
      <w:r>
        <w:rPr>
          <w:rFonts w:hint="default" w:ascii="Times New Roman" w:hAnsi="Times New Roman" w:eastAsia="宋体" w:cs="Times New Roman"/>
        </w:rPr>
        <w:t>为</w:t>
      </w:r>
      <w:r>
        <w:rPr>
          <w:rFonts w:hint="eastAsia" w:ascii="Times New Roman" w:hAnsi="Times New Roman" w:eastAsia="宋体" w:cs="Times New Roman"/>
          <w:lang w:val="en-US" w:eastAsia="zh-CN"/>
        </w:rPr>
        <w:t>垃圾填埋场</w:t>
      </w:r>
      <w:r>
        <w:rPr>
          <w:rFonts w:hint="default" w:ascii="Times New Roman" w:hAnsi="Times New Roman" w:eastAsia="宋体" w:cs="Times New Roman"/>
        </w:rPr>
        <w:t>和</w:t>
      </w:r>
      <w:r>
        <w:rPr>
          <w:rFonts w:hint="eastAsia" w:ascii="Times New Roman" w:hAnsi="Times New Roman" w:eastAsia="宋体" w:cs="Times New Roman"/>
          <w:lang w:val="en-US" w:eastAsia="zh-CN"/>
        </w:rPr>
        <w:t>配套</w:t>
      </w:r>
      <w:r>
        <w:rPr>
          <w:rFonts w:hint="default" w:ascii="Times New Roman" w:hAnsi="Times New Roman" w:eastAsia="宋体" w:cs="Times New Roman"/>
        </w:rPr>
        <w:t>的</w:t>
      </w:r>
      <w:r>
        <w:rPr>
          <w:rFonts w:hint="eastAsia" w:ascii="Times New Roman" w:hAnsi="Times New Roman" w:eastAsia="宋体" w:cs="Times New Roman"/>
          <w:lang w:val="en-US" w:eastAsia="zh-CN"/>
        </w:rPr>
        <w:t>防渗</w:t>
      </w:r>
      <w:r>
        <w:rPr>
          <w:rFonts w:hint="default" w:ascii="Times New Roman" w:hAnsi="Times New Roman" w:eastAsia="宋体" w:cs="Times New Roman"/>
        </w:rPr>
        <w:t>、</w:t>
      </w:r>
      <w:r>
        <w:rPr>
          <w:rFonts w:hint="eastAsia" w:ascii="Times New Roman" w:hAnsi="Times New Roman" w:eastAsia="宋体" w:cs="Times New Roman"/>
          <w:lang w:val="en-US" w:eastAsia="zh-CN"/>
        </w:rPr>
        <w:t>渗滤</w:t>
      </w:r>
      <w:r>
        <w:rPr>
          <w:rFonts w:hint="default" w:ascii="Times New Roman" w:hAnsi="Times New Roman" w:eastAsia="宋体" w:cs="Times New Roman"/>
        </w:rPr>
        <w:t>液收集、</w:t>
      </w:r>
      <w:r>
        <w:rPr>
          <w:rFonts w:hint="eastAsia" w:ascii="Times New Roman" w:hAnsi="Times New Roman" w:eastAsia="宋体" w:cs="Times New Roman"/>
          <w:lang w:val="en-US" w:eastAsia="zh-CN"/>
        </w:rPr>
        <w:t>排气</w:t>
      </w:r>
      <w:r>
        <w:rPr>
          <w:rFonts w:hint="default" w:ascii="Times New Roman" w:hAnsi="Times New Roman" w:eastAsia="宋体" w:cs="Times New Roman"/>
        </w:rPr>
        <w:t>等系统</w:t>
      </w:r>
      <w:r>
        <w:rPr>
          <w:rFonts w:hint="eastAsia" w:ascii="Times New Roman" w:hAnsi="Times New Roman" w:eastAsia="宋体" w:cs="Times New Roman"/>
          <w:lang w:val="en-US" w:eastAsia="zh-CN"/>
        </w:rPr>
        <w:t>工程</w:t>
      </w:r>
      <w:r>
        <w:rPr>
          <w:rFonts w:hint="default" w:ascii="Times New Roman" w:hAnsi="Times New Roman" w:eastAsia="宋体" w:cs="Times New Roman"/>
        </w:rPr>
        <w:t>，以及</w:t>
      </w:r>
      <w:r>
        <w:rPr>
          <w:rFonts w:hint="eastAsia" w:ascii="Times New Roman" w:hAnsi="Times New Roman" w:eastAsia="宋体" w:cs="Times New Roman"/>
          <w:lang w:val="en-US" w:eastAsia="zh-CN"/>
        </w:rPr>
        <w:t>附属防洪系统、进场道路及厂区道路</w:t>
      </w:r>
      <w:r>
        <w:rPr>
          <w:rFonts w:hint="default" w:ascii="Times New Roman" w:hAnsi="Times New Roman" w:eastAsia="宋体" w:cs="Times New Roman"/>
        </w:rPr>
        <w:t>、供水供电等</w:t>
      </w:r>
      <w:r>
        <w:rPr>
          <w:rFonts w:hint="eastAsia" w:ascii="Times New Roman" w:hAnsi="Times New Roman" w:eastAsia="宋体" w:cs="Times New Roman"/>
          <w:lang w:val="en-US" w:eastAsia="zh-CN"/>
        </w:rPr>
        <w:t>配套设施</w:t>
      </w:r>
      <w:r>
        <w:rPr>
          <w:rFonts w:hint="eastAsia" w:ascii="Times New Roman" w:hAnsi="Times New Roman" w:eastAsia="宋体" w:cs="Times New Roman"/>
          <w:lang w:eastAsia="zh-CN"/>
        </w:rPr>
        <w:t>。</w:t>
      </w:r>
      <w:r>
        <w:rPr>
          <w:rFonts w:hint="default" w:ascii="Times New Roman" w:hAnsi="Times New Roman" w:eastAsia="宋体" w:cs="Times New Roman"/>
        </w:rPr>
        <w:t>项目</w:t>
      </w:r>
      <w:r>
        <w:rPr>
          <w:rFonts w:hint="eastAsia" w:ascii="Times New Roman" w:hAnsi="Times New Roman" w:eastAsia="宋体" w:cs="Times New Roman"/>
          <w:lang w:val="en-US" w:eastAsia="zh-CN"/>
        </w:rPr>
        <w:t>工程总</w:t>
      </w:r>
      <w:r>
        <w:rPr>
          <w:rFonts w:hint="default" w:ascii="Times New Roman" w:hAnsi="Times New Roman" w:eastAsia="宋体" w:cs="Times New Roman"/>
        </w:rPr>
        <w:t>投资8</w:t>
      </w:r>
      <w:r>
        <w:rPr>
          <w:rFonts w:hint="eastAsia" w:ascii="Times New Roman" w:hAnsi="Times New Roman" w:eastAsia="宋体" w:cs="Times New Roman"/>
          <w:lang w:val="en-US" w:eastAsia="zh-CN"/>
        </w:rPr>
        <w:t>8</w:t>
      </w:r>
      <w:r>
        <w:rPr>
          <w:rFonts w:hint="default" w:ascii="Times New Roman" w:hAnsi="Times New Roman" w:eastAsia="宋体" w:cs="Times New Roman"/>
        </w:rPr>
        <w:t>万元。</w:t>
      </w:r>
      <w:r>
        <w:rPr>
          <w:rFonts w:hint="eastAsia" w:ascii="Times New Roman" w:hAnsi="Times New Roman" w:eastAsia="宋体" w:cs="Times New Roman"/>
          <w:lang w:val="en-US" w:eastAsia="zh-CN"/>
        </w:rPr>
        <w:t>垃圾填埋场</w:t>
      </w:r>
      <w:r>
        <w:rPr>
          <w:rFonts w:hint="default" w:ascii="Times New Roman" w:hAnsi="Times New Roman" w:eastAsia="宋体" w:cs="Times New Roman"/>
        </w:rPr>
        <w:t>设计库容</w:t>
      </w:r>
      <w:r>
        <w:rPr>
          <w:rFonts w:hint="eastAsia" w:ascii="Times New Roman" w:hAnsi="Times New Roman" w:eastAsia="宋体" w:cs="Times New Roman"/>
          <w:lang w:val="en-US" w:eastAsia="zh-CN"/>
        </w:rPr>
        <w:t>1万m</w:t>
      </w:r>
      <w:r>
        <w:rPr>
          <w:rFonts w:hint="eastAsia" w:ascii="Times New Roman" w:hAnsi="Times New Roman" w:eastAsia="宋体" w:cs="Times New Roman"/>
          <w:vertAlign w:val="superscript"/>
          <w:lang w:val="en-US" w:eastAsia="zh-CN"/>
        </w:rPr>
        <w:t>3</w:t>
      </w:r>
      <w:r>
        <w:rPr>
          <w:rFonts w:hint="default" w:ascii="Times New Roman" w:hAnsi="Times New Roman" w:eastAsia="宋体" w:cs="Times New Roman"/>
        </w:rPr>
        <w:t>，日</w:t>
      </w:r>
      <w:r>
        <w:rPr>
          <w:rFonts w:hint="eastAsia" w:ascii="Times New Roman" w:hAnsi="Times New Roman" w:eastAsia="宋体" w:cs="Times New Roman"/>
          <w:lang w:val="en-US" w:eastAsia="zh-CN"/>
        </w:rPr>
        <w:t>处理垃圾量</w:t>
      </w:r>
      <w:r>
        <w:rPr>
          <w:rFonts w:hint="default" w:ascii="Times New Roman" w:hAnsi="Times New Roman" w:eastAsia="宋体" w:cs="Times New Roman"/>
        </w:rPr>
        <w:t>1</w:t>
      </w:r>
      <w:r>
        <w:rPr>
          <w:rFonts w:hint="eastAsia" w:ascii="Times New Roman" w:hAnsi="Times New Roman" w:eastAsia="宋体" w:cs="Times New Roman"/>
          <w:lang w:val="en-US" w:eastAsia="zh-CN"/>
        </w:rPr>
        <w:t>t</w:t>
      </w:r>
      <w:r>
        <w:rPr>
          <w:rFonts w:hint="default" w:ascii="Times New Roman" w:hAnsi="Times New Roman" w:eastAsia="宋体" w:cs="Times New Roman"/>
        </w:rPr>
        <w:t>，设计使用</w:t>
      </w:r>
      <w:r>
        <w:rPr>
          <w:rFonts w:hint="eastAsia" w:ascii="Times New Roman" w:hAnsi="Times New Roman" w:eastAsia="宋体" w:cs="Times New Roman"/>
          <w:lang w:val="en-US" w:eastAsia="zh-CN"/>
        </w:rPr>
        <w:t>年限</w:t>
      </w:r>
      <w:r>
        <w:rPr>
          <w:rFonts w:hint="default" w:ascii="Times New Roman" w:hAnsi="Times New Roman" w:eastAsia="宋体" w:cs="Times New Roman"/>
        </w:rPr>
        <w:t>10年</w:t>
      </w:r>
      <w:r>
        <w:rPr>
          <w:rFonts w:hint="eastAsia" w:ascii="Times New Roman" w:hAnsi="Times New Roman" w:eastAsia="宋体" w:cs="Times New Roman"/>
          <w:lang w:eastAsia="zh-CN"/>
        </w:rPr>
        <w:t>。</w:t>
      </w:r>
    </w:p>
    <w:p>
      <w:pPr>
        <w:bidi w:val="0"/>
        <w:rPr>
          <w:rFonts w:hint="eastAsia"/>
          <w:b/>
          <w:bCs/>
          <w:lang w:val="en-US" w:eastAsia="zh-CN"/>
        </w:rPr>
      </w:pPr>
      <w:r>
        <w:rPr>
          <w:b/>
          <w:bCs/>
        </w:rPr>
        <w:t>5.1.2</w:t>
      </w:r>
      <w:r>
        <w:rPr>
          <w:rFonts w:hint="eastAsia"/>
          <w:b/>
          <w:bCs/>
          <w:lang w:val="en-US" w:eastAsia="zh-CN"/>
        </w:rPr>
        <w:t xml:space="preserve">  环境质量现状</w:t>
      </w:r>
    </w:p>
    <w:p>
      <w:pPr>
        <w:bidi w:val="0"/>
        <w:rPr>
          <w:rFonts w:hint="eastAsia"/>
          <w:lang w:val="en-US" w:eastAsia="zh-CN"/>
        </w:rPr>
      </w:pPr>
      <w:r>
        <w:rPr>
          <w:rFonts w:hint="eastAsia"/>
          <w:lang w:val="en-US" w:eastAsia="zh-CN"/>
        </w:rPr>
        <w:t>（1）本项目处于城镇郊区，场区选址较偏僻，周边无工业污染源分布，且人口分布较稀疏，环境空气质量良好。</w:t>
      </w:r>
    </w:p>
    <w:p>
      <w:pPr>
        <w:bidi w:val="0"/>
        <w:rPr>
          <w:rFonts w:hint="eastAsia"/>
          <w:lang w:val="en-US" w:eastAsia="zh-CN"/>
        </w:rPr>
      </w:pPr>
      <w:r>
        <w:rPr>
          <w:rFonts w:hint="eastAsia"/>
          <w:lang w:val="en-US" w:eastAsia="zh-CN"/>
        </w:rPr>
        <w:t>（2）本项目处于城镇郊区，周边无明显噪声源，声环境质量良好。</w:t>
      </w:r>
    </w:p>
    <w:p>
      <w:pPr>
        <w:bidi w:val="0"/>
      </w:pPr>
      <w:r>
        <w:rPr>
          <w:rFonts w:hint="eastAsia"/>
          <w:lang w:val="en-US" w:eastAsia="zh-CN"/>
        </w:rPr>
        <w:t>（3）项日区为天然牧草地，主要植被类型为适应荒漠气侯条件条的披碱草、星星草、青海冷地早熟禾等。项目区水土流失以风力侵蚀为主。项目区无保护级别的野生动物分布</w:t>
      </w:r>
      <w:r>
        <w:t>。</w:t>
      </w:r>
    </w:p>
    <w:p>
      <w:pPr>
        <w:bidi w:val="0"/>
        <w:spacing w:line="360" w:lineRule="auto"/>
        <w:rPr>
          <w:rFonts w:hint="default" w:ascii="Times New Roman" w:hAnsi="Times New Roman" w:eastAsia="宋体" w:cs="Times New Roman"/>
          <w:b/>
          <w:bCs/>
          <w:lang w:val="en-US" w:eastAsia="zh-CN"/>
        </w:rPr>
      </w:pPr>
      <w:r>
        <w:rPr>
          <w:rFonts w:hint="default" w:ascii="Times New Roman" w:hAnsi="Times New Roman" w:eastAsia="宋体" w:cs="Times New Roman"/>
          <w:b/>
          <w:bCs/>
        </w:rPr>
        <w:t>5.1.3</w:t>
      </w:r>
      <w:r>
        <w:rPr>
          <w:rFonts w:hint="default" w:ascii="Times New Roman" w:hAnsi="Times New Roman" w:eastAsia="宋体" w:cs="Times New Roman"/>
          <w:b/>
          <w:bCs/>
          <w:lang w:val="en-US" w:eastAsia="zh-CN"/>
        </w:rPr>
        <w:t xml:space="preserve">  环境影响分析结论</w:t>
      </w:r>
    </w:p>
    <w:p>
      <w:pPr>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施工期环境影响分析结论</w:t>
      </w:r>
    </w:p>
    <w:p>
      <w:pPr>
        <w:bidi w:val="0"/>
        <w:rPr>
          <w:rFonts w:hint="default"/>
          <w:lang w:val="en-US" w:eastAsia="zh-CN"/>
        </w:rPr>
      </w:pPr>
      <w:r>
        <w:rPr>
          <w:rFonts w:hint="default"/>
          <w:lang w:val="en-US" w:eastAsia="zh-CN"/>
        </w:rPr>
        <w:t>①环境空气影响分析结论</w:t>
      </w:r>
    </w:p>
    <w:p>
      <w:pPr>
        <w:bidi w:val="0"/>
        <w:rPr>
          <w:rFonts w:hint="eastAsia"/>
          <w:lang w:val="en-US" w:eastAsia="zh-CN"/>
        </w:rPr>
      </w:pPr>
      <w:r>
        <w:rPr>
          <w:rFonts w:hint="eastAsia"/>
          <w:lang w:val="en-US" w:eastAsia="zh-CN"/>
        </w:rPr>
        <w:t>由于工程施工期较短，施工扬尘对周边环境空气影响不大。但施工单位也应加强管理，文明施工，建筑材料轻装轻卸，运输砂石料、水泥等易产生扬尘的车辆上覆盖篷布。</w:t>
      </w:r>
    </w:p>
    <w:p>
      <w:pPr>
        <w:bidi w:val="0"/>
        <w:rPr>
          <w:rFonts w:hint="default"/>
          <w:lang w:val="en-US" w:eastAsia="zh-CN"/>
        </w:rPr>
      </w:pPr>
      <w:r>
        <w:rPr>
          <w:rFonts w:hint="default"/>
          <w:lang w:val="en-US" w:eastAsia="zh-CN"/>
        </w:rPr>
        <w:t>②</w:t>
      </w:r>
      <w:r>
        <w:rPr>
          <w:rFonts w:hint="eastAsia"/>
          <w:lang w:val="en-US" w:eastAsia="zh-CN"/>
        </w:rPr>
        <w:t>水环境</w:t>
      </w:r>
      <w:r>
        <w:rPr>
          <w:rFonts w:hint="default"/>
          <w:lang w:val="en-US" w:eastAsia="zh-CN"/>
        </w:rPr>
        <w:t>影响分析结论</w:t>
      </w:r>
    </w:p>
    <w:p>
      <w:pPr>
        <w:bidi w:val="0"/>
        <w:rPr>
          <w:rFonts w:hint="default"/>
          <w:lang w:val="en-US" w:eastAsia="zh-CN"/>
        </w:rPr>
      </w:pPr>
      <w:r>
        <w:rPr>
          <w:rFonts w:hint="eastAsia"/>
          <w:lang w:val="en-US" w:eastAsia="zh-CN"/>
        </w:rPr>
        <w:t>施工期产生的废水主要为生活污水，砂石料加工和混凝土拌合废水，生活污水应设置污水蒸发池进行蒸发消耗，砂石料加工和混凝土拌合废水可经沉淀池处理后用于施工场区和道路降尘，均不外排，严禁将施工废水外排至以东约700m处的小河，采取以上措施后对环境基本无影响。</w:t>
      </w:r>
    </w:p>
    <w:p>
      <w:pPr>
        <w:bidi w:val="0"/>
        <w:rPr>
          <w:rFonts w:hint="eastAsia"/>
          <w:lang w:val="en-US" w:eastAsia="zh-CN"/>
        </w:rPr>
      </w:pPr>
      <w:r>
        <w:rPr>
          <w:rFonts w:hint="default"/>
          <w:lang w:val="en-US" w:eastAsia="zh-CN"/>
        </w:rPr>
        <w:t>③</w:t>
      </w:r>
      <w:r>
        <w:rPr>
          <w:rFonts w:hint="eastAsia"/>
          <w:lang w:val="en-US" w:eastAsia="zh-CN"/>
        </w:rPr>
        <w:t>固体废物环境影响分析结论</w:t>
      </w:r>
    </w:p>
    <w:p>
      <w:pPr>
        <w:bidi w:val="0"/>
        <w:rPr>
          <w:rFonts w:hint="default"/>
          <w:lang w:val="en-US" w:eastAsia="zh-CN"/>
        </w:rPr>
      </w:pPr>
      <w:r>
        <w:rPr>
          <w:rFonts w:hint="eastAsia"/>
          <w:lang w:val="en-US" w:eastAsia="zh-CN"/>
        </w:rPr>
        <w:t>施工中产生的固体废物主要为建筑垃圾和生活垃圾，应设置临时性的堆放点进行堆放，待施工结束后，则运至建成的垃圾填埋场进行填埋处理，届时对环境基本无影响。</w:t>
      </w:r>
    </w:p>
    <w:p>
      <w:pPr>
        <w:bidi w:val="0"/>
        <w:rPr>
          <w:rFonts w:hint="default"/>
          <w:lang w:val="en-US" w:eastAsia="zh-CN"/>
        </w:rPr>
      </w:pPr>
      <w:r>
        <w:rPr>
          <w:rFonts w:hint="default"/>
          <w:lang w:val="en-US" w:eastAsia="zh-CN"/>
        </w:rPr>
        <w:t>④</w:t>
      </w:r>
      <w:r>
        <w:rPr>
          <w:rFonts w:hint="eastAsia"/>
          <w:lang w:val="en-US" w:eastAsia="zh-CN"/>
        </w:rPr>
        <w:t>声环境</w:t>
      </w:r>
      <w:r>
        <w:rPr>
          <w:rFonts w:hint="default"/>
          <w:lang w:val="en-US" w:eastAsia="zh-CN"/>
        </w:rPr>
        <w:t>影响分析结论</w:t>
      </w:r>
    </w:p>
    <w:p>
      <w:pPr>
        <w:bidi w:val="0"/>
        <w:rPr>
          <w:rFonts w:hint="default"/>
          <w:lang w:val="en-US" w:eastAsia="zh-CN"/>
        </w:rPr>
      </w:pPr>
      <w:r>
        <w:rPr>
          <w:rFonts w:hint="eastAsia"/>
          <w:lang w:val="en-US" w:eastAsia="zh-CN"/>
        </w:rPr>
        <w:t>施工噪声对周围环境产生的影响很小。</w:t>
      </w:r>
    </w:p>
    <w:p>
      <w:pPr>
        <w:bidi w:val="0"/>
        <w:rPr>
          <w:rFonts w:hint="eastAsia"/>
          <w:lang w:val="en-US" w:eastAsia="zh-CN"/>
        </w:rPr>
      </w:pPr>
      <w:r>
        <w:rPr>
          <w:rFonts w:hint="default"/>
          <w:lang w:val="en-US" w:eastAsia="zh-CN"/>
        </w:rPr>
        <w:t>⑤</w:t>
      </w:r>
      <w:r>
        <w:rPr>
          <w:rFonts w:hint="eastAsia"/>
          <w:lang w:val="en-US" w:eastAsia="zh-CN"/>
        </w:rPr>
        <w:t>生态环境影响分析结论</w:t>
      </w:r>
    </w:p>
    <w:p>
      <w:pPr>
        <w:bidi w:val="0"/>
        <w:rPr>
          <w:rFonts w:hint="default"/>
          <w:lang w:val="en-US" w:eastAsia="zh-CN"/>
        </w:rPr>
      </w:pPr>
      <w:r>
        <w:rPr>
          <w:rFonts w:hint="eastAsia"/>
          <w:lang w:val="en-US" w:eastAsia="zh-CN"/>
        </w:rPr>
        <w:t>施工期对生态环境的影响主要表现在工程占地、植被破坏、增加水土流失和影响景观环境等，在采取了环评提出的各项环保措施后，工程建设对生态环境的影响较小。</w:t>
      </w:r>
    </w:p>
    <w:p>
      <w:pPr>
        <w:bidi w:val="0"/>
        <w:rPr>
          <w:rFonts w:hint="eastAsia"/>
          <w:lang w:val="en-US" w:eastAsia="zh-CN"/>
        </w:rPr>
      </w:pPr>
      <w:r>
        <w:rPr>
          <w:rFonts w:hint="default"/>
          <w:lang w:val="en-US" w:eastAsia="zh-CN"/>
        </w:rPr>
        <w:t>⑥</w:t>
      </w:r>
      <w:r>
        <w:rPr>
          <w:rFonts w:hint="eastAsia"/>
          <w:lang w:val="en-US" w:eastAsia="zh-CN"/>
        </w:rPr>
        <w:t>社会环境影响分析结论</w:t>
      </w:r>
    </w:p>
    <w:p>
      <w:pPr>
        <w:bidi w:val="0"/>
        <w:rPr>
          <w:rFonts w:hint="eastAsia"/>
          <w:lang w:val="en-US" w:eastAsia="zh-CN"/>
        </w:rPr>
      </w:pPr>
      <w:r>
        <w:rPr>
          <w:rFonts w:hint="eastAsia"/>
          <w:lang w:val="en-US" w:eastAsia="zh-CN"/>
        </w:rPr>
        <w:t>本工程在项目建成后可以改善同德县河北乡及周边农村的卫生条件，提高居民的生活质量，避免随意倾倒垃圾带来的种种环境问题。</w:t>
      </w:r>
    </w:p>
    <w:p>
      <w:pPr>
        <w:bidi w:val="0"/>
        <w:rPr>
          <w:rFonts w:hint="eastAsia"/>
          <w:b/>
          <w:bCs/>
          <w:lang w:val="en-US" w:eastAsia="zh-CN"/>
        </w:rPr>
      </w:pPr>
      <w:r>
        <w:rPr>
          <w:rFonts w:hint="eastAsia"/>
          <w:b/>
          <w:bCs/>
          <w:lang w:val="en-US" w:eastAsia="zh-CN"/>
        </w:rPr>
        <w:t>5.1.4  运营期环境影响分析结论</w:t>
      </w:r>
    </w:p>
    <w:p>
      <w:pPr>
        <w:bidi w:val="0"/>
        <w:rPr>
          <w:rFonts w:hint="eastAsia"/>
          <w:lang w:val="en-US" w:eastAsia="zh-CN"/>
        </w:rPr>
      </w:pPr>
      <w:r>
        <w:rPr>
          <w:rFonts w:hint="default"/>
          <w:lang w:val="en-US" w:eastAsia="zh-CN"/>
        </w:rPr>
        <w:t>①</w:t>
      </w:r>
      <w:r>
        <w:rPr>
          <w:rFonts w:hint="eastAsia"/>
          <w:lang w:val="en-US" w:eastAsia="zh-CN"/>
        </w:rPr>
        <w:t>环境空气影响分析结论</w:t>
      </w:r>
    </w:p>
    <w:p>
      <w:pPr>
        <w:bidi w:val="0"/>
        <w:rPr>
          <w:rFonts w:hint="eastAsia"/>
          <w:lang w:val="en-US" w:eastAsia="zh-CN"/>
        </w:rPr>
      </w:pPr>
      <w:r>
        <w:rPr>
          <w:rFonts w:hint="eastAsia"/>
          <w:lang w:val="en-US" w:eastAsia="zh-CN"/>
        </w:rPr>
        <w:t>拟建垃圾填埋场产生的垃圾填埋气对评价区的环境空气影响不大；</w:t>
      </w:r>
    </w:p>
    <w:p>
      <w:pPr>
        <w:bidi w:val="0"/>
        <w:rPr>
          <w:rFonts w:hint="eastAsia"/>
          <w:lang w:val="en-US" w:eastAsia="zh-CN"/>
        </w:rPr>
      </w:pPr>
      <w:r>
        <w:rPr>
          <w:rFonts w:hint="eastAsia"/>
          <w:lang w:val="en-US" w:eastAsia="zh-CN"/>
        </w:rPr>
        <w:t>本项目大气环境防护距离确定为厂界外500m，此范围内今后亦不得在建设居民点、学习、医院等环境敏感建筑；</w:t>
      </w:r>
    </w:p>
    <w:p>
      <w:pPr>
        <w:bidi w:val="0"/>
        <w:rPr>
          <w:rFonts w:hint="eastAsia"/>
          <w:lang w:val="en-US" w:eastAsia="zh-CN"/>
        </w:rPr>
      </w:pPr>
      <w:r>
        <w:rPr>
          <w:rFonts w:hint="eastAsia"/>
          <w:lang w:val="en-US" w:eastAsia="zh-CN"/>
        </w:rPr>
        <w:t>由于拟建垃圾填埋场本身哭融合日处理量均不大，日作业次数较小，正常情况下垃圾填埋场产生的扬尘对环境空气影响很小；</w:t>
      </w:r>
    </w:p>
    <w:p>
      <w:pPr>
        <w:bidi w:val="0"/>
        <w:rPr>
          <w:rFonts w:hint="default"/>
          <w:lang w:val="en-US" w:eastAsia="zh-CN"/>
        </w:rPr>
      </w:pPr>
      <w:r>
        <w:rPr>
          <w:rFonts w:hint="eastAsia"/>
          <w:lang w:val="en-US" w:eastAsia="zh-CN"/>
        </w:rPr>
        <w:t>通过采取垃圾及时覆土、喷洒除臭剂等措施后，拟建垃圾填埋场恶臭不会对周边居民产生影响。</w:t>
      </w:r>
    </w:p>
    <w:p>
      <w:pPr>
        <w:bidi w:val="0"/>
        <w:rPr>
          <w:rFonts w:hint="eastAsia"/>
          <w:lang w:val="en-US" w:eastAsia="zh-CN"/>
        </w:rPr>
      </w:pPr>
      <w:r>
        <w:rPr>
          <w:rFonts w:hint="default"/>
          <w:lang w:val="en-US" w:eastAsia="zh-CN"/>
        </w:rPr>
        <w:t>②</w:t>
      </w:r>
      <w:r>
        <w:rPr>
          <w:rFonts w:hint="eastAsia"/>
          <w:lang w:val="en-US" w:eastAsia="zh-CN"/>
        </w:rPr>
        <w:t>地表水环境影响分析结论</w:t>
      </w:r>
    </w:p>
    <w:p>
      <w:pPr>
        <w:bidi w:val="0"/>
        <w:rPr>
          <w:rFonts w:hint="default"/>
          <w:lang w:val="en-US" w:eastAsia="zh-CN"/>
        </w:rPr>
      </w:pPr>
      <w:r>
        <w:rPr>
          <w:rFonts w:hint="eastAsia"/>
          <w:lang w:val="en-US" w:eastAsia="zh-CN"/>
        </w:rPr>
        <w:t>由于本项目垃圾渗滤液、生活污水的产生量较小，在采取了拟定的处理措施后均不外排，距离周边最近的地表水体为厂区以东约700m处的小河为季节性河流，加之填埋场设置有成熟可靠的防渗系统，渗滤液收集处理系统、防洪系统，因此，正常情况下对周边地表水体没有影响。</w:t>
      </w:r>
    </w:p>
    <w:p>
      <w:pPr>
        <w:bidi w:val="0"/>
        <w:rPr>
          <w:rFonts w:hint="eastAsia"/>
          <w:lang w:val="en-US" w:eastAsia="zh-CN"/>
        </w:rPr>
      </w:pPr>
      <w:r>
        <w:rPr>
          <w:rFonts w:hint="default"/>
          <w:lang w:val="en-US" w:eastAsia="zh-CN"/>
        </w:rPr>
        <w:t>③</w:t>
      </w:r>
      <w:r>
        <w:rPr>
          <w:rFonts w:hint="eastAsia"/>
          <w:lang w:val="en-US" w:eastAsia="zh-CN"/>
        </w:rPr>
        <w:t>地下水环境影响分析结论</w:t>
      </w:r>
    </w:p>
    <w:p>
      <w:pPr>
        <w:bidi w:val="0"/>
        <w:rPr>
          <w:rFonts w:hint="default"/>
          <w:lang w:val="en-US" w:eastAsia="zh-CN"/>
        </w:rPr>
      </w:pPr>
      <w:r>
        <w:rPr>
          <w:rFonts w:hint="eastAsia"/>
          <w:lang w:val="en-US" w:eastAsia="zh-CN"/>
        </w:rPr>
        <w:t>场区水文地质条件简单，勘探深度内（30m）亦未揭露到地下水，且垃圾填埋场设置有成熟可靠的防渗系统，渗滤液收集处理系统、防洪系统，在保证施工质量和加强运行管理的情况下，垃圾渗沥液的外渗速率很小，能够控制在标准限值以内，届时对地下水环境基本没有影响。</w:t>
      </w:r>
    </w:p>
    <w:p>
      <w:pPr>
        <w:bidi w:val="0"/>
        <w:rPr>
          <w:rFonts w:hint="eastAsia"/>
          <w:lang w:val="en-US" w:eastAsia="zh-CN"/>
        </w:rPr>
      </w:pPr>
      <w:r>
        <w:rPr>
          <w:rFonts w:hint="default"/>
          <w:lang w:val="en-US" w:eastAsia="zh-CN"/>
        </w:rPr>
        <w:t>④</w:t>
      </w:r>
      <w:r>
        <w:rPr>
          <w:rFonts w:hint="eastAsia"/>
          <w:lang w:val="en-US" w:eastAsia="zh-CN"/>
        </w:rPr>
        <w:t>声环境影响分析结论</w:t>
      </w:r>
    </w:p>
    <w:p>
      <w:pPr>
        <w:bidi w:val="0"/>
        <w:rPr>
          <w:rFonts w:hint="default"/>
          <w:lang w:val="en-US" w:eastAsia="zh-CN"/>
        </w:rPr>
      </w:pPr>
      <w:r>
        <w:rPr>
          <w:rFonts w:hint="default"/>
          <w:lang w:val="en-US" w:eastAsia="zh-CN"/>
        </w:rPr>
        <w:t>由于垃圾填埋场距离周边的居民区较远，填埋场噪声经大幅度的距离衰减和地面吸收后对其影响甚微。</w:t>
      </w:r>
    </w:p>
    <w:p>
      <w:pPr>
        <w:bidi w:val="0"/>
        <w:rPr>
          <w:rFonts w:hint="default"/>
          <w:lang w:val="en-US" w:eastAsia="zh-CN"/>
        </w:rPr>
      </w:pPr>
      <w:r>
        <w:rPr>
          <w:rFonts w:hint="default"/>
          <w:lang w:val="en-US" w:eastAsia="zh-CN"/>
        </w:rPr>
        <w:t>⑤生态</w:t>
      </w:r>
      <w:r>
        <w:rPr>
          <w:rFonts w:hint="eastAsia"/>
          <w:lang w:val="en-US" w:eastAsia="zh-CN"/>
        </w:rPr>
        <w:t>环境</w:t>
      </w:r>
      <w:r>
        <w:rPr>
          <w:rFonts w:hint="default"/>
          <w:lang w:val="en-US" w:eastAsia="zh-CN"/>
        </w:rPr>
        <w:t>影响分析结论</w:t>
      </w:r>
    </w:p>
    <w:p>
      <w:pPr>
        <w:bidi w:val="0"/>
        <w:rPr>
          <w:rFonts w:hint="default"/>
          <w:lang w:val="en-US" w:eastAsia="zh-CN"/>
        </w:rPr>
      </w:pPr>
      <w:r>
        <w:rPr>
          <w:rFonts w:hint="default"/>
          <w:lang w:val="en-US" w:eastAsia="zh-CN"/>
        </w:rPr>
        <w:t>运营期对生态环境的影响主要表现在破坏植被、水土流失、影响景观环境和土壤环境等，在采取了环评提出的各项环保措施后，届时对生态环境影响较小。</w:t>
      </w:r>
    </w:p>
    <w:p>
      <w:pPr>
        <w:bidi w:val="0"/>
        <w:rPr>
          <w:rFonts w:hint="default"/>
          <w:lang w:val="en-US" w:eastAsia="zh-CN"/>
        </w:rPr>
      </w:pPr>
      <w:r>
        <w:rPr>
          <w:rFonts w:hint="default"/>
          <w:lang w:val="en-US" w:eastAsia="zh-CN"/>
        </w:rPr>
        <w:t>⑥蝇类滋生环境影响分析结论</w:t>
      </w:r>
    </w:p>
    <w:p>
      <w:pPr>
        <w:bidi w:val="0"/>
        <w:rPr>
          <w:rFonts w:hint="default"/>
          <w:lang w:val="en-US" w:eastAsia="zh-CN"/>
        </w:rPr>
      </w:pPr>
      <w:r>
        <w:rPr>
          <w:rFonts w:hint="default"/>
          <w:lang w:val="en-US" w:eastAsia="zh-CN"/>
        </w:rPr>
        <w:t>通过采取必要的卫生防疫措施</w:t>
      </w:r>
      <w:r>
        <w:rPr>
          <w:rFonts w:hint="eastAsia"/>
          <w:lang w:val="en-US" w:eastAsia="zh-CN"/>
        </w:rPr>
        <w:t>（</w:t>
      </w:r>
      <w:r>
        <w:rPr>
          <w:rFonts w:hint="default"/>
          <w:lang w:val="en-US" w:eastAsia="zh-CN"/>
        </w:rPr>
        <w:t>如垃圾及时覆上、定期喷药灭蝇等</w:t>
      </w:r>
      <w:r>
        <w:rPr>
          <w:rFonts w:hint="eastAsia"/>
          <w:lang w:val="en-US" w:eastAsia="zh-CN"/>
        </w:rPr>
        <w:t>）</w:t>
      </w:r>
      <w:r>
        <w:rPr>
          <w:rFonts w:hint="default"/>
          <w:lang w:val="en-US" w:eastAsia="zh-CN"/>
        </w:rPr>
        <w:t>，可以避免蝇类滋生对村民正常生活造成影响。</w:t>
      </w:r>
    </w:p>
    <w:p>
      <w:pPr>
        <w:bidi w:val="0"/>
        <w:rPr>
          <w:rFonts w:hint="default"/>
          <w:lang w:val="en-US" w:eastAsia="zh-CN"/>
        </w:rPr>
      </w:pPr>
      <w:r>
        <w:rPr>
          <w:rFonts w:hint="default"/>
          <w:lang w:val="en-US" w:eastAsia="zh-CN"/>
        </w:rPr>
        <w:t>⑦垃圾转运环境影响分析结论</w:t>
      </w:r>
    </w:p>
    <w:p>
      <w:pPr>
        <w:bidi w:val="0"/>
        <w:rPr>
          <w:rFonts w:hint="default"/>
          <w:lang w:val="en-US" w:eastAsia="zh-CN"/>
        </w:rPr>
      </w:pPr>
      <w:r>
        <w:rPr>
          <w:rFonts w:hint="default"/>
          <w:lang w:val="en-US" w:eastAsia="zh-CN"/>
        </w:rPr>
        <w:t>垃投转运采用全密闭垃圾车进行，转运垃圾较少，因而转运中产生的扬尘和噪声一般不会对沿线居民产生影响。</w:t>
      </w:r>
    </w:p>
    <w:p>
      <w:pPr>
        <w:rPr>
          <w:rFonts w:hint="eastAsia"/>
          <w:lang w:val="en-US" w:eastAsia="zh-CN"/>
        </w:rPr>
      </w:pPr>
      <w:r>
        <w:rPr>
          <w:rFonts w:hint="eastAsia"/>
          <w:b/>
          <w:bCs/>
          <w:lang w:val="en-US" w:eastAsia="zh-CN"/>
        </w:rPr>
        <w:t>5.1.5   污染防治措施及可行性分析结论</w:t>
      </w:r>
    </w:p>
    <w:p>
      <w:pPr>
        <w:rPr>
          <w:rFonts w:hint="eastAsia"/>
          <w:lang w:val="en-US" w:eastAsia="zh-CN"/>
        </w:rPr>
      </w:pPr>
      <w:r>
        <w:rPr>
          <w:rFonts w:hint="eastAsia"/>
          <w:lang w:val="en-US" w:eastAsia="zh-CN"/>
        </w:rPr>
        <w:t>（1）为使填埋场能安全、稳定地运行，垃圾填埋场设置有填埋气体收集、导排系统。由于当地生活垃圾中有机物含量较低，填埋气体产生量较小，气体综合利用价值不高，点燃处理也比较困难，因此，工程拟将填埋气收集后通过场内布设的导气管直接排放，措施是合理可行的</w:t>
      </w:r>
    </w:p>
    <w:p>
      <w:pPr>
        <w:rPr>
          <w:rFonts w:hint="eastAsia"/>
          <w:lang w:val="en-US" w:eastAsia="zh-CN"/>
        </w:rPr>
      </w:pPr>
      <w:r>
        <w:rPr>
          <w:rFonts w:hint="eastAsia"/>
          <w:lang w:val="en-US" w:eastAsia="zh-CN"/>
        </w:rPr>
        <w:t>（2）本项日拟采取填埋垃圾及时覆盖、经常喷酒药物等措施来降低臭气浓度，成熟可整，操作方便，合理可行。</w:t>
      </w:r>
    </w:p>
    <w:p>
      <w:pPr>
        <w:rPr>
          <w:rFonts w:hint="eastAsia"/>
          <w:lang w:val="en-US" w:eastAsia="zh-CN"/>
        </w:rPr>
      </w:pPr>
      <w:r>
        <w:rPr>
          <w:rFonts w:hint="eastAsia"/>
          <w:lang w:val="en-US" w:eastAsia="zh-CN"/>
        </w:rPr>
        <w:t>（3）扬尘防治措施主要为垃圾分区逐层填埋、层层覆土压实、表层经常洒水等，均为填埋场普遍采用，效果明显，可有效减轻扬尘污染，防治措施可行。</w:t>
      </w:r>
    </w:p>
    <w:p>
      <w:pPr>
        <w:rPr>
          <w:rFonts w:hint="eastAsia"/>
          <w:lang w:val="en-US" w:eastAsia="zh-CN"/>
        </w:rPr>
      </w:pPr>
      <w:r>
        <w:rPr>
          <w:rFonts w:hint="eastAsia"/>
          <w:lang w:val="en-US" w:eastAsia="zh-CN"/>
        </w:rPr>
        <w:t>（4）环评提出采用以高密度聚乙烯土工膜为主要防渗材料的人工双层衬里防渗系统。在材科运输，工程施工和填埋过程中要特别注意保护高密度聚乙烯土上工膜，避免其出现孔隙和裂纹，高密度聚乙烯土工膜也应符合《垃圾填埋场用高密度聚乙烯土工膜(CJ/1234-2006)中的术要求，确保达到规定的防渗效果。</w:t>
      </w:r>
    </w:p>
    <w:p>
      <w:pPr>
        <w:rPr>
          <w:rFonts w:hint="eastAsia"/>
          <w:lang w:val="en-US" w:eastAsia="zh-CN"/>
        </w:rPr>
      </w:pPr>
      <w:r>
        <w:rPr>
          <w:rFonts w:hint="eastAsia"/>
          <w:lang w:val="en-US" w:eastAsia="zh-CN"/>
        </w:rPr>
        <w:t>（5）本工程拟将渗滤液收集后，定期回喷至垃圾堆体上进行自然蒸发消耗。这种处理方式不仅可起到抑制扬尘的作用，也减少了渗滤液的处理费用。是北方地区渗滤液处置的常用方法，实践证明是比较可行的处理方法。车辆冲洗废水可直接在混凝土冲洗平台的集水池内蒸发消耗，不外排，措施可行。</w:t>
      </w:r>
    </w:p>
    <w:p>
      <w:pPr>
        <w:rPr>
          <w:rFonts w:hint="eastAsia"/>
          <w:lang w:val="en-US" w:eastAsia="zh-CN"/>
        </w:rPr>
      </w:pPr>
      <w:r>
        <w:rPr>
          <w:rFonts w:hint="eastAsia"/>
          <w:lang w:val="en-US" w:eastAsia="zh-CN"/>
        </w:rPr>
        <w:t>（6）目前填埋作业机械尚无消声隔声措施，主要靠距离衰减来减少对周围居民的影响，同时应规范各种机械设备的操作，尽可能选用低噪声设备，加强设备的维护和保养等，均是较为切实可行的</w:t>
      </w:r>
    </w:p>
    <w:p>
      <w:pPr>
        <w:rPr>
          <w:rFonts w:hint="eastAsia"/>
          <w:lang w:val="en-US" w:eastAsia="zh-CN"/>
        </w:rPr>
      </w:pPr>
      <w:r>
        <w:rPr>
          <w:rFonts w:hint="eastAsia"/>
          <w:lang w:val="en-US" w:eastAsia="zh-CN"/>
        </w:rPr>
        <w:t>（7）工程拟采取垃圾及时覆土压实，设置防飞散网围栏等措施来解决“白色污染”问题，合理可行。</w:t>
      </w:r>
    </w:p>
    <w:p>
      <w:pPr>
        <w:rPr>
          <w:rFonts w:hint="eastAsia"/>
          <w:lang w:val="en-US" w:eastAsia="zh-CN"/>
        </w:rPr>
      </w:pPr>
      <w:r>
        <w:rPr>
          <w:rFonts w:hint="eastAsia"/>
          <w:lang w:val="en-US" w:eastAsia="zh-CN"/>
        </w:rPr>
        <w:t>（8）垃圾坑埋场运行中易产生蚊蝇孳生的环境卫生问题，工程拟采取垃圾的收集和运输过程中实行封闭化操作，垃圾填埋作业全面规划、单元作业，灭杀成蝇三项措施，均是合理可行的。</w:t>
      </w:r>
    </w:p>
    <w:p>
      <w:pPr>
        <w:rPr>
          <w:rFonts w:hint="eastAsia"/>
          <w:lang w:val="en-US" w:eastAsia="zh-CN"/>
        </w:rPr>
      </w:pPr>
      <w:r>
        <w:rPr>
          <w:rFonts w:hint="eastAsia"/>
          <w:lang w:val="en-US" w:eastAsia="zh-CN"/>
        </w:rPr>
        <w:t>（9）垃圾填埋场必须按照环评要求的措施进行封局作业及生态恢复，封场后如需对填埋场加以利用，则必须符合国家有关规定</w:t>
      </w:r>
    </w:p>
    <w:p>
      <w:pPr>
        <w:rPr>
          <w:rFonts w:hint="eastAsia"/>
          <w:lang w:val="en-US" w:eastAsia="zh-CN"/>
        </w:rPr>
      </w:pPr>
      <w:r>
        <w:rPr>
          <w:rFonts w:hint="eastAsia"/>
          <w:lang w:val="en-US" w:eastAsia="zh-CN"/>
        </w:rPr>
        <w:t>（10）工程应按照环评要求配置1台便携式甲烷监测仪。</w:t>
      </w:r>
    </w:p>
    <w:p>
      <w:pPr>
        <w:rPr>
          <w:rFonts w:hint="eastAsia"/>
          <w:b/>
          <w:bCs/>
          <w:lang w:val="en-US" w:eastAsia="zh-CN"/>
        </w:rPr>
      </w:pPr>
      <w:r>
        <w:rPr>
          <w:rFonts w:hint="eastAsia"/>
          <w:b/>
          <w:bCs/>
          <w:lang w:val="en-US" w:eastAsia="zh-CN"/>
        </w:rPr>
        <w:t>5.1.6   项目选址可行性、产业政策相符性分析结论</w:t>
      </w:r>
    </w:p>
    <w:p>
      <w:pPr>
        <w:rPr>
          <w:rFonts w:hint="eastAsia"/>
          <w:lang w:val="en-US" w:eastAsia="zh-CN"/>
        </w:rPr>
      </w:pPr>
      <w:r>
        <w:rPr>
          <w:rFonts w:hint="eastAsia"/>
          <w:lang w:val="en-US" w:eastAsia="zh-CN"/>
        </w:rPr>
        <w:t>（1）拟建垃圾填埋场选址符合《生活垃圾填埋场污染控制标准》（GB16889-2008)的选址要求，选址合理可行。</w:t>
      </w:r>
    </w:p>
    <w:p>
      <w:pPr>
        <w:rPr>
          <w:rFonts w:hint="default"/>
          <w:lang w:val="en-US" w:eastAsia="zh-CN"/>
        </w:rPr>
      </w:pPr>
      <w:r>
        <w:rPr>
          <w:rFonts w:hint="eastAsia"/>
          <w:lang w:val="en-US" w:eastAsia="zh-CN"/>
        </w:rPr>
        <w:t>（2）《产业结构调整指导（2012年本2013年修）》将垃圾处理列为鼓励类项目，同德县发展改革和经济商务局己对本项目的建设进行了批复（同发改经商[2015]86号），因此本工程建设符合国家相关产业政策。</w:t>
      </w:r>
    </w:p>
    <w:p>
      <w:pPr>
        <w:rPr>
          <w:rFonts w:hint="eastAsia"/>
          <w:b/>
          <w:bCs/>
          <w:lang w:val="en-US" w:eastAsia="zh-CN"/>
        </w:rPr>
      </w:pPr>
      <w:r>
        <w:rPr>
          <w:rFonts w:hint="eastAsia"/>
          <w:b/>
          <w:bCs/>
          <w:lang w:val="en-US" w:eastAsia="zh-CN"/>
        </w:rPr>
        <w:t xml:space="preserve">5.1.7   环境风险分析结论  </w:t>
      </w:r>
    </w:p>
    <w:p>
      <w:pPr>
        <w:rPr>
          <w:rFonts w:hint="eastAsia"/>
          <w:lang w:val="en-US" w:eastAsia="zh-CN"/>
        </w:rPr>
      </w:pPr>
      <w:r>
        <w:rPr>
          <w:rFonts w:hint="eastAsia"/>
          <w:lang w:val="en-US" w:eastAsia="zh-CN"/>
        </w:rPr>
        <w:t>拟建垃圾填埋场正常情况下不会发生填埋场爆炸、渗滤液外渗、垃圾坝垮坝、截洪沟排洪不畅等环境风险，但填埋场管理方必须加强运营期和封场后的安全管理，严格落实环评提出的各项风险防范及减缓措施，杜绝各类事放发生。</w:t>
      </w:r>
    </w:p>
    <w:p>
      <w:pPr>
        <w:rPr>
          <w:rFonts w:hint="eastAsia"/>
          <w:b/>
          <w:bCs/>
          <w:lang w:val="en-US" w:eastAsia="zh-CN"/>
        </w:rPr>
      </w:pPr>
      <w:r>
        <w:rPr>
          <w:rFonts w:hint="eastAsia"/>
          <w:b/>
          <w:bCs/>
          <w:lang w:val="en-US" w:eastAsia="zh-CN"/>
        </w:rPr>
        <w:t>5.1.8   公众参与结论</w:t>
      </w:r>
    </w:p>
    <w:p>
      <w:pPr>
        <w:rPr>
          <w:rFonts w:hint="eastAsia"/>
          <w:lang w:val="en-US" w:eastAsia="zh-CN"/>
        </w:rPr>
      </w:pPr>
      <w:r>
        <w:rPr>
          <w:rFonts w:hint="eastAsia"/>
          <w:lang w:val="en-US" w:eastAsia="zh-CN"/>
        </w:rPr>
        <w:t>在公众参与调查中，所有公众均认为本工程建设的总体效应是利大于弊、从环保角度讲项目建设也是可行的。</w:t>
      </w:r>
    </w:p>
    <w:p>
      <w:pPr>
        <w:rPr>
          <w:rFonts w:hint="eastAsia"/>
          <w:b/>
          <w:bCs/>
          <w:lang w:val="en-US" w:eastAsia="zh-CN"/>
        </w:rPr>
      </w:pPr>
      <w:r>
        <w:rPr>
          <w:rFonts w:hint="eastAsia"/>
          <w:b/>
          <w:bCs/>
          <w:lang w:val="en-US" w:eastAsia="zh-CN"/>
        </w:rPr>
        <w:t>5.1.9   总体结论</w:t>
      </w:r>
    </w:p>
    <w:p>
      <w:pPr>
        <w:bidi w:val="0"/>
        <w:rPr>
          <w:rFonts w:hint="eastAsia"/>
          <w:lang w:val="en-US" w:eastAsia="zh-CN"/>
        </w:rPr>
      </w:pPr>
      <w:r>
        <w:rPr>
          <w:rFonts w:hint="eastAsia"/>
          <w:lang w:val="en-US" w:eastAsia="zh-CN"/>
        </w:rPr>
        <w:t>为改善同德县河北乡及周边农村的卫生环境和居民生活条件，保护三江源自然保护区的生态环境，从根本上解决生活垃圾随意倾倒带来的诸多环境问题，促进人与自然和谐共处，经同德县发展改革和经济商务局对本项日的批复(同发改经商[2015]86号)，同德县环境保护和林业局拟在河北乡赛羊村(石藏寺)4kn处诺日央宗建设“同德县河北乡周边农村环境综合整治垃圾填埋场”建设项目属于城镇基础设施建设项目、对于改善同德县河北乡及周边农村的卫生环境和厉民生活条件，保护三江源自然保护区的生态环境，从根本上解决生活垃圾随意倾倒带来的诸多环境问题，促逃人与自然和谐共处，具有良好的社会和环境效益。</w:t>
      </w:r>
    </w:p>
    <w:p>
      <w:pPr>
        <w:bidi w:val="0"/>
        <w:rPr>
          <w:rFonts w:hint="eastAsia"/>
          <w:lang w:val="en-US" w:eastAsia="zh-CN"/>
        </w:rPr>
      </w:pPr>
      <w:r>
        <w:rPr>
          <w:rFonts w:hint="eastAsia"/>
          <w:lang w:val="en-US" w:eastAsia="zh-CN"/>
        </w:rPr>
        <w:t>拟建工程符合国家产业政策，符合国家相关法律法规和标准的选址要求，选址合理可行。在严格落实环评提出的各项污染防治和生态保护措施后，并且实现设置大气环境防护距离，从环境保护角度讲，本项日建设是可行的。</w:t>
      </w:r>
    </w:p>
    <w:p>
      <w:pPr>
        <w:rPr>
          <w:rFonts w:hint="eastAsia"/>
          <w:b/>
          <w:bCs/>
          <w:lang w:val="en-US" w:eastAsia="zh-CN"/>
        </w:rPr>
      </w:pPr>
      <w:r>
        <w:rPr>
          <w:rFonts w:hint="eastAsia"/>
          <w:b/>
          <w:bCs/>
          <w:lang w:val="en-US" w:eastAsia="zh-CN"/>
        </w:rPr>
        <w:t>5.1.10  建议</w:t>
      </w:r>
    </w:p>
    <w:p>
      <w:pPr>
        <w:bidi w:val="0"/>
        <w:rPr>
          <w:rFonts w:hint="eastAsia"/>
          <w:lang w:val="en-US" w:eastAsia="zh-CN"/>
        </w:rPr>
      </w:pPr>
      <w:r>
        <w:rPr>
          <w:rFonts w:hint="eastAsia"/>
          <w:lang w:val="en-US" w:eastAsia="zh-CN"/>
        </w:rPr>
        <w:t>（1）垃圾收集后进行分选，可大大减少垃圾中可回收的废品量，同时也可以减少垃圾渗滤液中重金属等有毒有害物质浓度。</w:t>
      </w:r>
    </w:p>
    <w:p>
      <w:pPr>
        <w:bidi w:val="0"/>
        <w:rPr>
          <w:rFonts w:hint="eastAsia"/>
          <w:lang w:val="en-US" w:eastAsia="zh-CN"/>
        </w:rPr>
      </w:pPr>
      <w:r>
        <w:rPr>
          <w:rFonts w:hint="eastAsia"/>
          <w:lang w:val="en-US" w:eastAsia="zh-CN"/>
        </w:rPr>
        <w:t>（2）为定期检测防渗衬层的完整性，以在防渗衬层发生渗漏时能及时发现并采取必要的污染控制措施，本工程在今后有条件时设置一套防渗衬层渗漏检测系统，检测技术可以采用目前应用较多、操作易掌握、费用低和不会带来二次污染的高压直流电法。</w:t>
      </w:r>
    </w:p>
    <w:p>
      <w:pPr>
        <w:bidi w:val="0"/>
        <w:rPr>
          <w:rFonts w:hint="eastAsia"/>
          <w:lang w:val="en-US" w:eastAsia="zh-CN"/>
        </w:rPr>
      </w:pPr>
      <w:r>
        <w:rPr>
          <w:rFonts w:hint="eastAsia"/>
          <w:lang w:val="en-US" w:eastAsia="zh-CN"/>
        </w:rPr>
        <w:t>（3）加强技术培训，提高职工安全意识。</w:t>
      </w:r>
    </w:p>
    <w:p>
      <w:pPr>
        <w:bidi w:val="0"/>
        <w:rPr>
          <w:rFonts w:hint="eastAsia"/>
          <w:lang w:val="en-US" w:eastAsia="zh-CN"/>
        </w:rPr>
      </w:pPr>
      <w:r>
        <w:rPr>
          <w:rFonts w:hint="eastAsia"/>
          <w:lang w:val="en-US" w:eastAsia="zh-CN"/>
        </w:rPr>
        <w:t>（4）乡村增加配套环卫设施，如公共厕所。应加强日常管理和保洁工作,垃圾和粪便及时进行消运，由于月前还不具备建设水冲式公厕的条件，为避免臭气影响，旱厕应定期覆土清理，粪便一般都作为农肥施与农田。</w:t>
      </w: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p>
    <w:p>
      <w:pPr>
        <w:spacing w:line="220" w:lineRule="auto"/>
        <w:rPr>
          <w:rFonts w:ascii="宋体" w:hAnsi="宋体" w:eastAsia="宋体" w:cs="宋体"/>
          <w:sz w:val="24"/>
          <w:szCs w:val="24"/>
        </w:rPr>
        <w:sectPr>
          <w:footerReference r:id="rId10"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2"/>
        <w:bidi w:val="0"/>
      </w:pPr>
      <w:bookmarkStart w:id="36" w:name="_Toc15"/>
      <w:r>
        <w:t>5.2.审批部门审批决定</w:t>
      </w:r>
      <w:bookmarkEnd w:id="36"/>
    </w:p>
    <w:p>
      <w:pPr>
        <w:bidi w:val="0"/>
        <w:ind w:left="0" w:leftChars="0" w:firstLine="0" w:firstLineChars="0"/>
        <w:jc w:val="center"/>
        <w:rPr>
          <w:rFonts w:hint="default"/>
          <w:b/>
          <w:bCs/>
          <w:sz w:val="28"/>
          <w:szCs w:val="22"/>
        </w:rPr>
      </w:pPr>
      <w:r>
        <w:rPr>
          <w:rFonts w:hint="default"/>
          <w:b/>
          <w:bCs/>
          <w:sz w:val="28"/>
          <w:szCs w:val="22"/>
        </w:rPr>
        <w:t>海南藏族自治州环境保护和林业局文件</w:t>
      </w:r>
    </w:p>
    <w:p>
      <w:pPr>
        <w:bidi w:val="0"/>
        <w:ind w:left="0" w:leftChars="0" w:firstLine="0" w:firstLineChars="0"/>
        <w:jc w:val="center"/>
        <w:rPr>
          <w:rFonts w:hint="default"/>
          <w:b/>
          <w:bCs/>
        </w:rPr>
      </w:pPr>
      <w:r>
        <w:rPr>
          <w:rFonts w:hint="default"/>
          <w:b/>
          <w:bCs/>
        </w:rPr>
        <w:t>南环林[2010]46号</w:t>
      </w:r>
    </w:p>
    <w:p>
      <w:pPr>
        <w:bidi w:val="0"/>
        <w:rPr>
          <w:rFonts w:hint="default"/>
        </w:rPr>
      </w:pPr>
      <w:r>
        <w:rPr>
          <w:rFonts w:hint="default"/>
        </w:rPr>
        <w:t>关于同德县河北乡生活垃圾处理场建设项目环境影响报告书的批复</w:t>
      </w:r>
    </w:p>
    <w:p>
      <w:pPr>
        <w:bidi w:val="0"/>
        <w:rPr>
          <w:rFonts w:hint="eastAsia" w:eastAsia="宋体"/>
          <w:lang w:eastAsia="zh-CN"/>
        </w:rPr>
      </w:pPr>
      <w:r>
        <w:rPr>
          <w:rFonts w:hint="default"/>
        </w:rPr>
        <w:t>同德县交通与建设局</w:t>
      </w:r>
      <w:r>
        <w:rPr>
          <w:rFonts w:hint="eastAsia"/>
          <w:lang w:eastAsia="zh-CN"/>
        </w:rPr>
        <w:t>：</w:t>
      </w:r>
    </w:p>
    <w:p>
      <w:pPr>
        <w:bidi w:val="0"/>
        <w:rPr>
          <w:rFonts w:hint="eastAsia"/>
          <w:lang w:eastAsia="zh-CN"/>
        </w:rPr>
      </w:pPr>
      <w:r>
        <w:rPr>
          <w:rFonts w:hint="default"/>
        </w:rPr>
        <w:t>你局《关于申请审批同德县河北乡生活垃圾处理场建设项目环境影响评价报告书的请示》</w:t>
      </w:r>
      <w:r>
        <w:rPr>
          <w:rFonts w:hint="eastAsia"/>
          <w:lang w:eastAsia="zh-CN"/>
        </w:rPr>
        <w:t>（</w:t>
      </w:r>
      <w:r>
        <w:rPr>
          <w:rFonts w:hint="default"/>
        </w:rPr>
        <w:t>同交建[2010]25号</w:t>
      </w:r>
      <w:r>
        <w:rPr>
          <w:rFonts w:hint="eastAsia"/>
          <w:lang w:eastAsia="zh-CN"/>
        </w:rPr>
        <w:t>）</w:t>
      </w:r>
      <w:r>
        <w:rPr>
          <w:rFonts w:hint="default"/>
        </w:rPr>
        <w:t>收悉。经研究，现批复如下</w:t>
      </w:r>
      <w:r>
        <w:rPr>
          <w:rFonts w:hint="eastAsia"/>
          <w:lang w:eastAsia="zh-CN"/>
        </w:rPr>
        <w:t>：</w:t>
      </w:r>
    </w:p>
    <w:p>
      <w:pPr>
        <w:bidi w:val="0"/>
        <w:rPr>
          <w:rFonts w:hint="default"/>
        </w:rPr>
      </w:pPr>
      <w:r>
        <w:rPr>
          <w:rFonts w:hint="default"/>
        </w:rPr>
        <w:t>一、拟建同德县河北乡生活垃圾处理场位于河北乡东北部山区地带，距镇区约2.7km，填埋场占地面积为32亩，属IV类IV级垃圾填埋场,建设规模日处理生活垃圾8.51吨</w:t>
      </w:r>
      <w:r>
        <w:rPr>
          <w:rFonts w:hint="eastAsia"/>
          <w:lang w:eastAsia="zh-CN"/>
        </w:rPr>
        <w:t>，</w:t>
      </w:r>
      <w:r>
        <w:rPr>
          <w:rFonts w:hint="default"/>
        </w:rPr>
        <w:t>总库容10.48万立方米，设计服务年限20年。主要建设内容</w:t>
      </w:r>
      <w:r>
        <w:rPr>
          <w:rFonts w:hint="eastAsia"/>
          <w:lang w:eastAsia="zh-CN"/>
        </w:rPr>
        <w:t>：</w:t>
      </w:r>
      <w:r>
        <w:rPr>
          <w:rFonts w:hint="default"/>
        </w:rPr>
        <w:t>垃圾坝、防洪及排水、防渗及渗滤液收集处理，气体导排系统等工程，并配套建设进场道路、供电、管理用房及设备购置。项目建设符合国家产业政策。在全面落实报告书提出的各项环境保护措施的基础上，我局同意按照报告书中所列建设项目的地点、性质、规模、环境保护措施进行建设。</w:t>
      </w:r>
    </w:p>
    <w:p>
      <w:pPr>
        <w:bidi w:val="0"/>
        <w:rPr>
          <w:rFonts w:hint="default"/>
        </w:rPr>
      </w:pPr>
      <w:r>
        <w:rPr>
          <w:rFonts w:hint="default"/>
        </w:rPr>
        <w:t>二、项目在建设和运营中应做好以下工作</w:t>
      </w:r>
    </w:p>
    <w:p>
      <w:pPr>
        <w:bidi w:val="0"/>
        <w:rPr>
          <w:rFonts w:hint="default"/>
        </w:rPr>
      </w:pPr>
      <w:r>
        <w:rPr>
          <w:rFonts w:hint="eastAsia"/>
          <w:lang w:eastAsia="zh-CN"/>
        </w:rPr>
        <w:t>（</w:t>
      </w:r>
      <w:r>
        <w:rPr>
          <w:rFonts w:hint="eastAsia"/>
          <w:lang w:val="en-US" w:eastAsia="zh-CN"/>
        </w:rPr>
        <w:t>一</w:t>
      </w:r>
      <w:r>
        <w:rPr>
          <w:rFonts w:hint="eastAsia"/>
          <w:lang w:eastAsia="zh-CN"/>
        </w:rPr>
        <w:t>）</w:t>
      </w:r>
      <w:r>
        <w:rPr>
          <w:rFonts w:hint="default"/>
        </w:rPr>
        <w:t>根据项目区域环境特征和工程特点，优化垃圾场渗液的疏导，收集并按生活垃圾填埋场污染控制的程序，优化垃圾填埋场的防渗措施，确保垃圾场安全、稳定运行。</w:t>
      </w:r>
    </w:p>
    <w:p>
      <w:pPr>
        <w:bidi w:val="0"/>
        <w:rPr>
          <w:rFonts w:hint="default"/>
        </w:rPr>
      </w:pPr>
      <w:r>
        <w:rPr>
          <w:rFonts w:hint="eastAsia"/>
          <w:lang w:eastAsia="zh-CN"/>
        </w:rPr>
        <w:t>（</w:t>
      </w:r>
      <w:r>
        <w:rPr>
          <w:rFonts w:hint="default"/>
        </w:rPr>
        <w:t>二</w:t>
      </w:r>
      <w:r>
        <w:rPr>
          <w:rFonts w:hint="eastAsia"/>
          <w:lang w:eastAsia="zh-CN"/>
        </w:rPr>
        <w:t>）</w:t>
      </w:r>
      <w:r>
        <w:rPr>
          <w:rFonts w:hint="default"/>
        </w:rPr>
        <w:t>按城镇规划和区域环境功能，合理布设垃圾收集点和转运站与周围景观相协调，落实各站</w:t>
      </w:r>
      <w:r>
        <w:rPr>
          <w:rFonts w:hint="eastAsia"/>
          <w:lang w:eastAsia="zh-CN"/>
        </w:rPr>
        <w:t>（</w:t>
      </w:r>
      <w:r>
        <w:rPr>
          <w:rFonts w:hint="default"/>
        </w:rPr>
        <w:t>点</w:t>
      </w:r>
      <w:r>
        <w:rPr>
          <w:rFonts w:hint="eastAsia"/>
          <w:lang w:eastAsia="zh-CN"/>
        </w:rPr>
        <w:t>）</w:t>
      </w:r>
      <w:r>
        <w:rPr>
          <w:rFonts w:hint="default"/>
        </w:rPr>
        <w:t>恶臭、二次扬尘的防治措施，减少对周围环境的影响。</w:t>
      </w:r>
    </w:p>
    <w:p>
      <w:pPr>
        <w:bidi w:val="0"/>
        <w:rPr>
          <w:rFonts w:hint="default"/>
        </w:rPr>
      </w:pPr>
      <w:r>
        <w:rPr>
          <w:rFonts w:hint="eastAsia"/>
          <w:lang w:eastAsia="zh-CN"/>
        </w:rPr>
        <w:t>（</w:t>
      </w:r>
      <w:r>
        <w:rPr>
          <w:rFonts w:hint="eastAsia"/>
          <w:lang w:val="en-US" w:eastAsia="zh-CN"/>
        </w:rPr>
        <w:t>三</w:t>
      </w:r>
      <w:r>
        <w:rPr>
          <w:rFonts w:hint="eastAsia"/>
          <w:lang w:eastAsia="zh-CN"/>
        </w:rPr>
        <w:t>）</w:t>
      </w:r>
      <w:r>
        <w:rPr>
          <w:rFonts w:hint="default"/>
        </w:rPr>
        <w:t>垃圾填埋场按规范进行日常填埋作业，实行垃圾单元填埋，当日覆盖，垃圾场封场时，必须按《生活垃圾填埋污染控制标准》技术规范做好封场后的地面清理和植被恢复工作。</w:t>
      </w:r>
    </w:p>
    <w:p>
      <w:pPr>
        <w:bidi w:val="0"/>
        <w:rPr>
          <w:rFonts w:hint="default"/>
        </w:rPr>
      </w:pPr>
      <w:r>
        <w:rPr>
          <w:rFonts w:hint="eastAsia"/>
          <w:lang w:eastAsia="zh-CN"/>
        </w:rPr>
        <w:t>（</w:t>
      </w:r>
      <w:r>
        <w:rPr>
          <w:rFonts w:hint="eastAsia"/>
          <w:lang w:val="en-US" w:eastAsia="zh-CN"/>
        </w:rPr>
        <w:t>四</w:t>
      </w:r>
      <w:r>
        <w:rPr>
          <w:rFonts w:hint="eastAsia"/>
          <w:lang w:eastAsia="zh-CN"/>
        </w:rPr>
        <w:t>）</w:t>
      </w:r>
      <w:r>
        <w:rPr>
          <w:rFonts w:hint="default"/>
        </w:rPr>
        <w:t>加强施工期的环境管理工作，采取有措施，减轻施工噪音和二次扬尘对周围环境的影响。</w:t>
      </w:r>
    </w:p>
    <w:p>
      <w:pPr>
        <w:bidi w:val="0"/>
        <w:rPr>
          <w:rFonts w:hint="default"/>
        </w:rPr>
      </w:pPr>
      <w:r>
        <w:rPr>
          <w:rFonts w:hint="default"/>
        </w:rPr>
        <w:t>三、项目建设必须严格执行环保设施与主体工程同时设计、同时施工、同时投入运行的</w:t>
      </w:r>
      <w:r>
        <w:rPr>
          <w:rFonts w:hint="eastAsia"/>
          <w:lang w:eastAsia="zh-CN"/>
        </w:rPr>
        <w:t>“</w:t>
      </w:r>
      <w:r>
        <w:rPr>
          <w:rFonts w:hint="default"/>
        </w:rPr>
        <w:t>三同时</w:t>
      </w:r>
      <w:r>
        <w:rPr>
          <w:rFonts w:hint="eastAsia"/>
          <w:lang w:eastAsia="zh-CN"/>
        </w:rPr>
        <w:t>”</w:t>
      </w:r>
      <w:r>
        <w:rPr>
          <w:rFonts w:hint="default"/>
        </w:rPr>
        <w:t>制度。工程建成后，必须按《建设项目竣工环境保护验收管理办法》的规定，办理项目竣工验收事宜，验收合格后方可正式投入生产。</w:t>
      </w:r>
    </w:p>
    <w:p>
      <w:pPr>
        <w:bidi w:val="0"/>
        <w:rPr>
          <w:rFonts w:hint="default"/>
        </w:rPr>
      </w:pPr>
      <w:r>
        <w:rPr>
          <w:rFonts w:hint="default"/>
        </w:rPr>
        <w:t>四、我局委托同德县林业环保局负责该项目建设期的环境保护监督管理工作。</w:t>
      </w:r>
    </w:p>
    <w:p>
      <w:pPr>
        <w:bidi w:val="0"/>
        <w:ind w:left="0" w:leftChars="0" w:firstLine="4560" w:firstLineChars="1900"/>
        <w:rPr>
          <w:rFonts w:hint="default"/>
        </w:rPr>
      </w:pPr>
      <w:r>
        <w:rPr>
          <w:rFonts w:hint="default"/>
        </w:rPr>
        <w:t>二0一0年四月五日</w:t>
      </w:r>
    </w:p>
    <w:p>
      <w:pPr>
        <w:spacing w:line="220" w:lineRule="auto"/>
        <w:rPr>
          <w:rFonts w:ascii="宋体" w:hAnsi="宋体" w:eastAsia="宋体" w:cs="宋体"/>
          <w:sz w:val="24"/>
          <w:szCs w:val="24"/>
        </w:rPr>
        <w:sectPr>
          <w:footerReference r:id="rId11"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3"/>
        <w:bidi w:val="0"/>
        <w:rPr>
          <w:b/>
          <w:bCs/>
          <w:sz w:val="32"/>
          <w:szCs w:val="32"/>
        </w:rPr>
      </w:pPr>
      <w:bookmarkStart w:id="37" w:name="bookmark6"/>
      <w:bookmarkEnd w:id="37"/>
      <w:bookmarkStart w:id="38" w:name="_Toc26285"/>
      <w:r>
        <w:rPr>
          <w:rFonts w:hint="eastAsia"/>
          <w:b/>
          <w:bCs/>
          <w:sz w:val="32"/>
          <w:szCs w:val="32"/>
          <w:lang w:val="en-US" w:eastAsia="zh-CN"/>
        </w:rPr>
        <w:t xml:space="preserve">第六章   </w:t>
      </w:r>
      <w:r>
        <w:rPr>
          <w:b/>
          <w:bCs/>
          <w:sz w:val="32"/>
          <w:szCs w:val="32"/>
        </w:rPr>
        <w:t>验收</w:t>
      </w:r>
      <w:r>
        <w:rPr>
          <w:rFonts w:hint="eastAsia"/>
          <w:b/>
          <w:bCs/>
          <w:sz w:val="32"/>
          <w:szCs w:val="32"/>
          <w:lang w:val="en-US" w:eastAsia="zh-CN"/>
        </w:rPr>
        <w:t>执行</w:t>
      </w:r>
      <w:r>
        <w:rPr>
          <w:b/>
          <w:bCs/>
          <w:sz w:val="32"/>
          <w:szCs w:val="32"/>
        </w:rPr>
        <w:t>标准</w:t>
      </w:r>
      <w:bookmarkEnd w:id="38"/>
    </w:p>
    <w:p>
      <w:pPr>
        <w:bidi w:val="0"/>
      </w:pPr>
      <w:r>
        <w:t>建设项目竣工环境保护验收污染物排放标准原则上执行环境影响报告书及其审批部门审批决定所规定的标准。在环境影响报告书审批之后发布或修订的标准对建设项目执行该标准有明确时限要求的，按新发布或修订的标准执行。特别排放限值的实施地域范围、时间，按国务院生态环境主管部门或省级人民政府规定执行。</w:t>
      </w:r>
    </w:p>
    <w:p>
      <w:pPr>
        <w:pStyle w:val="2"/>
        <w:bidi w:val="0"/>
      </w:pPr>
      <w:bookmarkStart w:id="39" w:name="_Toc19047"/>
      <w:r>
        <w:t>6.1.环境质量标准</w:t>
      </w:r>
      <w:bookmarkEnd w:id="39"/>
    </w:p>
    <w:p>
      <w:pPr>
        <w:bidi w:val="0"/>
        <w:rPr>
          <w:rFonts w:hint="default"/>
          <w:b/>
          <w:bCs/>
          <w:lang w:val="en-US" w:eastAsia="zh-CN"/>
        </w:rPr>
      </w:pPr>
      <w:r>
        <w:rPr>
          <w:b/>
          <w:bCs/>
        </w:rPr>
        <w:t>6.1.1.</w:t>
      </w:r>
      <w:r>
        <w:rPr>
          <w:rFonts w:hint="eastAsia"/>
          <w:b/>
          <w:bCs/>
          <w:lang w:val="en-US" w:eastAsia="zh-CN"/>
        </w:rPr>
        <w:t>环境空气质量标准</w:t>
      </w:r>
    </w:p>
    <w:p>
      <w:pPr>
        <w:bidi w:val="0"/>
        <w:rPr>
          <w:rFonts w:hint="eastAsia"/>
        </w:rPr>
      </w:pPr>
      <w:r>
        <w:rPr>
          <w:rFonts w:hint="eastAsia"/>
        </w:rPr>
        <w:t>本项目所在区域属《环境空气质量标准》（GB3095-2012）中二类区，适用二级浓度限值。环境空气污染物基本项SO2、NO2、PM10、PM2.5、CO、O3执行《环境空气质量标准》（GB3095-2012）二级浓度限值；硫化氢、氨采用《环境影响评价技术导则-大气环境》（HJ2.2-2018）中附录D.1其他污染物空气质量浓度参考限值。标准值</w:t>
      </w:r>
      <w:r>
        <w:rPr>
          <w:rFonts w:hint="eastAsia"/>
          <w:lang w:val="en-US" w:eastAsia="zh-CN"/>
        </w:rPr>
        <w:t>详见下表</w:t>
      </w:r>
      <w:r>
        <w:rPr>
          <w:rFonts w:hint="eastAsia"/>
        </w:rPr>
        <w:t>。</w:t>
      </w:r>
    </w:p>
    <w:p>
      <w:pPr>
        <w:bidi w:val="0"/>
        <w:ind w:left="0" w:leftChars="0" w:firstLine="0" w:firstLineChars="0"/>
        <w:jc w:val="center"/>
        <w:rPr>
          <w:rFonts w:hint="eastAsia"/>
          <w:b/>
          <w:bCs/>
          <w:lang w:val="en-US" w:eastAsia="zh-CN"/>
        </w:rPr>
      </w:pPr>
      <w:r>
        <w:rPr>
          <w:rFonts w:hint="eastAsia"/>
          <w:b/>
          <w:bCs/>
          <w:lang w:val="en-US" w:eastAsia="zh-CN"/>
        </w:rPr>
        <w:t>表6-1   环境空气质量浓度限值</w:t>
      </w:r>
    </w:p>
    <w:tbl>
      <w:tblPr>
        <w:tblStyle w:val="11"/>
        <w:tblW w:w="8198" w:type="dxa"/>
        <w:tblInd w:w="157"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580"/>
        <w:gridCol w:w="1265"/>
        <w:gridCol w:w="2310"/>
        <w:gridCol w:w="24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sz w:val="21"/>
                <w:szCs w:val="21"/>
                <w:vertAlign w:val="baseline"/>
                <w:lang w:val="en-US" w:eastAsia="zh-CN"/>
              </w:rPr>
            </w:pPr>
            <w:r>
              <w:rPr>
                <w:rFonts w:hint="eastAsia"/>
                <w:color w:val="000000"/>
                <w:sz w:val="21"/>
                <w:szCs w:val="21"/>
                <w:vertAlign w:val="baseline"/>
                <w:lang w:val="en-US" w:eastAsia="zh-CN"/>
              </w:rPr>
              <w:t>序号</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vertAlign w:val="baseline"/>
                <w:lang w:val="en-US" w:eastAsia="zh-CN" w:bidi="ar-SA"/>
              </w:rPr>
            </w:pPr>
            <w:r>
              <w:rPr>
                <w:rFonts w:hint="eastAsia"/>
                <w:color w:val="000000"/>
                <w:sz w:val="21"/>
                <w:szCs w:val="21"/>
                <w:vertAlign w:val="baseline"/>
                <w:lang w:eastAsia="zh-CN"/>
              </w:rPr>
              <w:t>监测项目</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vertAlign w:val="baseline"/>
                <w:lang w:eastAsia="zh-CN"/>
              </w:rPr>
            </w:pPr>
            <w:r>
              <w:rPr>
                <w:rFonts w:hint="eastAsia"/>
                <w:color w:val="000000"/>
                <w:sz w:val="21"/>
                <w:szCs w:val="21"/>
                <w:vertAlign w:val="baseline"/>
                <w:lang w:eastAsia="zh-CN"/>
              </w:rPr>
              <w:t>执行标准浓度值</w:t>
            </w:r>
          </w:p>
        </w:tc>
        <w:tc>
          <w:tcPr>
            <w:tcW w:w="23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vertAlign w:val="baseline"/>
                <w:lang w:eastAsia="zh-CN"/>
              </w:rPr>
            </w:pPr>
            <w:r>
              <w:rPr>
                <w:rFonts w:hint="eastAsia"/>
                <w:color w:val="000000"/>
                <w:sz w:val="21"/>
                <w:szCs w:val="21"/>
                <w:vertAlign w:val="baseline"/>
                <w:lang w:eastAsia="zh-CN"/>
              </w:rPr>
              <w:t>平均时间</w:t>
            </w:r>
          </w:p>
        </w:tc>
        <w:tc>
          <w:tcPr>
            <w:tcW w:w="241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sz w:val="21"/>
                <w:szCs w:val="21"/>
                <w:vertAlign w:val="baseline"/>
                <w:lang w:val="en-US" w:eastAsia="zh-CN"/>
              </w:rPr>
            </w:pPr>
            <w:r>
              <w:rPr>
                <w:rFonts w:hint="eastAsia"/>
                <w:color w:val="000000"/>
                <w:sz w:val="21"/>
                <w:szCs w:val="21"/>
                <w:vertAlign w:val="baseline"/>
                <w:lang w:val="en-US" w:eastAsia="zh-CN"/>
              </w:rPr>
              <w:t>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lang w:val="en-US" w:eastAsia="zh-CN"/>
              </w:rPr>
            </w:pPr>
            <w:r>
              <w:rPr>
                <w:rFonts w:hint="eastAsia"/>
                <w:color w:val="000000"/>
                <w:sz w:val="21"/>
                <w:szCs w:val="21"/>
                <w:lang w:val="en-US" w:eastAsia="zh-CN"/>
              </w:rPr>
              <w:t>1</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vertAlign w:val="baseline"/>
                <w:lang w:val="en-US" w:eastAsia="en-US" w:bidi="ar-SA"/>
              </w:rPr>
            </w:pPr>
            <w:r>
              <w:rPr>
                <w:rFonts w:hint="eastAsia"/>
                <w:color w:val="000000"/>
                <w:sz w:val="21"/>
                <w:szCs w:val="21"/>
              </w:rPr>
              <w:t>PM</w:t>
            </w:r>
            <w:r>
              <w:rPr>
                <w:rFonts w:hint="eastAsia"/>
                <w:color w:val="000000"/>
                <w:sz w:val="21"/>
                <w:szCs w:val="21"/>
                <w:vertAlign w:val="subscript"/>
              </w:rPr>
              <w:t>10</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000000"/>
                <w:sz w:val="21"/>
                <w:szCs w:val="21"/>
                <w:vertAlign w:val="baseline"/>
                <w:lang w:val="en-US" w:eastAsia="zh-CN"/>
              </w:rPr>
            </w:pPr>
            <w:r>
              <w:rPr>
                <w:rFonts w:hint="eastAsia"/>
                <w:color w:val="000000"/>
                <w:sz w:val="21"/>
                <w:szCs w:val="21"/>
                <w:vertAlign w:val="baseline"/>
                <w:lang w:val="en-US" w:eastAsia="zh-CN"/>
              </w:rPr>
              <w:t>70</w:t>
            </w:r>
          </w:p>
        </w:tc>
        <w:tc>
          <w:tcPr>
            <w:tcW w:w="2310"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vertAlign w:val="baseline"/>
                <w:lang w:eastAsia="zh-CN"/>
              </w:rPr>
            </w:pPr>
            <w:r>
              <w:rPr>
                <w:rFonts w:hint="eastAsia"/>
                <w:color w:val="000000"/>
                <w:sz w:val="21"/>
                <w:szCs w:val="21"/>
                <w:vertAlign w:val="baseline"/>
                <w:lang w:eastAsia="zh-CN"/>
              </w:rPr>
              <w:t>年平均</w:t>
            </w:r>
          </w:p>
        </w:tc>
        <w:tc>
          <w:tcPr>
            <w:tcW w:w="2411"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000000"/>
                <w:sz w:val="21"/>
                <w:szCs w:val="21"/>
                <w:vertAlign w:val="baseline"/>
                <w:lang w:eastAsia="zh-CN"/>
              </w:rPr>
            </w:pPr>
            <w:r>
              <w:rPr>
                <w:rFonts w:hint="eastAsia"/>
                <w:color w:val="000000"/>
                <w:sz w:val="21"/>
                <w:szCs w:val="21"/>
                <w:vertAlign w:val="baseline"/>
                <w:lang w:eastAsia="zh-CN"/>
              </w:rPr>
              <w:t>环境空气质量标准》（GB3095-2012）二级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lang w:val="en-US" w:eastAsia="zh-CN"/>
              </w:rPr>
            </w:pPr>
            <w:r>
              <w:rPr>
                <w:rFonts w:hint="eastAsia"/>
                <w:color w:val="000000"/>
                <w:sz w:val="21"/>
                <w:szCs w:val="21"/>
                <w:lang w:val="en-US" w:eastAsia="zh-CN"/>
              </w:rPr>
              <w:t>2</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vertAlign w:val="baseline"/>
                <w:lang w:val="en-US" w:eastAsia="en-US" w:bidi="ar-SA"/>
              </w:rPr>
            </w:pPr>
            <w:r>
              <w:rPr>
                <w:rFonts w:hint="eastAsia"/>
                <w:color w:val="000000"/>
                <w:sz w:val="21"/>
                <w:szCs w:val="21"/>
              </w:rPr>
              <w:t>PM</w:t>
            </w:r>
            <w:r>
              <w:rPr>
                <w:rFonts w:hint="eastAsia"/>
                <w:color w:val="000000"/>
                <w:sz w:val="21"/>
                <w:szCs w:val="21"/>
                <w:vertAlign w:val="subscript"/>
              </w:rPr>
              <w:t>2.5</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000000"/>
                <w:sz w:val="21"/>
                <w:szCs w:val="21"/>
                <w:vertAlign w:val="baseline"/>
                <w:lang w:val="en-US" w:eastAsia="zh-CN"/>
              </w:rPr>
            </w:pPr>
            <w:r>
              <w:rPr>
                <w:rFonts w:hint="eastAsia"/>
                <w:color w:val="000000"/>
                <w:sz w:val="21"/>
                <w:szCs w:val="21"/>
                <w:vertAlign w:val="baseline"/>
                <w:lang w:val="en-US" w:eastAsia="zh-CN"/>
              </w:rPr>
              <w:t>35</w:t>
            </w:r>
          </w:p>
        </w:tc>
        <w:tc>
          <w:tcPr>
            <w:tcW w:w="2310"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sz w:val="21"/>
                <w:szCs w:val="21"/>
                <w:vertAlign w:val="baseline"/>
              </w:rPr>
            </w:pPr>
          </w:p>
        </w:tc>
        <w:tc>
          <w:tcPr>
            <w:tcW w:w="2411"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000000"/>
                <w:sz w:val="21"/>
                <w:szCs w:val="21"/>
                <w:vertAlign w:val="baseline"/>
                <w:lang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lang w:val="en-US" w:eastAsia="zh-CN"/>
              </w:rPr>
            </w:pPr>
            <w:r>
              <w:rPr>
                <w:rFonts w:hint="eastAsia"/>
                <w:color w:val="000000"/>
                <w:sz w:val="21"/>
                <w:szCs w:val="21"/>
                <w:lang w:val="en-US" w:eastAsia="zh-CN"/>
              </w:rPr>
              <w:t>3</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vertAlign w:val="baseline"/>
                <w:lang w:val="en-US" w:eastAsia="en-US" w:bidi="ar-SA"/>
              </w:rPr>
            </w:pPr>
            <w:r>
              <w:rPr>
                <w:rFonts w:hint="eastAsia"/>
                <w:color w:val="000000"/>
                <w:sz w:val="21"/>
                <w:szCs w:val="21"/>
              </w:rPr>
              <w:t>SO</w:t>
            </w:r>
            <w:r>
              <w:rPr>
                <w:rFonts w:hint="eastAsia"/>
                <w:color w:val="000000"/>
                <w:sz w:val="21"/>
                <w:szCs w:val="21"/>
                <w:vertAlign w:val="subscript"/>
              </w:rPr>
              <w:t>2</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000000"/>
                <w:sz w:val="21"/>
                <w:szCs w:val="21"/>
                <w:vertAlign w:val="baseline"/>
                <w:lang w:val="en-US" w:eastAsia="zh-CN"/>
              </w:rPr>
            </w:pPr>
            <w:r>
              <w:rPr>
                <w:rFonts w:hint="eastAsia"/>
                <w:color w:val="000000"/>
                <w:sz w:val="21"/>
                <w:szCs w:val="21"/>
                <w:vertAlign w:val="baseline"/>
                <w:lang w:val="en-US" w:eastAsia="zh-CN"/>
              </w:rPr>
              <w:t>60</w:t>
            </w:r>
          </w:p>
        </w:tc>
        <w:tc>
          <w:tcPr>
            <w:tcW w:w="2310"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sz w:val="21"/>
                <w:szCs w:val="21"/>
                <w:vertAlign w:val="baseline"/>
              </w:rPr>
            </w:pPr>
          </w:p>
        </w:tc>
        <w:tc>
          <w:tcPr>
            <w:tcW w:w="2411"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000000"/>
                <w:sz w:val="21"/>
                <w:szCs w:val="21"/>
                <w:vertAlign w:val="baseline"/>
                <w:lang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lang w:val="en-US" w:eastAsia="zh-CN"/>
              </w:rPr>
            </w:pPr>
            <w:r>
              <w:rPr>
                <w:rFonts w:hint="eastAsia"/>
                <w:color w:val="000000"/>
                <w:sz w:val="21"/>
                <w:szCs w:val="21"/>
                <w:lang w:val="en-US" w:eastAsia="zh-CN"/>
              </w:rPr>
              <w:t>4</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vertAlign w:val="baseline"/>
                <w:lang w:val="en-US" w:eastAsia="en-US" w:bidi="ar-SA"/>
              </w:rPr>
            </w:pPr>
            <w:r>
              <w:rPr>
                <w:rFonts w:hint="eastAsia"/>
                <w:color w:val="000000"/>
                <w:sz w:val="21"/>
                <w:szCs w:val="21"/>
              </w:rPr>
              <w:t>NO</w:t>
            </w:r>
            <w:r>
              <w:rPr>
                <w:rFonts w:hint="eastAsia"/>
                <w:color w:val="000000"/>
                <w:sz w:val="21"/>
                <w:szCs w:val="21"/>
                <w:vertAlign w:val="subscript"/>
              </w:rPr>
              <w:t>2</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000000"/>
                <w:sz w:val="21"/>
                <w:szCs w:val="21"/>
                <w:vertAlign w:val="baseline"/>
                <w:lang w:val="en-US" w:eastAsia="zh-CN"/>
              </w:rPr>
            </w:pPr>
            <w:r>
              <w:rPr>
                <w:rFonts w:hint="eastAsia"/>
                <w:color w:val="000000"/>
                <w:sz w:val="21"/>
                <w:szCs w:val="21"/>
                <w:vertAlign w:val="baseline"/>
                <w:lang w:val="en-US" w:eastAsia="zh-CN"/>
              </w:rPr>
              <w:t>40</w:t>
            </w:r>
          </w:p>
        </w:tc>
        <w:tc>
          <w:tcPr>
            <w:tcW w:w="2310"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000000"/>
                <w:sz w:val="21"/>
                <w:szCs w:val="21"/>
                <w:vertAlign w:val="baseline"/>
              </w:rPr>
            </w:pPr>
          </w:p>
        </w:tc>
        <w:tc>
          <w:tcPr>
            <w:tcW w:w="2411"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000000"/>
                <w:sz w:val="21"/>
                <w:szCs w:val="21"/>
                <w:vertAlign w:val="baseline"/>
                <w:lang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lang w:val="en-US" w:eastAsia="zh-CN"/>
              </w:rPr>
            </w:pPr>
            <w:r>
              <w:rPr>
                <w:rFonts w:hint="eastAsia"/>
                <w:color w:val="000000"/>
                <w:sz w:val="21"/>
                <w:szCs w:val="21"/>
                <w:lang w:val="en-US" w:eastAsia="zh-CN"/>
              </w:rPr>
              <w:t>5</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vertAlign w:val="baseline"/>
                <w:lang w:val="en-US" w:eastAsia="zh-CN" w:bidi="ar-SA"/>
              </w:rPr>
            </w:pPr>
            <w:r>
              <w:rPr>
                <w:rFonts w:hint="eastAsia"/>
                <w:color w:val="000000"/>
                <w:sz w:val="21"/>
                <w:szCs w:val="21"/>
              </w:rPr>
              <w:t>CO</w:t>
            </w:r>
            <w:r>
              <w:rPr>
                <w:rFonts w:hint="eastAsia"/>
                <w:color w:val="000000"/>
                <w:sz w:val="21"/>
                <w:szCs w:val="21"/>
                <w:lang w:eastAsia="zh-CN"/>
              </w:rPr>
              <w:t>（</w:t>
            </w:r>
            <w:r>
              <w:rPr>
                <w:rFonts w:hint="eastAsia"/>
                <w:color w:val="000000"/>
                <w:sz w:val="21"/>
                <w:szCs w:val="21"/>
                <w:lang w:val="en-US" w:eastAsia="zh-CN"/>
              </w:rPr>
              <w:t>mg/m</w:t>
            </w:r>
            <w:r>
              <w:rPr>
                <w:rFonts w:hint="eastAsia"/>
                <w:color w:val="000000"/>
                <w:sz w:val="21"/>
                <w:szCs w:val="21"/>
                <w:vertAlign w:val="superscript"/>
                <w:lang w:val="en-US" w:eastAsia="zh-CN"/>
              </w:rPr>
              <w:t>3</w:t>
            </w:r>
            <w:r>
              <w:rPr>
                <w:rFonts w:hint="eastAsia"/>
                <w:color w:val="000000"/>
                <w:sz w:val="21"/>
                <w:szCs w:val="21"/>
                <w:lang w:eastAsia="zh-CN"/>
              </w:rPr>
              <w:t>）</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000000"/>
                <w:sz w:val="21"/>
                <w:szCs w:val="21"/>
                <w:vertAlign w:val="baseline"/>
                <w:lang w:val="en-US" w:eastAsia="zh-CN"/>
              </w:rPr>
            </w:pPr>
            <w:r>
              <w:rPr>
                <w:rFonts w:hint="eastAsia"/>
                <w:color w:val="000000"/>
                <w:sz w:val="21"/>
                <w:szCs w:val="21"/>
                <w:vertAlign w:val="baseline"/>
                <w:lang w:val="en-US" w:eastAsia="zh-CN"/>
              </w:rPr>
              <w:t>4.00</w:t>
            </w:r>
          </w:p>
        </w:tc>
        <w:tc>
          <w:tcPr>
            <w:tcW w:w="23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000000"/>
                <w:sz w:val="21"/>
                <w:szCs w:val="21"/>
                <w:vertAlign w:val="baseline"/>
                <w:lang w:val="en-US" w:eastAsia="zh-CN"/>
              </w:rPr>
            </w:pPr>
            <w:r>
              <w:rPr>
                <w:rFonts w:hint="eastAsia"/>
                <w:color w:val="000000"/>
                <w:sz w:val="21"/>
                <w:szCs w:val="21"/>
                <w:vertAlign w:val="baseline"/>
                <w:lang w:val="en-US" w:eastAsia="zh-CN"/>
              </w:rPr>
              <w:t>24小时平均</w:t>
            </w:r>
          </w:p>
        </w:tc>
        <w:tc>
          <w:tcPr>
            <w:tcW w:w="2411"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000000"/>
                <w:sz w:val="21"/>
                <w:szCs w:val="21"/>
                <w:vertAlign w:val="baseline"/>
                <w:lang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lang w:val="en-US" w:eastAsia="zh-CN"/>
              </w:rPr>
            </w:pPr>
            <w:r>
              <w:rPr>
                <w:rFonts w:hint="eastAsia"/>
                <w:color w:val="000000"/>
                <w:sz w:val="21"/>
                <w:szCs w:val="21"/>
                <w:lang w:val="en-US" w:eastAsia="zh-CN"/>
              </w:rPr>
              <w:t>6</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vertAlign w:val="baseline"/>
                <w:lang w:val="en-US" w:eastAsia="en-US" w:bidi="ar-SA"/>
              </w:rPr>
            </w:pPr>
            <w:r>
              <w:rPr>
                <w:rFonts w:hint="eastAsia"/>
                <w:color w:val="000000"/>
                <w:sz w:val="21"/>
                <w:szCs w:val="21"/>
              </w:rPr>
              <w:t>O</w:t>
            </w:r>
            <w:r>
              <w:rPr>
                <w:rFonts w:hint="eastAsia"/>
                <w:color w:val="000000"/>
                <w:sz w:val="21"/>
                <w:szCs w:val="21"/>
                <w:vertAlign w:val="subscript"/>
              </w:rPr>
              <w:t>3</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000000"/>
                <w:sz w:val="21"/>
                <w:szCs w:val="21"/>
                <w:vertAlign w:val="baseline"/>
                <w:lang w:val="en-US" w:eastAsia="zh-CN"/>
              </w:rPr>
            </w:pPr>
            <w:r>
              <w:rPr>
                <w:rFonts w:hint="eastAsia"/>
                <w:color w:val="000000"/>
                <w:sz w:val="21"/>
                <w:szCs w:val="21"/>
                <w:vertAlign w:val="baseline"/>
                <w:lang w:val="en-US" w:eastAsia="zh-CN"/>
              </w:rPr>
              <w:t>160</w:t>
            </w:r>
          </w:p>
        </w:tc>
        <w:tc>
          <w:tcPr>
            <w:tcW w:w="23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000000"/>
                <w:sz w:val="21"/>
                <w:szCs w:val="21"/>
                <w:vertAlign w:val="baseline"/>
                <w:lang w:val="en-US" w:eastAsia="zh-CN"/>
              </w:rPr>
            </w:pPr>
            <w:r>
              <w:rPr>
                <w:rFonts w:hint="eastAsia"/>
                <w:color w:val="000000"/>
                <w:sz w:val="21"/>
                <w:szCs w:val="21"/>
                <w:vertAlign w:val="baseline"/>
                <w:lang w:eastAsia="zh-CN"/>
              </w:rPr>
              <w:t>日最大</w:t>
            </w:r>
            <w:r>
              <w:rPr>
                <w:rFonts w:hint="eastAsia"/>
                <w:color w:val="000000"/>
                <w:sz w:val="21"/>
                <w:szCs w:val="21"/>
                <w:vertAlign w:val="baseline"/>
                <w:lang w:val="en-US" w:eastAsia="zh-CN"/>
              </w:rPr>
              <w:t>8小时滑动平均</w:t>
            </w:r>
          </w:p>
        </w:tc>
        <w:tc>
          <w:tcPr>
            <w:tcW w:w="2411"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000000"/>
                <w:sz w:val="21"/>
                <w:szCs w:val="21"/>
                <w:vertAlign w:val="baseline"/>
                <w:lang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lang w:val="en-US" w:eastAsia="zh-CN"/>
              </w:rPr>
            </w:pPr>
            <w:r>
              <w:rPr>
                <w:rFonts w:hint="eastAsia"/>
                <w:color w:val="000000"/>
                <w:sz w:val="21"/>
                <w:szCs w:val="21"/>
                <w:lang w:val="en-US" w:eastAsia="zh-CN"/>
              </w:rPr>
              <w:t>7</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lang w:val="en-US" w:eastAsia="en-US" w:bidi="ar-SA"/>
              </w:rPr>
            </w:pPr>
            <w:r>
              <w:rPr>
                <w:rFonts w:hint="eastAsia"/>
                <w:color w:val="000000"/>
                <w:sz w:val="21"/>
                <w:szCs w:val="21"/>
              </w:rPr>
              <w:t>硫化氢</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sz w:val="21"/>
                <w:szCs w:val="21"/>
                <w:vertAlign w:val="baseline"/>
                <w:lang w:val="en-US" w:eastAsia="zh-CN"/>
              </w:rPr>
            </w:pPr>
            <w:r>
              <w:rPr>
                <w:rFonts w:hint="eastAsia"/>
                <w:color w:val="000000"/>
                <w:sz w:val="21"/>
                <w:szCs w:val="21"/>
                <w:vertAlign w:val="baseline"/>
                <w:lang w:val="en-US" w:eastAsia="zh-CN"/>
              </w:rPr>
              <w:t>10</w:t>
            </w:r>
          </w:p>
        </w:tc>
        <w:tc>
          <w:tcPr>
            <w:tcW w:w="2310"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sz w:val="21"/>
                <w:szCs w:val="21"/>
                <w:vertAlign w:val="baseline"/>
                <w:lang w:val="en-US" w:eastAsia="zh-CN"/>
              </w:rPr>
            </w:pPr>
            <w:r>
              <w:rPr>
                <w:rFonts w:hint="eastAsia"/>
                <w:color w:val="000000"/>
                <w:sz w:val="21"/>
                <w:szCs w:val="21"/>
                <w:vertAlign w:val="baseline"/>
                <w:lang w:val="en-US" w:eastAsia="zh-CN"/>
              </w:rPr>
              <w:t>1小时平均</w:t>
            </w:r>
          </w:p>
        </w:tc>
        <w:tc>
          <w:tcPr>
            <w:tcW w:w="2411"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000000"/>
                <w:sz w:val="21"/>
                <w:szCs w:val="21"/>
                <w:vertAlign w:val="baseline"/>
                <w:lang w:eastAsia="zh-CN"/>
              </w:rPr>
            </w:pPr>
            <w:r>
              <w:rPr>
                <w:rFonts w:hint="eastAsia"/>
                <w:color w:val="000000"/>
                <w:sz w:val="21"/>
                <w:szCs w:val="21"/>
                <w:vertAlign w:val="baseline"/>
                <w:lang w:eastAsia="zh-CN"/>
              </w:rPr>
              <w:t>《环境影响评价技术导则-大气环境》（HJ2.2-2018）中附录D.1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000000"/>
                <w:sz w:val="21"/>
                <w:szCs w:val="21"/>
                <w:lang w:val="en-US" w:eastAsia="zh-CN"/>
              </w:rPr>
            </w:pPr>
            <w:r>
              <w:rPr>
                <w:rFonts w:hint="eastAsia"/>
                <w:color w:val="000000"/>
                <w:sz w:val="21"/>
                <w:szCs w:val="21"/>
                <w:lang w:val="en-US" w:eastAsia="zh-CN"/>
              </w:rPr>
              <w:t>8</w:t>
            </w:r>
          </w:p>
        </w:tc>
        <w:tc>
          <w:tcPr>
            <w:tcW w:w="15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Arial"/>
                <w:snapToGrid w:val="0"/>
                <w:color w:val="000000"/>
                <w:kern w:val="0"/>
                <w:sz w:val="21"/>
                <w:szCs w:val="21"/>
                <w:lang w:val="en-US" w:eastAsia="en-US" w:bidi="ar-SA"/>
              </w:rPr>
            </w:pPr>
            <w:r>
              <w:rPr>
                <w:rFonts w:hint="eastAsia"/>
                <w:color w:val="000000"/>
                <w:sz w:val="21"/>
                <w:szCs w:val="21"/>
              </w:rPr>
              <w:t>氨</w:t>
            </w:r>
          </w:p>
        </w:tc>
        <w:tc>
          <w:tcPr>
            <w:tcW w:w="126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sz w:val="21"/>
                <w:szCs w:val="21"/>
                <w:vertAlign w:val="baseline"/>
                <w:lang w:val="en-US" w:eastAsia="zh-CN"/>
              </w:rPr>
            </w:pPr>
            <w:r>
              <w:rPr>
                <w:rFonts w:hint="eastAsia"/>
                <w:color w:val="000000"/>
                <w:sz w:val="21"/>
                <w:szCs w:val="21"/>
                <w:vertAlign w:val="baseline"/>
                <w:lang w:val="en-US" w:eastAsia="zh-CN"/>
              </w:rPr>
              <w:t>200</w:t>
            </w:r>
          </w:p>
        </w:tc>
        <w:tc>
          <w:tcPr>
            <w:tcW w:w="2310"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000000"/>
                <w:sz w:val="21"/>
                <w:szCs w:val="21"/>
                <w:vertAlign w:val="baseline"/>
                <w:lang w:val="en-US" w:eastAsia="zh-CN"/>
              </w:rPr>
            </w:pPr>
          </w:p>
        </w:tc>
        <w:tc>
          <w:tcPr>
            <w:tcW w:w="2411"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000000"/>
                <w:sz w:val="21"/>
                <w:szCs w:val="21"/>
                <w:vertAlign w:val="baseline"/>
                <w:lang w:eastAsia="zh-CN"/>
              </w:rPr>
            </w:pPr>
          </w:p>
        </w:tc>
      </w:tr>
    </w:tbl>
    <w:p>
      <w:pPr>
        <w:spacing w:before="180" w:line="360" w:lineRule="auto"/>
        <w:ind w:left="130"/>
        <w:outlineLvl w:val="2"/>
        <w:rPr>
          <w:rFonts w:ascii="宋体" w:hAnsi="宋体" w:eastAsia="宋体" w:cs="宋体"/>
          <w:sz w:val="24"/>
          <w:szCs w:val="24"/>
        </w:rPr>
      </w:pPr>
      <w:r>
        <w:rPr>
          <w:rFonts w:ascii="Times New Roman" w:hAnsi="Times New Roman" w:eastAsia="Times New Roman" w:cs="Times New Roman"/>
          <w:b/>
          <w:bCs/>
          <w:spacing w:val="-1"/>
          <w:sz w:val="24"/>
          <w:szCs w:val="24"/>
        </w:rPr>
        <w:t>6.1.2.</w:t>
      </w:r>
      <w:r>
        <w:rPr>
          <w:rFonts w:ascii="宋体" w:hAnsi="宋体" w:eastAsia="宋体" w:cs="宋体"/>
          <w:spacing w:val="-1"/>
          <w:sz w:val="24"/>
          <w:szCs w:val="24"/>
          <w14:textOutline w14:w="4358" w14:cap="sq" w14:cmpd="sng">
            <w14:solidFill>
              <w14:srgbClr w14:val="000000"/>
            </w14:solidFill>
            <w14:prstDash w14:val="solid"/>
            <w14:bevel/>
          </w14:textOutline>
        </w:rPr>
        <w:t>地下水质量标准</w:t>
      </w:r>
    </w:p>
    <w:p>
      <w:pPr>
        <w:bidi w:val="0"/>
        <w:spacing w:line="360" w:lineRule="auto"/>
      </w:pPr>
      <w:r>
        <w:t>本次验收地下水执行标准执行最新的标准《地下水质量标准》</w:t>
      </w:r>
      <w:r>
        <w:rPr>
          <w:rFonts w:hint="eastAsia"/>
          <w:lang w:eastAsia="zh-CN"/>
        </w:rPr>
        <w:t>（</w:t>
      </w:r>
      <w:r>
        <w:t>GB/T 14848-2017</w:t>
      </w:r>
      <w:r>
        <w:rPr>
          <w:rFonts w:hint="eastAsia"/>
          <w:lang w:eastAsia="zh-CN"/>
        </w:rPr>
        <w:t>）</w:t>
      </w:r>
      <w:r>
        <w:t>，其标准值</w:t>
      </w:r>
      <w:r>
        <w:rPr>
          <w:rFonts w:hint="eastAsia"/>
          <w:lang w:val="en-US" w:eastAsia="zh-CN"/>
        </w:rPr>
        <w:t>详见下表</w:t>
      </w:r>
      <w:r>
        <w:t>。</w:t>
      </w:r>
    </w:p>
    <w:p>
      <w:pPr>
        <w:bidi w:val="0"/>
        <w:ind w:left="0" w:leftChars="0" w:firstLine="0" w:firstLineChars="0"/>
        <w:jc w:val="center"/>
        <w:rPr>
          <w:b/>
          <w:bCs/>
        </w:rPr>
      </w:pPr>
      <w:r>
        <w:rPr>
          <w:b/>
          <w:bCs/>
        </w:rPr>
        <w:t xml:space="preserve">表6-2 </w:t>
      </w:r>
      <w:r>
        <w:rPr>
          <w:rFonts w:hint="eastAsia"/>
          <w:b/>
          <w:bCs/>
          <w:lang w:val="en-US" w:eastAsia="zh-CN"/>
        </w:rPr>
        <w:t xml:space="preserve"> </w:t>
      </w:r>
      <w:r>
        <w:rPr>
          <w:b/>
          <w:bCs/>
        </w:rPr>
        <w:t xml:space="preserve"> 地下水质量评价标准</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4"/>
        <w:gridCol w:w="1668"/>
        <w:gridCol w:w="1697"/>
        <w:gridCol w:w="1359"/>
        <w:gridCol w:w="18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序号</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项目</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标准限值</w:t>
            </w:r>
          </w:p>
        </w:tc>
        <w:tc>
          <w:tcPr>
            <w:tcW w:w="1359"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单位</w:t>
            </w:r>
          </w:p>
        </w:tc>
        <w:tc>
          <w:tcPr>
            <w:tcW w:w="185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pH</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6.5-8.5</w:t>
            </w:r>
          </w:p>
        </w:tc>
        <w:tc>
          <w:tcPr>
            <w:tcW w:w="1359"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mg/L</w:t>
            </w:r>
          </w:p>
        </w:tc>
        <w:tc>
          <w:tcPr>
            <w:tcW w:w="1857"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《地下水质量标准》（GB/T14848-2017）中的Ⅲ类标准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总硬度</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450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3</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溶解性固体</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1000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4</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高锰酸盐指数</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3.0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5</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氨氮</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0.5</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6</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硝酸盐氮</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20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7</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r>
              <w:rPr>
                <w:rFonts w:hint="eastAsia" w:ascii="Times New Roman" w:hAnsi="Times New Roman" w:eastAsia="宋体" w:cs="Times New Roman"/>
                <w:sz w:val="21"/>
                <w:szCs w:val="21"/>
                <w:vertAlign w:val="baseline"/>
                <w:lang w:val="en-US" w:eastAsia="zh-CN"/>
              </w:rPr>
              <w:t>亚硝酸盐氮</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1</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8</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硫酸盐</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250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9</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氯化物</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250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10</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挥发酚</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0.002</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11</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氰化物</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0.05</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12</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六价铬</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0.05</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13</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氟化物</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1.0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14</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汞</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0.001</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15</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砷</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0.01</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16</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镉</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0.005</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17</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铅</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0.01</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18</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铁</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0.3</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19</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锰</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0.1</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20</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铜</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1.0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21</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锌</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1.0</w:t>
            </w:r>
          </w:p>
        </w:tc>
        <w:tc>
          <w:tcPr>
            <w:tcW w:w="135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6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22</w:t>
            </w:r>
          </w:p>
        </w:tc>
        <w:tc>
          <w:tcPr>
            <w:tcW w:w="1668"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总大肠菌群</w:t>
            </w:r>
          </w:p>
        </w:tc>
        <w:tc>
          <w:tcPr>
            <w:tcW w:w="169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w:t>
            </w:r>
            <w:r>
              <w:rPr>
                <w:rFonts w:hint="eastAsia" w:ascii="Times New Roman" w:hAnsi="Times New Roman" w:eastAsia="宋体" w:cs="Times New Roman"/>
                <w:sz w:val="21"/>
                <w:szCs w:val="21"/>
                <w:vertAlign w:val="baseline"/>
                <w:lang w:val="en-US" w:eastAsia="zh-CN"/>
              </w:rPr>
              <w:t>3</w:t>
            </w:r>
          </w:p>
        </w:tc>
        <w:tc>
          <w:tcPr>
            <w:tcW w:w="1359"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MPN/100mL</w:t>
            </w:r>
          </w:p>
        </w:tc>
        <w:tc>
          <w:tcPr>
            <w:tcW w:w="1857"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bl>
    <w:p>
      <w:pPr>
        <w:spacing w:line="109" w:lineRule="auto"/>
        <w:rPr>
          <w:rFonts w:ascii="Arial"/>
          <w:sz w:val="2"/>
        </w:rPr>
      </w:pPr>
    </w:p>
    <w:p>
      <w:pPr>
        <w:pStyle w:val="2"/>
        <w:bidi w:val="0"/>
      </w:pPr>
      <w:bookmarkStart w:id="40" w:name="_Toc13036"/>
      <w:r>
        <w:t>6.2.污染物排放标准</w:t>
      </w:r>
      <w:bookmarkEnd w:id="40"/>
    </w:p>
    <w:p>
      <w:pPr>
        <w:bidi w:val="0"/>
        <w:spacing w:line="360" w:lineRule="auto"/>
        <w:rPr>
          <w:b/>
          <w:bCs/>
        </w:rPr>
      </w:pPr>
      <w:r>
        <w:rPr>
          <w:b/>
          <w:bCs/>
        </w:rPr>
        <w:t>6.2.1.废气排放标准</w:t>
      </w:r>
    </w:p>
    <w:p>
      <w:pPr>
        <w:bidi w:val="0"/>
        <w:spacing w:line="360" w:lineRule="auto"/>
      </w:pPr>
      <w:r>
        <w:t>项目运营期废气污染物主要为垃圾转运填埋过程产生的NH</w:t>
      </w:r>
      <w:r>
        <w:rPr>
          <w:rFonts w:hint="eastAsia"/>
          <w:lang w:val="en-US" w:eastAsia="zh-CN"/>
        </w:rPr>
        <w:t>3</w:t>
      </w:r>
      <w:r>
        <w:t>、H</w:t>
      </w:r>
      <w:r>
        <w:rPr>
          <w:rFonts w:hint="eastAsia"/>
          <w:lang w:val="en-US" w:eastAsia="zh-CN"/>
        </w:rPr>
        <w:t>2</w:t>
      </w:r>
      <w:r>
        <w:t>S和颗粒物。颗粒物执行《大气污染物综合排放标准》（GB16297-1996）中表2无组织排放监控浓度限值</w:t>
      </w:r>
      <w:r>
        <w:rPr>
          <w:rFonts w:hint="eastAsia"/>
          <w:lang w:val="en-US" w:eastAsia="zh-CN"/>
        </w:rPr>
        <w:t>二级</w:t>
      </w:r>
      <w:r>
        <w:t>；NH</w:t>
      </w:r>
      <w:r>
        <w:rPr>
          <w:rFonts w:hint="eastAsia"/>
          <w:vertAlign w:val="subscript"/>
          <w:lang w:val="en-US" w:eastAsia="zh-CN"/>
        </w:rPr>
        <w:t>3</w:t>
      </w:r>
      <w:r>
        <w:t>、H</w:t>
      </w:r>
      <w:r>
        <w:rPr>
          <w:rFonts w:hint="eastAsia"/>
          <w:vertAlign w:val="subscript"/>
          <w:lang w:val="en-US" w:eastAsia="zh-CN"/>
        </w:rPr>
        <w:t>2</w:t>
      </w:r>
      <w:r>
        <w:t>S无组织废气执行《恶臭污染物排放标准》（GB14554-93）无组织排放厂界浓度，</w:t>
      </w:r>
      <w:r>
        <w:rPr>
          <w:rFonts w:hint="eastAsia"/>
          <w:lang w:val="en-US" w:eastAsia="zh-CN"/>
        </w:rPr>
        <w:t>具体</w:t>
      </w:r>
      <w:r>
        <w:t>详见</w:t>
      </w:r>
      <w:r>
        <w:rPr>
          <w:rFonts w:hint="eastAsia"/>
          <w:lang w:val="en-US" w:eastAsia="zh-CN"/>
        </w:rPr>
        <w:t>下表</w:t>
      </w:r>
      <w:r>
        <w:t>。</w:t>
      </w:r>
    </w:p>
    <w:p>
      <w:pPr>
        <w:spacing w:before="159" w:line="360" w:lineRule="auto"/>
        <w:ind w:left="0" w:leftChars="0" w:firstLine="0" w:firstLineChars="0"/>
        <w:jc w:val="center"/>
        <w:rPr>
          <w:rFonts w:ascii="Times New Roman" w:hAnsi="Times New Roman" w:eastAsia="Times New Roman" w:cs="Times New Roman"/>
          <w:position w:val="10"/>
          <w:sz w:val="15"/>
          <w:szCs w:val="15"/>
        </w:rPr>
      </w:pPr>
      <w:r>
        <w:rPr>
          <w:rFonts w:ascii="宋体" w:hAnsi="宋体" w:eastAsia="宋体" w:cs="宋体"/>
          <w:position w:val="3"/>
          <w:sz w:val="24"/>
          <w:szCs w:val="24"/>
          <w14:textOutline w14:w="4358" w14:cap="sq" w14:cmpd="sng">
            <w14:solidFill>
              <w14:srgbClr w14:val="000000"/>
            </w14:solidFill>
            <w14:prstDash w14:val="solid"/>
            <w14:bevel/>
          </w14:textOutline>
        </w:rPr>
        <w:t>表</w:t>
      </w:r>
      <w:r>
        <w:rPr>
          <w:rFonts w:ascii="Times New Roman" w:hAnsi="Times New Roman" w:eastAsia="Times New Roman" w:cs="Times New Roman"/>
          <w:b/>
          <w:bCs/>
          <w:position w:val="3"/>
          <w:sz w:val="24"/>
          <w:szCs w:val="24"/>
        </w:rPr>
        <w:t xml:space="preserve">6-3   </w:t>
      </w:r>
      <w:r>
        <w:rPr>
          <w:rFonts w:ascii="宋体" w:hAnsi="宋体" w:eastAsia="宋体" w:cs="宋体"/>
          <w:position w:val="3"/>
          <w:sz w:val="24"/>
          <w:szCs w:val="24"/>
          <w14:textOutline w14:w="4358" w14:cap="sq" w14:cmpd="sng">
            <w14:solidFill>
              <w14:srgbClr w14:val="000000"/>
            </w14:solidFill>
            <w14:prstDash w14:val="solid"/>
            <w14:bevel/>
          </w14:textOutline>
        </w:rPr>
        <w:t>污染物厂界标准值</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1234"/>
        <w:gridCol w:w="1149"/>
        <w:gridCol w:w="1246"/>
        <w:gridCol w:w="388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vertAlign w:val="baseline"/>
                <w:lang w:val="en-US" w:eastAsia="zh-CN"/>
              </w:rPr>
            </w:pPr>
            <w:r>
              <w:rPr>
                <w:rFonts w:hint="default" w:ascii="Times New Roman" w:hAnsi="Times New Roman" w:eastAsia="宋体" w:cs="Times New Roman"/>
                <w:b/>
                <w:bCs/>
                <w:vertAlign w:val="baseline"/>
                <w:lang w:val="en-US" w:eastAsia="zh-CN"/>
              </w:rPr>
              <w:t>序号</w:t>
            </w:r>
          </w:p>
        </w:tc>
        <w:tc>
          <w:tcPr>
            <w:tcW w:w="123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vertAlign w:val="baseline"/>
                <w:lang w:val="en-US" w:eastAsia="zh-CN"/>
              </w:rPr>
            </w:pPr>
            <w:r>
              <w:rPr>
                <w:rFonts w:hint="default" w:ascii="Times New Roman" w:hAnsi="Times New Roman" w:eastAsia="宋体" w:cs="Times New Roman"/>
                <w:b/>
                <w:bCs/>
                <w:vertAlign w:val="baseline"/>
                <w:lang w:val="en-US" w:eastAsia="zh-CN"/>
              </w:rPr>
              <w:t>控制项目</w:t>
            </w:r>
          </w:p>
        </w:tc>
        <w:tc>
          <w:tcPr>
            <w:tcW w:w="1149"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napToGrid w:val="0"/>
                <w:color w:val="000000"/>
                <w:kern w:val="0"/>
                <w:sz w:val="21"/>
                <w:szCs w:val="21"/>
                <w:vertAlign w:val="baseline"/>
                <w:lang w:val="en-US" w:eastAsia="zh-CN" w:bidi="ar-SA"/>
              </w:rPr>
            </w:pPr>
            <w:r>
              <w:rPr>
                <w:rFonts w:hint="default" w:ascii="Times New Roman" w:hAnsi="Times New Roman" w:eastAsia="宋体" w:cs="Times New Roman"/>
                <w:b/>
                <w:bCs/>
                <w:vertAlign w:val="baseline"/>
                <w:lang w:val="en-US" w:eastAsia="zh-CN"/>
              </w:rPr>
              <w:t>单位</w:t>
            </w:r>
          </w:p>
        </w:tc>
        <w:tc>
          <w:tcPr>
            <w:tcW w:w="1246"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napToGrid w:val="0"/>
                <w:color w:val="000000"/>
                <w:kern w:val="0"/>
                <w:sz w:val="21"/>
                <w:szCs w:val="21"/>
                <w:vertAlign w:val="baseline"/>
                <w:lang w:val="en-US" w:eastAsia="zh-CN" w:bidi="ar-SA"/>
              </w:rPr>
            </w:pPr>
            <w:r>
              <w:rPr>
                <w:rFonts w:hint="default" w:ascii="Times New Roman" w:hAnsi="Times New Roman" w:eastAsia="宋体" w:cs="Times New Roman"/>
                <w:b/>
                <w:bCs/>
                <w:vertAlign w:val="baseline"/>
                <w:lang w:val="en-US" w:eastAsia="zh-CN"/>
              </w:rPr>
              <w:t>数值</w:t>
            </w:r>
          </w:p>
        </w:tc>
        <w:tc>
          <w:tcPr>
            <w:tcW w:w="3881"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vertAlign w:val="baseline"/>
                <w:lang w:val="en-US" w:eastAsia="zh-CN"/>
              </w:rPr>
            </w:pPr>
            <w:r>
              <w:rPr>
                <w:rFonts w:hint="default" w:ascii="Times New Roman" w:hAnsi="Times New Roman" w:eastAsia="宋体" w:cs="Times New Roman"/>
                <w:b/>
                <w:bCs/>
                <w:vertAlign w:val="baseline"/>
                <w:lang w:val="en-US" w:eastAsia="zh-CN"/>
              </w:rPr>
              <w:t>采用标准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1</w:t>
            </w:r>
          </w:p>
        </w:tc>
        <w:tc>
          <w:tcPr>
            <w:tcW w:w="123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default" w:ascii="Times New Roman" w:hAnsi="Times New Roman" w:eastAsia="宋体" w:cs="Times New Roman"/>
                <w:vertAlign w:val="baseline"/>
                <w:lang w:val="en-US" w:eastAsia="zh-CN"/>
              </w:rPr>
              <w:t>NH</w:t>
            </w:r>
            <w:r>
              <w:rPr>
                <w:rFonts w:hint="default" w:ascii="Times New Roman" w:hAnsi="Times New Roman" w:eastAsia="宋体" w:cs="Times New Roman"/>
                <w:vertAlign w:val="subscript"/>
                <w:lang w:val="en-US" w:eastAsia="zh-CN"/>
              </w:rPr>
              <w:t>3</w:t>
            </w:r>
          </w:p>
        </w:tc>
        <w:tc>
          <w:tcPr>
            <w:tcW w:w="1149"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mg/m</w:t>
            </w:r>
            <w:r>
              <w:rPr>
                <w:rFonts w:hint="eastAsia" w:ascii="Times New Roman" w:hAnsi="Times New Roman" w:eastAsia="宋体" w:cs="Times New Roman"/>
                <w:vertAlign w:val="superscript"/>
                <w:lang w:val="en-US" w:eastAsia="zh-CN"/>
              </w:rPr>
              <w:t>3</w:t>
            </w:r>
          </w:p>
        </w:tc>
        <w:tc>
          <w:tcPr>
            <w:tcW w:w="1246"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1.5</w:t>
            </w:r>
          </w:p>
        </w:tc>
        <w:tc>
          <w:tcPr>
            <w:tcW w:w="3881"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s="Times New Roman"/>
                <w:vertAlign w:val="baseline"/>
              </w:rPr>
            </w:pPr>
            <w:r>
              <w:rPr>
                <w:rFonts w:hint="default" w:ascii="Times New Roman" w:hAnsi="Times New Roman" w:cs="Times New Roman"/>
                <w:vertAlign w:val="baseline"/>
              </w:rPr>
              <w:t>《恶臭污染物排放标准》（GB14554-93）无组织排放厂界浓度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2</w:t>
            </w:r>
          </w:p>
        </w:tc>
        <w:tc>
          <w:tcPr>
            <w:tcW w:w="123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default" w:ascii="Times New Roman" w:hAnsi="Times New Roman" w:eastAsia="宋体" w:cs="Times New Roman"/>
                <w:vertAlign w:val="baseline"/>
                <w:lang w:val="en-US" w:eastAsia="zh-CN"/>
              </w:rPr>
              <w:t>H</w:t>
            </w:r>
            <w:r>
              <w:rPr>
                <w:rFonts w:hint="default" w:ascii="Times New Roman" w:hAnsi="Times New Roman" w:eastAsia="宋体" w:cs="Times New Roman"/>
                <w:vertAlign w:val="subscript"/>
                <w:lang w:val="en-US" w:eastAsia="zh-CN"/>
              </w:rPr>
              <w:t>2</w:t>
            </w:r>
            <w:r>
              <w:rPr>
                <w:rFonts w:hint="default" w:ascii="Times New Roman" w:hAnsi="Times New Roman" w:eastAsia="宋体" w:cs="Times New Roman"/>
                <w:vertAlign w:val="baseline"/>
                <w:lang w:val="en-US" w:eastAsia="zh-CN"/>
              </w:rPr>
              <w:t>S</w:t>
            </w:r>
          </w:p>
        </w:tc>
        <w:tc>
          <w:tcPr>
            <w:tcW w:w="114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s="Times New Roman"/>
                <w:vertAlign w:val="baseline"/>
              </w:rPr>
            </w:pPr>
          </w:p>
        </w:tc>
        <w:tc>
          <w:tcPr>
            <w:tcW w:w="1246"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0.06</w:t>
            </w:r>
          </w:p>
        </w:tc>
        <w:tc>
          <w:tcPr>
            <w:tcW w:w="3881"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s="Times New Roman"/>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3</w:t>
            </w:r>
          </w:p>
        </w:tc>
        <w:tc>
          <w:tcPr>
            <w:tcW w:w="1234"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default" w:ascii="Times New Roman" w:hAnsi="Times New Roman" w:eastAsia="宋体" w:cs="Times New Roman"/>
                <w:vertAlign w:val="baseline"/>
                <w:lang w:val="en-US" w:eastAsia="zh-CN"/>
              </w:rPr>
              <w:t>颗粒物</w:t>
            </w:r>
          </w:p>
        </w:tc>
        <w:tc>
          <w:tcPr>
            <w:tcW w:w="114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s="Times New Roman"/>
                <w:vertAlign w:val="baseline"/>
              </w:rPr>
            </w:pPr>
          </w:p>
        </w:tc>
        <w:tc>
          <w:tcPr>
            <w:tcW w:w="1246"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1.0</w:t>
            </w:r>
          </w:p>
        </w:tc>
        <w:tc>
          <w:tcPr>
            <w:tcW w:w="3881"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cs="Times New Roman"/>
                <w:vertAlign w:val="baseline"/>
              </w:rPr>
            </w:pPr>
            <w:r>
              <w:rPr>
                <w:rFonts w:hint="default" w:ascii="Times New Roman" w:hAnsi="Times New Roman" w:cs="Times New Roman"/>
                <w:vertAlign w:val="baseline"/>
              </w:rPr>
              <w:t>《大气污染物综合排放标准》（GB16297-1996）中表2无组织排放监控浓度限值</w:t>
            </w:r>
          </w:p>
        </w:tc>
      </w:tr>
    </w:tbl>
    <w:p>
      <w:pPr>
        <w:spacing w:line="109" w:lineRule="auto"/>
        <w:rPr>
          <w:rFonts w:ascii="Arial"/>
          <w:sz w:val="2"/>
        </w:rPr>
      </w:pPr>
    </w:p>
    <w:p>
      <w:pPr>
        <w:bidi w:val="0"/>
        <w:rPr>
          <w:b/>
          <w:bCs/>
        </w:rPr>
      </w:pPr>
      <w:r>
        <w:rPr>
          <w:b/>
          <w:bCs/>
        </w:rPr>
        <w:t>6.2.2.噪声排放标准</w:t>
      </w:r>
    </w:p>
    <w:p>
      <w:pPr>
        <w:bidi w:val="0"/>
      </w:pPr>
      <w:r>
        <w:t>运营期间噪声执行（GB12348-2008）《工业企业厂界环境噪声排放标准》中的2类标准。具体</w:t>
      </w:r>
      <w:r>
        <w:rPr>
          <w:rFonts w:hint="eastAsia"/>
          <w:lang w:val="en-US" w:eastAsia="zh-CN"/>
        </w:rPr>
        <w:t>详见下表</w:t>
      </w:r>
      <w:r>
        <w:t>。</w:t>
      </w:r>
    </w:p>
    <w:p>
      <w:pPr>
        <w:spacing w:before="160" w:line="360" w:lineRule="auto"/>
        <w:ind w:left="1280"/>
        <w:rPr>
          <w:rFonts w:ascii="Times New Roman" w:hAnsi="Times New Roman" w:eastAsia="Times New Roman" w:cs="Times New Roman"/>
          <w:sz w:val="24"/>
          <w:szCs w:val="24"/>
        </w:rPr>
      </w:pPr>
      <w:r>
        <w:rPr>
          <w:rFonts w:ascii="宋体" w:hAnsi="宋体" w:eastAsia="宋体" w:cs="宋体"/>
          <w:sz w:val="24"/>
          <w:szCs w:val="24"/>
          <w14:textOutline w14:w="4358" w14:cap="sq" w14:cmpd="sng">
            <w14:solidFill>
              <w14:srgbClr w14:val="000000"/>
            </w14:solidFill>
            <w14:prstDash w14:val="solid"/>
            <w14:bevel/>
          </w14:textOutline>
        </w:rPr>
        <w:t>表</w:t>
      </w:r>
      <w:r>
        <w:rPr>
          <w:rFonts w:ascii="Times New Roman" w:hAnsi="Times New Roman" w:eastAsia="Times New Roman" w:cs="Times New Roman"/>
          <w:b/>
          <w:bCs/>
          <w:sz w:val="24"/>
          <w:szCs w:val="24"/>
        </w:rPr>
        <w:t xml:space="preserve">6-4   </w:t>
      </w:r>
      <w:r>
        <w:rPr>
          <w:rFonts w:ascii="宋体" w:hAnsi="宋体" w:eastAsia="宋体" w:cs="宋体"/>
          <w:sz w:val="24"/>
          <w:szCs w:val="24"/>
          <w14:textOutline w14:w="4358" w14:cap="sq" w14:cmpd="sng">
            <w14:solidFill>
              <w14:srgbClr w14:val="000000"/>
            </w14:solidFill>
            <w14:prstDash w14:val="solid"/>
            <w14:bevel/>
          </w14:textOutline>
        </w:rPr>
        <w:t>工业企业厂界环境噪声排放限值</w:t>
      </w:r>
      <w:r>
        <w:rPr>
          <w:rFonts w:ascii="宋体" w:hAnsi="宋体" w:eastAsia="宋体" w:cs="宋体"/>
          <w:spacing w:val="21"/>
          <w:sz w:val="24"/>
          <w:szCs w:val="24"/>
        </w:rPr>
        <w:t xml:space="preserve">    </w:t>
      </w:r>
      <w:r>
        <w:rPr>
          <w:rFonts w:ascii="Times New Roman" w:hAnsi="Times New Roman" w:eastAsia="Times New Roman" w:cs="Times New Roman"/>
          <w:b/>
          <w:bCs/>
          <w:sz w:val="24"/>
          <w:szCs w:val="24"/>
        </w:rPr>
        <w:t>(</w:t>
      </w:r>
      <w:r>
        <w:rPr>
          <w:rFonts w:ascii="宋体" w:hAnsi="宋体" w:eastAsia="宋体" w:cs="宋体"/>
          <w:sz w:val="24"/>
          <w:szCs w:val="24"/>
          <w14:textOutline w14:w="4358" w14:cap="sq" w14:cmpd="sng">
            <w14:solidFill>
              <w14:srgbClr w14:val="000000"/>
            </w14:solidFill>
            <w14:prstDash w14:val="solid"/>
            <w14:bevel/>
          </w14:textOutline>
        </w:rPr>
        <w:t>单位</w:t>
      </w:r>
      <w:r>
        <w:rPr>
          <w:rFonts w:ascii="Times New Roman" w:hAnsi="Times New Roman" w:eastAsia="Times New Roman" w:cs="Times New Roman"/>
          <w:b/>
          <w:bCs/>
          <w:sz w:val="24"/>
          <w:szCs w:val="24"/>
        </w:rPr>
        <w:t>:dB(A))</w:t>
      </w:r>
    </w:p>
    <w:p>
      <w:pPr>
        <w:spacing w:line="20" w:lineRule="exact"/>
      </w:pPr>
    </w:p>
    <w:tbl>
      <w:tblPr>
        <w:tblStyle w:val="13"/>
        <w:tblW w:w="8439"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964"/>
        <w:gridCol w:w="4451"/>
        <w:gridCol w:w="1479"/>
        <w:gridCol w:w="1545"/>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96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b/>
                <w:bCs/>
                <w:sz w:val="21"/>
                <w:szCs w:val="21"/>
              </w:rPr>
            </w:pPr>
            <w:r>
              <w:rPr>
                <w:rFonts w:hint="default"/>
                <w:b/>
                <w:bCs/>
                <w:sz w:val="21"/>
                <w:szCs w:val="21"/>
              </w:rPr>
              <w:t>项目</w:t>
            </w:r>
          </w:p>
        </w:tc>
        <w:tc>
          <w:tcPr>
            <w:tcW w:w="445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b/>
                <w:bCs/>
                <w:sz w:val="21"/>
                <w:szCs w:val="21"/>
              </w:rPr>
            </w:pPr>
            <w:r>
              <w:rPr>
                <w:rFonts w:hint="default"/>
                <w:b/>
                <w:bCs/>
                <w:sz w:val="21"/>
                <w:szCs w:val="21"/>
              </w:rPr>
              <w:t>执行标准</w:t>
            </w:r>
          </w:p>
        </w:tc>
        <w:tc>
          <w:tcPr>
            <w:tcW w:w="147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b/>
                <w:bCs/>
                <w:sz w:val="21"/>
                <w:szCs w:val="21"/>
              </w:rPr>
            </w:pPr>
            <w:r>
              <w:rPr>
                <w:rFonts w:hint="default"/>
                <w:b/>
                <w:bCs/>
                <w:sz w:val="21"/>
                <w:szCs w:val="21"/>
              </w:rPr>
              <w:t>昼间</w:t>
            </w:r>
          </w:p>
        </w:tc>
        <w:tc>
          <w:tcPr>
            <w:tcW w:w="154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b/>
                <w:bCs/>
                <w:sz w:val="21"/>
                <w:szCs w:val="21"/>
              </w:rPr>
            </w:pPr>
            <w:r>
              <w:rPr>
                <w:rFonts w:hint="default"/>
                <w:b/>
                <w:bCs/>
                <w:sz w:val="21"/>
                <w:szCs w:val="21"/>
              </w:rPr>
              <w:t>夜间</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96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sz w:val="21"/>
                <w:szCs w:val="21"/>
              </w:rPr>
            </w:pPr>
            <w:r>
              <w:rPr>
                <w:rFonts w:hint="default"/>
                <w:sz w:val="21"/>
                <w:szCs w:val="21"/>
              </w:rPr>
              <w:t>厂界</w:t>
            </w:r>
          </w:p>
        </w:tc>
        <w:tc>
          <w:tcPr>
            <w:tcW w:w="445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sz w:val="21"/>
                <w:szCs w:val="21"/>
              </w:rPr>
            </w:pPr>
            <w:r>
              <w:rPr>
                <w:rFonts w:hint="default"/>
                <w:sz w:val="21"/>
                <w:szCs w:val="21"/>
              </w:rPr>
              <w:t>《工业企业厂界环境噪声排放标准》</w:t>
            </w:r>
          </w:p>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sz w:val="21"/>
                <w:szCs w:val="21"/>
              </w:rPr>
            </w:pPr>
            <w:r>
              <w:rPr>
                <w:rFonts w:hint="default"/>
                <w:sz w:val="21"/>
                <w:szCs w:val="21"/>
              </w:rPr>
              <w:t>（GB12348-2008）2类标准</w:t>
            </w:r>
          </w:p>
        </w:tc>
        <w:tc>
          <w:tcPr>
            <w:tcW w:w="147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sz w:val="21"/>
                <w:szCs w:val="21"/>
              </w:rPr>
            </w:pPr>
            <w:r>
              <w:rPr>
                <w:rFonts w:hint="default"/>
                <w:sz w:val="21"/>
                <w:szCs w:val="21"/>
              </w:rPr>
              <w:t>60</w:t>
            </w:r>
          </w:p>
        </w:tc>
        <w:tc>
          <w:tcPr>
            <w:tcW w:w="154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spacing w:line="240" w:lineRule="auto"/>
              <w:ind w:firstLine="0" w:firstLineChars="0"/>
              <w:jc w:val="center"/>
              <w:textAlignment w:val="baseline"/>
              <w:rPr>
                <w:rFonts w:hint="default"/>
                <w:sz w:val="21"/>
                <w:szCs w:val="21"/>
              </w:rPr>
            </w:pPr>
            <w:r>
              <w:rPr>
                <w:rFonts w:hint="default"/>
                <w:sz w:val="21"/>
                <w:szCs w:val="21"/>
              </w:rPr>
              <w:t>50</w:t>
            </w:r>
          </w:p>
        </w:tc>
      </w:tr>
    </w:tbl>
    <w:p>
      <w:pPr>
        <w:pStyle w:val="2"/>
        <w:bidi w:val="0"/>
      </w:pPr>
      <w:bookmarkStart w:id="41" w:name="_Toc28401"/>
      <w:r>
        <w:t>6.3.污染物总量考核指标要求</w:t>
      </w:r>
      <w:bookmarkEnd w:id="41"/>
    </w:p>
    <w:p>
      <w:pPr>
        <w:bidi w:val="0"/>
        <w:rPr>
          <w:rFonts w:hint="default" w:ascii="Times New Roman" w:hAnsi="Times New Roman" w:eastAsia="宋体" w:cs="Times New Roman"/>
          <w:szCs w:val="24"/>
        </w:rPr>
        <w:sectPr>
          <w:footerReference r:id="rId12"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r>
        <w:rPr>
          <w:rFonts w:hint="default"/>
        </w:rPr>
        <w:t>根据《青海省环境保护厅关于印发青海省建设项目主要污染物总量指标审核管理暂行办法的通知》青环发【2014】197号（2016修订）：生活污水由配套的污水管网进入城镇污水处理厂处理的或者由企业单独处理单独排放的建设项目，不再核定主要污染物排放总量指标。本项目无二氧化硫、氮氧化物的产生，故本项目无总量排放。</w:t>
      </w:r>
    </w:p>
    <w:p>
      <w:pPr>
        <w:pStyle w:val="3"/>
        <w:bidi w:val="0"/>
        <w:rPr>
          <w:b/>
          <w:bCs/>
          <w:sz w:val="32"/>
          <w:szCs w:val="24"/>
        </w:rPr>
      </w:pPr>
      <w:bookmarkStart w:id="42" w:name="bookmark7"/>
      <w:bookmarkEnd w:id="42"/>
      <w:bookmarkStart w:id="43" w:name="_Toc2072"/>
      <w:r>
        <w:rPr>
          <w:rFonts w:hint="eastAsia"/>
          <w:b/>
          <w:bCs/>
          <w:sz w:val="32"/>
          <w:szCs w:val="24"/>
          <w:lang w:val="en-US" w:eastAsia="zh-CN"/>
        </w:rPr>
        <w:t xml:space="preserve">第七章   </w:t>
      </w:r>
      <w:r>
        <w:rPr>
          <w:b/>
          <w:bCs/>
          <w:sz w:val="32"/>
          <w:szCs w:val="24"/>
        </w:rPr>
        <w:t>验收监测内容</w:t>
      </w:r>
      <w:bookmarkEnd w:id="43"/>
    </w:p>
    <w:p>
      <w:pPr>
        <w:pStyle w:val="2"/>
        <w:bidi w:val="0"/>
        <w:rPr>
          <w:b/>
          <w:bCs/>
        </w:rPr>
      </w:pPr>
      <w:bookmarkStart w:id="44" w:name="_Toc2859"/>
      <w:r>
        <w:rPr>
          <w:b/>
          <w:bCs/>
        </w:rPr>
        <w:t>7.1.</w:t>
      </w:r>
      <w:r>
        <w:rPr>
          <w:rFonts w:hint="eastAsia"/>
          <w:b/>
          <w:bCs/>
          <w:lang w:val="en-US" w:eastAsia="zh-CN"/>
        </w:rPr>
        <w:t xml:space="preserve">   </w:t>
      </w:r>
      <w:r>
        <w:rPr>
          <w:b/>
          <w:bCs/>
        </w:rPr>
        <w:t>废气</w:t>
      </w:r>
      <w:bookmarkEnd w:id="44"/>
    </w:p>
    <w:p>
      <w:pPr>
        <w:bidi w:val="0"/>
      </w:pPr>
      <w:r>
        <w:t>本项目无组织废气主要来自填埋场周界。项目废气监测情况详见表7-1。</w:t>
      </w:r>
    </w:p>
    <w:p>
      <w:pPr>
        <w:bidi w:val="0"/>
        <w:ind w:left="0" w:leftChars="0" w:firstLine="0" w:firstLineChars="0"/>
        <w:jc w:val="center"/>
        <w:rPr>
          <w:b/>
          <w:bCs/>
        </w:rPr>
      </w:pPr>
      <w:r>
        <w:rPr>
          <w:b/>
          <w:bCs/>
        </w:rPr>
        <w:t>表7-1     废气监测项目、点位、频次一览表</w:t>
      </w:r>
    </w:p>
    <w:p>
      <w:pPr>
        <w:spacing w:line="73" w:lineRule="auto"/>
        <w:rPr>
          <w:rFonts w:ascii="Arial"/>
          <w:sz w:val="2"/>
        </w:rPr>
      </w:pPr>
    </w:p>
    <w:tbl>
      <w:tblPr>
        <w:tblStyle w:val="13"/>
        <w:tblW w:w="8399"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524"/>
        <w:gridCol w:w="4274"/>
        <w:gridCol w:w="2601"/>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36" w:hRule="atLeast"/>
          <w:jc w:val="center"/>
        </w:trPr>
        <w:tc>
          <w:tcPr>
            <w:tcW w:w="152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b/>
                <w:bCs/>
                <w:sz w:val="21"/>
                <w:szCs w:val="21"/>
              </w:rPr>
            </w:pPr>
            <w:r>
              <w:rPr>
                <w:rFonts w:ascii="宋体" w:hAnsi="宋体" w:eastAsia="宋体" w:cs="宋体"/>
                <w:b/>
                <w:bCs/>
                <w:spacing w:val="7"/>
                <w:sz w:val="21"/>
                <w:szCs w:val="21"/>
              </w:rPr>
              <w:t>排放类型</w:t>
            </w:r>
          </w:p>
        </w:tc>
        <w:tc>
          <w:tcPr>
            <w:tcW w:w="427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b/>
                <w:bCs/>
                <w:sz w:val="21"/>
                <w:szCs w:val="21"/>
              </w:rPr>
            </w:pPr>
            <w:r>
              <w:rPr>
                <w:rFonts w:ascii="宋体" w:hAnsi="宋体" w:eastAsia="宋体" w:cs="宋体"/>
                <w:b/>
                <w:bCs/>
                <w:spacing w:val="7"/>
                <w:sz w:val="21"/>
                <w:szCs w:val="21"/>
              </w:rPr>
              <w:t>监测点位</w:t>
            </w:r>
          </w:p>
        </w:tc>
        <w:tc>
          <w:tcPr>
            <w:tcW w:w="260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b/>
                <w:bCs/>
                <w:sz w:val="21"/>
                <w:szCs w:val="21"/>
              </w:rPr>
            </w:pPr>
            <w:r>
              <w:rPr>
                <w:rFonts w:ascii="宋体" w:hAnsi="宋体" w:eastAsia="宋体" w:cs="宋体"/>
                <w:b/>
                <w:bCs/>
                <w:spacing w:val="7"/>
                <w:sz w:val="21"/>
                <w:szCs w:val="21"/>
              </w:rPr>
              <w:t>监测因子</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52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z w:val="21"/>
                <w:szCs w:val="21"/>
              </w:rPr>
            </w:pPr>
            <w:r>
              <w:rPr>
                <w:rFonts w:ascii="宋体" w:hAnsi="宋体" w:eastAsia="宋体" w:cs="宋体"/>
                <w:spacing w:val="7"/>
                <w:sz w:val="21"/>
                <w:szCs w:val="21"/>
              </w:rPr>
              <w:t>无组织废气</w:t>
            </w:r>
          </w:p>
        </w:tc>
        <w:tc>
          <w:tcPr>
            <w:tcW w:w="427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z w:val="21"/>
                <w:szCs w:val="21"/>
              </w:rPr>
            </w:pPr>
            <w:r>
              <w:rPr>
                <w:rFonts w:ascii="宋体" w:hAnsi="宋体" w:eastAsia="宋体" w:cs="宋体"/>
                <w:spacing w:val="5"/>
                <w:sz w:val="21"/>
                <w:szCs w:val="21"/>
              </w:rPr>
              <w:t>填埋场周界上风向处设</w:t>
            </w:r>
            <w:r>
              <w:rPr>
                <w:rFonts w:ascii="Times New Roman" w:hAnsi="Times New Roman" w:eastAsia="Times New Roman" w:cs="Times New Roman"/>
                <w:spacing w:val="5"/>
                <w:sz w:val="21"/>
                <w:szCs w:val="21"/>
              </w:rPr>
              <w:t>1</w:t>
            </w:r>
            <w:r>
              <w:rPr>
                <w:rFonts w:ascii="宋体" w:hAnsi="宋体" w:eastAsia="宋体" w:cs="宋体"/>
                <w:spacing w:val="5"/>
                <w:sz w:val="21"/>
                <w:szCs w:val="21"/>
              </w:rPr>
              <w:t>个点；</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z w:val="21"/>
                <w:szCs w:val="21"/>
              </w:rPr>
            </w:pPr>
            <w:r>
              <w:rPr>
                <w:rFonts w:ascii="宋体" w:hAnsi="宋体" w:eastAsia="宋体" w:cs="宋体"/>
                <w:spacing w:val="6"/>
                <w:sz w:val="21"/>
                <w:szCs w:val="21"/>
              </w:rPr>
              <w:t>下风向周界外</w:t>
            </w:r>
            <w:r>
              <w:rPr>
                <w:rFonts w:ascii="Times New Roman" w:hAnsi="Times New Roman" w:eastAsia="Times New Roman" w:cs="Times New Roman"/>
                <w:spacing w:val="6"/>
                <w:sz w:val="21"/>
                <w:szCs w:val="21"/>
              </w:rPr>
              <w:t>1m</w:t>
            </w:r>
            <w:r>
              <w:rPr>
                <w:rFonts w:ascii="宋体" w:hAnsi="宋体" w:eastAsia="宋体" w:cs="宋体"/>
                <w:spacing w:val="6"/>
                <w:sz w:val="21"/>
                <w:szCs w:val="21"/>
              </w:rPr>
              <w:t>处设</w:t>
            </w:r>
            <w:r>
              <w:rPr>
                <w:rFonts w:ascii="Times New Roman" w:hAnsi="Times New Roman" w:eastAsia="Times New Roman" w:cs="Times New Roman"/>
                <w:spacing w:val="6"/>
                <w:sz w:val="21"/>
                <w:szCs w:val="21"/>
              </w:rPr>
              <w:t>3</w:t>
            </w:r>
            <w:r>
              <w:rPr>
                <w:rFonts w:ascii="宋体" w:hAnsi="宋体" w:eastAsia="宋体" w:cs="宋体"/>
                <w:spacing w:val="6"/>
                <w:sz w:val="21"/>
                <w:szCs w:val="21"/>
              </w:rPr>
              <w:t>个监测点</w:t>
            </w:r>
          </w:p>
        </w:tc>
        <w:tc>
          <w:tcPr>
            <w:tcW w:w="260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pacing w:val="3"/>
                <w:sz w:val="21"/>
                <w:szCs w:val="21"/>
              </w:rPr>
            </w:pPr>
            <w:r>
              <w:rPr>
                <w:rFonts w:ascii="宋体" w:hAnsi="宋体" w:eastAsia="宋体" w:cs="宋体"/>
                <w:spacing w:val="5"/>
                <w:sz w:val="21"/>
                <w:szCs w:val="21"/>
              </w:rPr>
              <w:t>颗粒物、</w:t>
            </w:r>
            <w:r>
              <w:rPr>
                <w:rFonts w:ascii="Times New Roman" w:hAnsi="Times New Roman" w:eastAsia="Times New Roman" w:cs="Times New Roman"/>
                <w:spacing w:val="5"/>
                <w:sz w:val="21"/>
                <w:szCs w:val="21"/>
              </w:rPr>
              <w:t>H</w:t>
            </w:r>
            <w:r>
              <w:rPr>
                <w:rFonts w:ascii="Times New Roman" w:hAnsi="Times New Roman" w:eastAsia="Times New Roman" w:cs="Times New Roman"/>
                <w:spacing w:val="5"/>
                <w:position w:val="-1"/>
                <w:sz w:val="21"/>
                <w:szCs w:val="21"/>
                <w:vertAlign w:val="subscript"/>
              </w:rPr>
              <w:t>2</w:t>
            </w:r>
            <w:r>
              <w:rPr>
                <w:rFonts w:ascii="Times New Roman" w:hAnsi="Times New Roman" w:eastAsia="Times New Roman" w:cs="Times New Roman"/>
                <w:spacing w:val="5"/>
                <w:sz w:val="21"/>
                <w:szCs w:val="21"/>
              </w:rPr>
              <w:t>S</w:t>
            </w:r>
            <w:r>
              <w:rPr>
                <w:rFonts w:ascii="宋体" w:hAnsi="宋体" w:eastAsia="宋体" w:cs="宋体"/>
                <w:spacing w:val="5"/>
                <w:sz w:val="21"/>
                <w:szCs w:val="21"/>
              </w:rPr>
              <w:t>、</w:t>
            </w:r>
            <w:r>
              <w:rPr>
                <w:rFonts w:ascii="Times New Roman" w:hAnsi="Times New Roman" w:eastAsia="Times New Roman" w:cs="Times New Roman"/>
                <w:sz w:val="21"/>
                <w:szCs w:val="21"/>
              </w:rPr>
              <w:t>NH</w:t>
            </w:r>
            <w:r>
              <w:rPr>
                <w:rFonts w:ascii="Times New Roman" w:hAnsi="Times New Roman" w:eastAsia="Times New Roman" w:cs="Times New Roman"/>
                <w:spacing w:val="3"/>
                <w:position w:val="-1"/>
                <w:sz w:val="21"/>
                <w:szCs w:val="21"/>
                <w:vertAlign w:val="subscript"/>
              </w:rPr>
              <w:t>3</w:t>
            </w:r>
            <w:r>
              <w:rPr>
                <w:rFonts w:ascii="宋体" w:hAnsi="宋体" w:eastAsia="宋体" w:cs="宋体"/>
                <w:spacing w:val="3"/>
                <w:sz w:val="21"/>
                <w:szCs w:val="21"/>
              </w:rPr>
              <w:t>、</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z w:val="21"/>
                <w:szCs w:val="21"/>
              </w:rPr>
            </w:pPr>
            <w:r>
              <w:rPr>
                <w:rFonts w:ascii="宋体" w:hAnsi="宋体" w:eastAsia="宋体" w:cs="宋体"/>
                <w:spacing w:val="3"/>
                <w:sz w:val="21"/>
                <w:szCs w:val="21"/>
              </w:rPr>
              <w:t>臭气浓度</w:t>
            </w:r>
          </w:p>
        </w:tc>
      </w:tr>
    </w:tbl>
    <w:p>
      <w:pPr>
        <w:pStyle w:val="2"/>
        <w:bidi w:val="0"/>
        <w:rPr>
          <w:rFonts w:ascii="宋体" w:hAnsi="宋体" w:eastAsia="宋体" w:cs="宋体"/>
          <w:sz w:val="24"/>
          <w:szCs w:val="24"/>
        </w:rPr>
      </w:pPr>
      <w:bookmarkStart w:id="45" w:name="_Toc13258"/>
      <w:r>
        <w:rPr>
          <w:rFonts w:ascii="Times New Roman" w:hAnsi="Times New Roman" w:eastAsia="Times New Roman" w:cs="Times New Roman"/>
          <w:b/>
          <w:bCs/>
          <w:spacing w:val="-1"/>
          <w:sz w:val="24"/>
          <w:szCs w:val="24"/>
        </w:rPr>
        <w:t>7.2</w:t>
      </w:r>
      <w:r>
        <w:rPr>
          <w:rFonts w:hint="eastAsia" w:eastAsia="宋体" w:cs="Times New Roman"/>
          <w:b/>
          <w:bCs/>
          <w:spacing w:val="-1"/>
          <w:sz w:val="24"/>
          <w:szCs w:val="24"/>
          <w:lang w:val="en-US" w:eastAsia="zh-CN"/>
        </w:rPr>
        <w:t xml:space="preserve">   </w:t>
      </w:r>
      <w:r>
        <w:rPr>
          <w:rFonts w:ascii="宋体" w:hAnsi="宋体" w:eastAsia="宋体" w:cs="宋体"/>
          <w:spacing w:val="-1"/>
          <w:sz w:val="24"/>
          <w:szCs w:val="24"/>
          <w14:textOutline w14:w="4358" w14:cap="sq" w14:cmpd="sng">
            <w14:solidFill>
              <w14:srgbClr w14:val="000000"/>
            </w14:solidFill>
            <w14:prstDash w14:val="solid"/>
            <w14:bevel/>
          </w14:textOutline>
        </w:rPr>
        <w:t>厂界噪声</w:t>
      </w:r>
      <w:bookmarkEnd w:id="45"/>
    </w:p>
    <w:p>
      <w:pPr>
        <w:bidi w:val="0"/>
        <w:rPr>
          <w:rFonts w:hint="default"/>
        </w:rPr>
      </w:pPr>
      <w:r>
        <w:rPr>
          <w:rFonts w:hint="eastAsia"/>
          <w:lang w:eastAsia="zh-CN"/>
        </w:rPr>
        <w:t>（</w:t>
      </w:r>
      <w:r>
        <w:rPr>
          <w:rFonts w:hint="eastAsia"/>
          <w:lang w:val="en-US" w:eastAsia="zh-CN"/>
        </w:rPr>
        <w:t>1</w:t>
      </w:r>
      <w:r>
        <w:rPr>
          <w:rFonts w:hint="eastAsia"/>
          <w:lang w:eastAsia="zh-CN"/>
        </w:rPr>
        <w:t>）</w:t>
      </w:r>
      <w:r>
        <w:rPr>
          <w:rFonts w:hint="default"/>
        </w:rPr>
        <w:t>监测点位：共布设</w:t>
      </w:r>
      <w:r>
        <w:rPr>
          <w:rFonts w:hint="eastAsia"/>
          <w:lang w:val="en-US" w:eastAsia="zh-CN"/>
        </w:rPr>
        <w:t>4</w:t>
      </w:r>
      <w:r>
        <w:rPr>
          <w:rFonts w:hint="default"/>
        </w:rPr>
        <w:t>个监测点位，分别在厂界东南西北各布设1个监测点；</w:t>
      </w:r>
    </w:p>
    <w:p>
      <w:pPr>
        <w:bidi w:val="0"/>
        <w:rPr>
          <w:rFonts w:hint="default"/>
        </w:rPr>
      </w:pPr>
      <w:r>
        <w:rPr>
          <w:rFonts w:hint="eastAsia"/>
          <w:lang w:eastAsia="zh-CN"/>
        </w:rPr>
        <w:t>（</w:t>
      </w:r>
      <w:r>
        <w:rPr>
          <w:rFonts w:hint="eastAsia"/>
          <w:lang w:val="en-US" w:eastAsia="zh-CN"/>
        </w:rPr>
        <w:t>2</w:t>
      </w:r>
      <w:r>
        <w:rPr>
          <w:rFonts w:hint="eastAsia"/>
          <w:lang w:eastAsia="zh-CN"/>
        </w:rPr>
        <w:t>）</w:t>
      </w:r>
      <w:r>
        <w:rPr>
          <w:rFonts w:hint="default"/>
        </w:rPr>
        <w:t>监测项目：等效A声级Leq（A）；</w:t>
      </w:r>
    </w:p>
    <w:p>
      <w:pPr>
        <w:bidi w:val="0"/>
        <w:rPr>
          <w:rFonts w:hint="default"/>
        </w:rPr>
      </w:pPr>
      <w:r>
        <w:rPr>
          <w:rFonts w:hint="eastAsia"/>
          <w:lang w:eastAsia="zh-CN"/>
        </w:rPr>
        <w:t>（</w:t>
      </w:r>
      <w:r>
        <w:rPr>
          <w:rFonts w:hint="eastAsia"/>
          <w:lang w:val="en-US" w:eastAsia="zh-CN"/>
        </w:rPr>
        <w:t>3</w:t>
      </w:r>
      <w:r>
        <w:rPr>
          <w:rFonts w:hint="eastAsia"/>
          <w:lang w:eastAsia="zh-CN"/>
        </w:rPr>
        <w:t>）</w:t>
      </w:r>
      <w:r>
        <w:rPr>
          <w:rFonts w:hint="default"/>
        </w:rPr>
        <w:t>监测频次：监测1次/天</w:t>
      </w:r>
      <w:r>
        <w:rPr>
          <w:rFonts w:hint="eastAsia"/>
          <w:lang w:eastAsia="zh-CN"/>
        </w:rPr>
        <w:t>，</w:t>
      </w:r>
      <w:r>
        <w:rPr>
          <w:rFonts w:hint="default"/>
        </w:rPr>
        <w:t>监测</w:t>
      </w:r>
      <w:r>
        <w:rPr>
          <w:rFonts w:hint="eastAsia"/>
          <w:lang w:val="en-US" w:eastAsia="zh-CN"/>
        </w:rPr>
        <w:t>1</w:t>
      </w:r>
      <w:r>
        <w:rPr>
          <w:rFonts w:hint="default"/>
        </w:rPr>
        <w:t>天；</w:t>
      </w:r>
    </w:p>
    <w:p>
      <w:pPr>
        <w:bidi w:val="0"/>
        <w:ind w:left="0" w:leftChars="0" w:firstLine="0" w:firstLineChars="0"/>
        <w:jc w:val="center"/>
        <w:rPr>
          <w:b/>
          <w:bCs/>
        </w:rPr>
      </w:pPr>
      <w:r>
        <w:rPr>
          <w:b/>
          <w:bCs/>
        </w:rPr>
        <w:t>表7-2   噪声监测内容</w:t>
      </w:r>
    </w:p>
    <w:p>
      <w:pPr>
        <w:spacing w:line="86" w:lineRule="auto"/>
        <w:rPr>
          <w:rFonts w:ascii="Arial"/>
          <w:sz w:val="2"/>
        </w:rPr>
      </w:pPr>
    </w:p>
    <w:tbl>
      <w:tblPr>
        <w:tblStyle w:val="13"/>
        <w:tblW w:w="8199"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2309"/>
        <w:gridCol w:w="5890"/>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2309" w:type="dxa"/>
            <w:tcBorders>
              <w:tl2br w:val="nil"/>
              <w:tr2bl w:val="nil"/>
            </w:tcBorders>
            <w:vAlign w:val="top"/>
          </w:tcPr>
          <w:p>
            <w:pPr>
              <w:spacing w:before="125" w:line="230" w:lineRule="auto"/>
              <w:ind w:left="636"/>
              <w:rPr>
                <w:rFonts w:ascii="宋体" w:hAnsi="宋体" w:eastAsia="宋体" w:cs="宋体"/>
                <w:b/>
                <w:bCs/>
                <w:sz w:val="21"/>
                <w:szCs w:val="21"/>
              </w:rPr>
            </w:pPr>
            <w:r>
              <w:rPr>
                <w:rFonts w:ascii="宋体" w:hAnsi="宋体" w:eastAsia="宋体" w:cs="宋体"/>
                <w:b/>
                <w:bCs/>
                <w:spacing w:val="5"/>
                <w:sz w:val="21"/>
                <w:szCs w:val="21"/>
              </w:rPr>
              <w:t>序号</w:t>
            </w:r>
          </w:p>
        </w:tc>
        <w:tc>
          <w:tcPr>
            <w:tcW w:w="5890" w:type="dxa"/>
            <w:tcBorders>
              <w:tl2br w:val="nil"/>
              <w:tr2bl w:val="nil"/>
            </w:tcBorders>
            <w:vAlign w:val="top"/>
          </w:tcPr>
          <w:p>
            <w:pPr>
              <w:spacing w:before="125" w:line="230" w:lineRule="auto"/>
              <w:ind w:left="0" w:leftChars="0" w:firstLine="0" w:firstLineChars="0"/>
              <w:jc w:val="center"/>
              <w:rPr>
                <w:rFonts w:ascii="宋体" w:hAnsi="宋体" w:eastAsia="宋体" w:cs="宋体"/>
                <w:b/>
                <w:bCs/>
                <w:sz w:val="21"/>
                <w:szCs w:val="21"/>
              </w:rPr>
            </w:pPr>
            <w:r>
              <w:rPr>
                <w:rFonts w:ascii="宋体" w:hAnsi="宋体" w:eastAsia="宋体" w:cs="宋体"/>
                <w:b/>
                <w:bCs/>
                <w:spacing w:val="7"/>
                <w:sz w:val="21"/>
                <w:szCs w:val="21"/>
              </w:rPr>
              <w:t>监测点位置</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2309" w:type="dxa"/>
            <w:tcBorders>
              <w:tl2br w:val="nil"/>
              <w:tr2bl w:val="nil"/>
            </w:tcBorders>
            <w:vAlign w:val="top"/>
          </w:tcPr>
          <w:p>
            <w:pPr>
              <w:spacing w:before="96" w:line="274" w:lineRule="exact"/>
              <w:ind w:left="759"/>
              <w:rPr>
                <w:rFonts w:ascii="Times New Roman" w:hAnsi="Times New Roman" w:eastAsia="Times New Roman" w:cs="Times New Roman"/>
                <w:sz w:val="21"/>
                <w:szCs w:val="21"/>
              </w:rPr>
            </w:pPr>
            <w:r>
              <w:rPr>
                <w:rFonts w:ascii="Times New Roman" w:hAnsi="Times New Roman" w:eastAsia="Times New Roman" w:cs="Times New Roman"/>
                <w:spacing w:val="-8"/>
                <w:position w:val="2"/>
                <w:sz w:val="21"/>
                <w:szCs w:val="21"/>
              </w:rPr>
              <w:t>1#</w:t>
            </w:r>
          </w:p>
        </w:tc>
        <w:tc>
          <w:tcPr>
            <w:tcW w:w="5890" w:type="dxa"/>
            <w:tcBorders>
              <w:tl2br w:val="nil"/>
              <w:tr2bl w:val="nil"/>
            </w:tcBorders>
            <w:vAlign w:val="top"/>
          </w:tcPr>
          <w:p>
            <w:pPr>
              <w:spacing w:before="127" w:line="228" w:lineRule="auto"/>
              <w:ind w:left="0" w:leftChars="0" w:firstLine="0" w:firstLineChars="0"/>
              <w:jc w:val="center"/>
              <w:rPr>
                <w:rFonts w:ascii="宋体" w:hAnsi="宋体" w:eastAsia="宋体" w:cs="宋体"/>
                <w:sz w:val="21"/>
                <w:szCs w:val="21"/>
              </w:rPr>
            </w:pPr>
            <w:r>
              <w:rPr>
                <w:rFonts w:ascii="宋体" w:hAnsi="宋体" w:eastAsia="宋体" w:cs="宋体"/>
                <w:spacing w:val="2"/>
                <w:sz w:val="21"/>
                <w:szCs w:val="21"/>
              </w:rPr>
              <w:t>厂界东侧外</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2309" w:type="dxa"/>
            <w:tcBorders>
              <w:tl2br w:val="nil"/>
              <w:tr2bl w:val="nil"/>
            </w:tcBorders>
            <w:vAlign w:val="top"/>
          </w:tcPr>
          <w:p>
            <w:pPr>
              <w:spacing w:before="99" w:line="274" w:lineRule="exact"/>
              <w:ind w:left="739"/>
              <w:rPr>
                <w:rFonts w:ascii="Times New Roman" w:hAnsi="Times New Roman" w:eastAsia="Times New Roman" w:cs="Times New Roman"/>
                <w:sz w:val="21"/>
                <w:szCs w:val="21"/>
              </w:rPr>
            </w:pPr>
            <w:r>
              <w:rPr>
                <w:rFonts w:ascii="Times New Roman" w:hAnsi="Times New Roman" w:eastAsia="Times New Roman" w:cs="Times New Roman"/>
                <w:spacing w:val="2"/>
                <w:position w:val="2"/>
                <w:sz w:val="21"/>
                <w:szCs w:val="21"/>
              </w:rPr>
              <w:t>2#</w:t>
            </w:r>
          </w:p>
        </w:tc>
        <w:tc>
          <w:tcPr>
            <w:tcW w:w="5890" w:type="dxa"/>
            <w:tcBorders>
              <w:tl2br w:val="nil"/>
              <w:tr2bl w:val="nil"/>
            </w:tcBorders>
            <w:vAlign w:val="top"/>
          </w:tcPr>
          <w:p>
            <w:pPr>
              <w:spacing w:before="130" w:line="228" w:lineRule="auto"/>
              <w:ind w:left="0" w:leftChars="0" w:firstLine="0" w:firstLineChars="0"/>
              <w:jc w:val="center"/>
              <w:rPr>
                <w:rFonts w:ascii="宋体" w:hAnsi="宋体" w:eastAsia="宋体" w:cs="宋体"/>
                <w:sz w:val="21"/>
                <w:szCs w:val="21"/>
              </w:rPr>
            </w:pPr>
            <w:r>
              <w:rPr>
                <w:rFonts w:ascii="宋体" w:hAnsi="宋体" w:eastAsia="宋体" w:cs="宋体"/>
                <w:spacing w:val="2"/>
                <w:sz w:val="21"/>
                <w:szCs w:val="21"/>
              </w:rPr>
              <w:t>厂界南侧</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6" w:hRule="atLeast"/>
          <w:jc w:val="center"/>
        </w:trPr>
        <w:tc>
          <w:tcPr>
            <w:tcW w:w="2309" w:type="dxa"/>
            <w:tcBorders>
              <w:tl2br w:val="nil"/>
              <w:tr2bl w:val="nil"/>
            </w:tcBorders>
            <w:vAlign w:val="top"/>
          </w:tcPr>
          <w:p>
            <w:pPr>
              <w:spacing w:before="105" w:line="274" w:lineRule="exact"/>
              <w:ind w:left="743"/>
              <w:rPr>
                <w:rFonts w:ascii="Times New Roman" w:hAnsi="Times New Roman" w:eastAsia="Times New Roman" w:cs="Times New Roman"/>
                <w:sz w:val="21"/>
                <w:szCs w:val="21"/>
              </w:rPr>
            </w:pPr>
            <w:r>
              <w:rPr>
                <w:rFonts w:ascii="Times New Roman" w:hAnsi="Times New Roman" w:eastAsia="Times New Roman" w:cs="Times New Roman"/>
                <w:position w:val="2"/>
                <w:sz w:val="21"/>
                <w:szCs w:val="21"/>
              </w:rPr>
              <w:t>3#</w:t>
            </w:r>
          </w:p>
        </w:tc>
        <w:tc>
          <w:tcPr>
            <w:tcW w:w="5890" w:type="dxa"/>
            <w:tcBorders>
              <w:tl2br w:val="nil"/>
              <w:tr2bl w:val="nil"/>
            </w:tcBorders>
            <w:vAlign w:val="top"/>
          </w:tcPr>
          <w:p>
            <w:pPr>
              <w:spacing w:before="133" w:line="228" w:lineRule="auto"/>
              <w:ind w:left="0" w:leftChars="0" w:firstLine="0" w:firstLineChars="0"/>
              <w:jc w:val="center"/>
              <w:rPr>
                <w:rFonts w:ascii="宋体" w:hAnsi="宋体" w:eastAsia="宋体" w:cs="宋体"/>
                <w:sz w:val="21"/>
                <w:szCs w:val="21"/>
              </w:rPr>
            </w:pPr>
            <w:r>
              <w:rPr>
                <w:rFonts w:ascii="宋体" w:hAnsi="宋体" w:eastAsia="宋体" w:cs="宋体"/>
                <w:spacing w:val="2"/>
                <w:sz w:val="21"/>
                <w:szCs w:val="21"/>
              </w:rPr>
              <w:t>厂界西侧</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31" w:hRule="atLeast"/>
          <w:jc w:val="center"/>
        </w:trPr>
        <w:tc>
          <w:tcPr>
            <w:tcW w:w="2309" w:type="dxa"/>
            <w:tcBorders>
              <w:tl2br w:val="nil"/>
              <w:tr2bl w:val="nil"/>
            </w:tcBorders>
            <w:vAlign w:val="top"/>
          </w:tcPr>
          <w:p>
            <w:pPr>
              <w:spacing w:before="108" w:line="274" w:lineRule="exact"/>
              <w:ind w:left="738"/>
              <w:rPr>
                <w:rFonts w:ascii="Times New Roman" w:hAnsi="Times New Roman" w:eastAsia="Times New Roman" w:cs="Times New Roman"/>
                <w:sz w:val="21"/>
                <w:szCs w:val="21"/>
              </w:rPr>
            </w:pPr>
            <w:r>
              <w:rPr>
                <w:rFonts w:ascii="Times New Roman" w:hAnsi="Times New Roman" w:eastAsia="Times New Roman" w:cs="Times New Roman"/>
                <w:spacing w:val="3"/>
                <w:position w:val="2"/>
                <w:sz w:val="21"/>
                <w:szCs w:val="21"/>
              </w:rPr>
              <w:t>4#</w:t>
            </w:r>
          </w:p>
        </w:tc>
        <w:tc>
          <w:tcPr>
            <w:tcW w:w="5890" w:type="dxa"/>
            <w:tcBorders>
              <w:tl2br w:val="nil"/>
              <w:tr2bl w:val="nil"/>
            </w:tcBorders>
            <w:vAlign w:val="top"/>
          </w:tcPr>
          <w:p>
            <w:pPr>
              <w:spacing w:before="139" w:line="228" w:lineRule="auto"/>
              <w:ind w:left="0" w:leftChars="0" w:firstLine="0" w:firstLineChars="0"/>
              <w:jc w:val="center"/>
              <w:rPr>
                <w:rFonts w:ascii="宋体" w:hAnsi="宋体" w:eastAsia="宋体" w:cs="宋体"/>
                <w:sz w:val="21"/>
                <w:szCs w:val="21"/>
              </w:rPr>
            </w:pPr>
            <w:r>
              <w:rPr>
                <w:rFonts w:ascii="宋体" w:hAnsi="宋体" w:eastAsia="宋体" w:cs="宋体"/>
                <w:spacing w:val="2"/>
                <w:sz w:val="21"/>
                <w:szCs w:val="21"/>
              </w:rPr>
              <w:t>厂界北侧</w:t>
            </w:r>
          </w:p>
        </w:tc>
      </w:tr>
    </w:tbl>
    <w:p>
      <w:pPr>
        <w:pStyle w:val="2"/>
        <w:bidi w:val="0"/>
        <w:rPr>
          <w:b/>
          <w:bCs/>
        </w:rPr>
      </w:pPr>
      <w:bookmarkStart w:id="46" w:name="_Toc3098"/>
      <w:r>
        <w:rPr>
          <w:b/>
          <w:bCs/>
        </w:rPr>
        <w:t>7.3</w:t>
      </w:r>
      <w:r>
        <w:rPr>
          <w:rFonts w:hint="eastAsia"/>
          <w:b/>
          <w:bCs/>
          <w:lang w:val="en-US" w:eastAsia="zh-CN"/>
        </w:rPr>
        <w:t xml:space="preserve">   </w:t>
      </w:r>
      <w:r>
        <w:rPr>
          <w:b/>
          <w:bCs/>
        </w:rPr>
        <w:t>固体废弃物处置情况调查</w:t>
      </w:r>
      <w:bookmarkEnd w:id="46"/>
    </w:p>
    <w:p>
      <w:pPr>
        <w:bidi w:val="0"/>
      </w:pPr>
      <w:r>
        <w:t>固体废弃物的调查内容主要包括：调查该企业产生的生活垃圾产生情况以及最终处置去向。</w:t>
      </w:r>
    </w:p>
    <w:p>
      <w:pPr>
        <w:spacing w:line="220" w:lineRule="auto"/>
        <w:rPr>
          <w:rFonts w:ascii="宋体" w:hAnsi="宋体" w:eastAsia="宋体" w:cs="宋体"/>
          <w:sz w:val="24"/>
          <w:szCs w:val="24"/>
        </w:rPr>
        <w:sectPr>
          <w:footerReference r:id="rId13"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3"/>
        <w:bidi w:val="0"/>
        <w:rPr>
          <w:rFonts w:ascii="宋体" w:hAnsi="宋体" w:eastAsia="宋体" w:cs="宋体"/>
          <w:szCs w:val="30"/>
        </w:rPr>
      </w:pPr>
      <w:bookmarkStart w:id="47" w:name="bookmark8"/>
      <w:bookmarkEnd w:id="47"/>
      <w:bookmarkStart w:id="48" w:name="_Toc5523"/>
      <w:r>
        <w:rPr>
          <w:rFonts w:hint="eastAsia"/>
          <w:b/>
          <w:bCs/>
          <w:sz w:val="32"/>
          <w:szCs w:val="24"/>
          <w:lang w:val="en-US" w:eastAsia="zh-CN"/>
        </w:rPr>
        <w:t xml:space="preserve">第八章   </w:t>
      </w:r>
      <w:r>
        <w:rPr>
          <w:b/>
          <w:bCs/>
          <w:sz w:val="32"/>
          <w:szCs w:val="24"/>
        </w:rPr>
        <w:t>质量保证和质量控制</w:t>
      </w:r>
      <w:bookmarkEnd w:id="48"/>
    </w:p>
    <w:p>
      <w:pPr>
        <w:pStyle w:val="2"/>
        <w:bidi w:val="0"/>
      </w:pPr>
      <w:bookmarkStart w:id="49" w:name="_Toc26401"/>
      <w:r>
        <w:t>8.1. 监测分析方法</w:t>
      </w:r>
      <w:bookmarkEnd w:id="49"/>
    </w:p>
    <w:p>
      <w:pPr>
        <w:bidi w:val="0"/>
        <w:rPr>
          <w:rFonts w:hint="eastAsia"/>
          <w:lang w:eastAsia="zh-CN"/>
        </w:rPr>
      </w:pPr>
      <w:r>
        <w:rPr>
          <w:rFonts w:hint="eastAsia"/>
        </w:rPr>
        <w:t>为确保本次检测数据准确、可靠，代表性强，依据《环境监测质量管理技术导则》(HJ 630-2011) 的有关规定，</w:t>
      </w:r>
      <w:r>
        <w:rPr>
          <w:rFonts w:hint="eastAsia"/>
          <w:lang w:val="en-US" w:eastAsia="zh-CN"/>
        </w:rPr>
        <w:t>青海莫尼特环保科技有限公司</w:t>
      </w:r>
      <w:r>
        <w:rPr>
          <w:rFonts w:hint="eastAsia"/>
        </w:rPr>
        <w:t>对检测全程序进行质量控制</w:t>
      </w:r>
      <w:r>
        <w:rPr>
          <w:rFonts w:hint="eastAsia"/>
          <w:lang w:eastAsia="zh-CN"/>
        </w:rPr>
        <w:t>：</w:t>
      </w:r>
    </w:p>
    <w:p>
      <w:pPr>
        <w:bidi w:val="0"/>
        <w:rPr>
          <w:rFonts w:hint="eastAsia"/>
        </w:rPr>
      </w:pPr>
      <w:r>
        <w:rPr>
          <w:rFonts w:hint="eastAsia"/>
          <w:lang w:eastAsia="zh-CN"/>
        </w:rPr>
        <w:t>（</w:t>
      </w:r>
      <w:r>
        <w:rPr>
          <w:rFonts w:hint="eastAsia"/>
          <w:lang w:val="en-US" w:eastAsia="zh-CN"/>
        </w:rPr>
        <w:t>1</w:t>
      </w:r>
      <w:r>
        <w:rPr>
          <w:rFonts w:hint="eastAsia"/>
          <w:lang w:eastAsia="zh-CN"/>
        </w:rPr>
        <w:t>）</w:t>
      </w:r>
      <w:r>
        <w:rPr>
          <w:rFonts w:hint="eastAsia"/>
        </w:rPr>
        <w:t>了解场区平面布局，并根据点位要求合理布设点位，在人员进行样品采集过程中对采集点位进行GPS定位及现场拍照确认。</w:t>
      </w:r>
    </w:p>
    <w:p>
      <w:pPr>
        <w:bidi w:val="0"/>
        <w:rPr>
          <w:rFonts w:hint="eastAsia"/>
        </w:rPr>
      </w:pPr>
      <w:r>
        <w:rPr>
          <w:rFonts w:hint="eastAsia"/>
          <w:lang w:eastAsia="zh-CN"/>
        </w:rPr>
        <w:t>（</w:t>
      </w:r>
      <w:r>
        <w:rPr>
          <w:rFonts w:hint="eastAsia"/>
          <w:lang w:val="en-US" w:eastAsia="zh-CN"/>
        </w:rPr>
        <w:t>2</w:t>
      </w:r>
      <w:r>
        <w:rPr>
          <w:rFonts w:hint="eastAsia"/>
          <w:lang w:eastAsia="zh-CN"/>
        </w:rPr>
        <w:t>）</w:t>
      </w:r>
      <w:r>
        <w:rPr>
          <w:rFonts w:hint="eastAsia"/>
        </w:rPr>
        <w:t>检测分析方法采用国家有关部门颁布的标准</w:t>
      </w:r>
      <w:r>
        <w:rPr>
          <w:rFonts w:hint="eastAsia"/>
          <w:lang w:eastAsia="zh-CN"/>
        </w:rPr>
        <w:t>（</w:t>
      </w:r>
      <w:r>
        <w:rPr>
          <w:rFonts w:hint="eastAsia"/>
        </w:rPr>
        <w:t>或推荐</w:t>
      </w:r>
      <w:r>
        <w:rPr>
          <w:rFonts w:hint="eastAsia"/>
          <w:lang w:eastAsia="zh-CN"/>
        </w:rPr>
        <w:t>）</w:t>
      </w:r>
      <w:r>
        <w:rPr>
          <w:rFonts w:hint="eastAsia"/>
        </w:rPr>
        <w:t>方法，</w:t>
      </w:r>
      <w:r>
        <w:rPr>
          <w:rFonts w:hint="eastAsia"/>
          <w:lang w:val="en-US" w:eastAsia="zh-CN"/>
        </w:rPr>
        <w:t>详见下表</w:t>
      </w:r>
      <w:r>
        <w:rPr>
          <w:rFonts w:hint="eastAsia"/>
        </w:rPr>
        <w:t>。</w:t>
      </w:r>
    </w:p>
    <w:p>
      <w:pPr>
        <w:bidi w:val="0"/>
      </w:pPr>
      <w:r>
        <w:rPr>
          <w:rFonts w:hint="eastAsia"/>
          <w:lang w:eastAsia="zh-CN"/>
        </w:rPr>
        <w:t>（</w:t>
      </w:r>
      <w:r>
        <w:rPr>
          <w:rFonts w:hint="eastAsia"/>
          <w:lang w:val="en-US" w:eastAsia="zh-CN"/>
        </w:rPr>
        <w:t>3</w:t>
      </w:r>
      <w:r>
        <w:rPr>
          <w:rFonts w:hint="eastAsia"/>
          <w:lang w:eastAsia="zh-CN"/>
        </w:rPr>
        <w:t>）</w:t>
      </w:r>
      <w:r>
        <w:rPr>
          <w:rFonts w:hint="eastAsia"/>
        </w:rPr>
        <w:t>测量数据严格实行三级审核。</w:t>
      </w:r>
    </w:p>
    <w:p>
      <w:pPr>
        <w:bidi w:val="0"/>
        <w:rPr>
          <w:b/>
          <w:bCs/>
        </w:rPr>
      </w:pPr>
      <w:r>
        <w:rPr>
          <w:b/>
          <w:bCs/>
        </w:rPr>
        <w:t>8.1.1.废气监测分析方法及仪器</w:t>
      </w:r>
    </w:p>
    <w:p>
      <w:pPr>
        <w:bidi w:val="0"/>
        <w:ind w:left="0" w:leftChars="0" w:firstLine="0" w:firstLineChars="0"/>
        <w:jc w:val="center"/>
        <w:rPr>
          <w:b/>
          <w:bCs/>
        </w:rPr>
      </w:pPr>
      <w:r>
        <w:rPr>
          <w:b/>
          <w:bCs/>
        </w:rPr>
        <w:t>表8-1   废气监测分析方法</w:t>
      </w:r>
    </w:p>
    <w:p>
      <w:pPr>
        <w:spacing w:line="55" w:lineRule="auto"/>
        <w:rPr>
          <w:rFonts w:ascii="Arial"/>
          <w:sz w:val="2"/>
        </w:rPr>
      </w:pPr>
    </w:p>
    <w:tbl>
      <w:tblPr>
        <w:tblStyle w:val="13"/>
        <w:tblW w:w="8257"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905"/>
        <w:gridCol w:w="931"/>
        <w:gridCol w:w="2634"/>
        <w:gridCol w:w="2519"/>
        <w:gridCol w:w="1268"/>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90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检测类别</w:t>
            </w:r>
          </w:p>
        </w:tc>
        <w:tc>
          <w:tcPr>
            <w:tcW w:w="93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63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分析方法</w:t>
            </w:r>
          </w:p>
        </w:tc>
        <w:tc>
          <w:tcPr>
            <w:tcW w:w="251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仪器名称/型号/管理编号</w:t>
            </w:r>
          </w:p>
        </w:tc>
        <w:tc>
          <w:tcPr>
            <w:tcW w:w="126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905"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无组织废气</w:t>
            </w:r>
          </w:p>
        </w:tc>
        <w:tc>
          <w:tcPr>
            <w:tcW w:w="93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总悬浮</w:t>
            </w:r>
            <w:r>
              <w:rPr>
                <w:rFonts w:hint="default" w:ascii="Times New Roman" w:hAnsi="Times New Roman" w:eastAsia="宋体" w:cs="Times New Roman"/>
                <w:sz w:val="21"/>
                <w:szCs w:val="21"/>
              </w:rPr>
              <w:t>颗粒物</w:t>
            </w:r>
          </w:p>
        </w:tc>
        <w:tc>
          <w:tcPr>
            <w:tcW w:w="263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《环境空气 总悬浮颗粒物的测定 重量法》（HJ 1263-2022）</w:t>
            </w:r>
          </w:p>
        </w:tc>
        <w:tc>
          <w:tcPr>
            <w:tcW w:w="251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恒温恒湿箱 HWS-70BMNT-YO-007分析天平ME104E/02MNT-YO-177</w:t>
            </w:r>
          </w:p>
        </w:tc>
        <w:tc>
          <w:tcPr>
            <w:tcW w:w="126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eastAsia" w:cs="Times New Roman"/>
                <w:sz w:val="21"/>
                <w:szCs w:val="21"/>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01" w:hRule="atLeast"/>
        </w:trPr>
        <w:tc>
          <w:tcPr>
            <w:tcW w:w="905"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p>
        </w:tc>
        <w:tc>
          <w:tcPr>
            <w:tcW w:w="93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氨</w:t>
            </w:r>
          </w:p>
        </w:tc>
        <w:tc>
          <w:tcPr>
            <w:tcW w:w="263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《环境空气和废气 氨的测定纳氏该剂分光光度法》</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HJ 533-2009</w:t>
            </w:r>
            <w:r>
              <w:rPr>
                <w:rFonts w:hint="eastAsia" w:ascii="Times New Roman" w:hAnsi="Times New Roman" w:eastAsia="宋体" w:cs="Times New Roman"/>
                <w:sz w:val="21"/>
                <w:szCs w:val="21"/>
                <w:lang w:eastAsia="zh-CN"/>
              </w:rPr>
              <w:t>）</w:t>
            </w:r>
          </w:p>
        </w:tc>
        <w:tc>
          <w:tcPr>
            <w:tcW w:w="251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紫外可见分光光度计L5MNT-YQ-004</w:t>
            </w:r>
          </w:p>
        </w:tc>
        <w:tc>
          <w:tcPr>
            <w:tcW w:w="126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eastAsia" w:cs="Times New Roman"/>
                <w:sz w:val="21"/>
                <w:szCs w:val="21"/>
                <w:lang w:val="en-US" w:eastAsia="zh-CN"/>
              </w:rPr>
              <w:t>0.01mg/m</w:t>
            </w:r>
            <w:r>
              <w:rPr>
                <w:rFonts w:hint="eastAsia" w:cs="Times New Roman"/>
                <w:sz w:val="21"/>
                <w:szCs w:val="21"/>
                <w:vertAlign w:val="superscript"/>
                <w:lang w:val="en-US" w:eastAsia="zh-CN"/>
              </w:rPr>
              <w:t>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78" w:hRule="atLeast"/>
        </w:trPr>
        <w:tc>
          <w:tcPr>
            <w:tcW w:w="905"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p>
        </w:tc>
        <w:tc>
          <w:tcPr>
            <w:tcW w:w="93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硫化氢</w:t>
            </w:r>
          </w:p>
        </w:tc>
        <w:tc>
          <w:tcPr>
            <w:tcW w:w="263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《空气和废气监测分析方法》第四版</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国家环保总局2003 年</w:t>
            </w:r>
            <w:r>
              <w:rPr>
                <w:rFonts w:hint="eastAsia" w:ascii="Times New Roman" w:hAnsi="Times New Roman" w:eastAsia="宋体" w:cs="Times New Roman"/>
                <w:sz w:val="21"/>
                <w:szCs w:val="21"/>
                <w:lang w:eastAsia="zh-CN"/>
              </w:rPr>
              <w:t>）</w:t>
            </w:r>
          </w:p>
        </w:tc>
        <w:tc>
          <w:tcPr>
            <w:tcW w:w="251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紫外可见分光光度计L5MNT-YQ-004</w:t>
            </w:r>
          </w:p>
        </w:tc>
        <w:tc>
          <w:tcPr>
            <w:tcW w:w="126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eastAsia" w:cs="Times New Roman"/>
                <w:sz w:val="21"/>
                <w:szCs w:val="21"/>
                <w:lang w:val="en-US" w:eastAsia="zh-CN"/>
              </w:rPr>
              <w:t>0.001mg/m</w:t>
            </w:r>
            <w:r>
              <w:rPr>
                <w:rFonts w:hint="eastAsia" w:cs="Times New Roman"/>
                <w:sz w:val="21"/>
                <w:szCs w:val="21"/>
                <w:vertAlign w:val="superscript"/>
                <w:lang w:val="en-US" w:eastAsia="zh-CN"/>
              </w:rPr>
              <w:t>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905"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p>
        </w:tc>
        <w:tc>
          <w:tcPr>
            <w:tcW w:w="93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臭气浓度</w:t>
            </w:r>
          </w:p>
        </w:tc>
        <w:tc>
          <w:tcPr>
            <w:tcW w:w="263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《环境空气和废气 臭气的测定三点比较式臭袋法》</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HJ 1262-2022</w:t>
            </w:r>
            <w:r>
              <w:rPr>
                <w:rFonts w:hint="eastAsia" w:ascii="Times New Roman" w:hAnsi="Times New Roman" w:eastAsia="宋体" w:cs="Times New Roman"/>
                <w:sz w:val="21"/>
                <w:szCs w:val="21"/>
                <w:lang w:eastAsia="zh-CN"/>
              </w:rPr>
              <w:t>）</w:t>
            </w:r>
          </w:p>
        </w:tc>
        <w:tc>
          <w:tcPr>
            <w:tcW w:w="251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气体过滤分配器</w:t>
            </w:r>
          </w:p>
        </w:tc>
        <w:tc>
          <w:tcPr>
            <w:tcW w:w="126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eastAsia" w:cs="Times New Roman"/>
                <w:sz w:val="21"/>
                <w:szCs w:val="21"/>
                <w:lang w:val="en-US" w:eastAsia="zh-CN"/>
              </w:rPr>
              <w:t>--</w:t>
            </w:r>
          </w:p>
        </w:tc>
      </w:tr>
    </w:tbl>
    <w:p>
      <w:pPr>
        <w:spacing w:before="180" w:line="220" w:lineRule="auto"/>
        <w:ind w:left="130"/>
        <w:outlineLvl w:val="2"/>
        <w:rPr>
          <w:rFonts w:ascii="宋体" w:hAnsi="宋体" w:eastAsia="宋体" w:cs="宋体"/>
          <w:sz w:val="24"/>
          <w:szCs w:val="24"/>
        </w:rPr>
      </w:pPr>
      <w:r>
        <w:rPr>
          <w:rFonts w:ascii="Times New Roman" w:hAnsi="Times New Roman" w:eastAsia="Times New Roman" w:cs="Times New Roman"/>
          <w:b/>
          <w:bCs/>
          <w:sz w:val="24"/>
          <w:szCs w:val="24"/>
        </w:rPr>
        <w:t>8.1.2.</w:t>
      </w:r>
      <w:r>
        <w:rPr>
          <w:rFonts w:ascii="宋体" w:hAnsi="宋体" w:eastAsia="宋体" w:cs="宋体"/>
          <w:sz w:val="24"/>
          <w:szCs w:val="24"/>
          <w14:textOutline w14:w="4358" w14:cap="sq" w14:cmpd="sng">
            <w14:solidFill>
              <w14:srgbClr w14:val="000000"/>
            </w14:solidFill>
            <w14:prstDash w14:val="solid"/>
            <w14:bevel/>
          </w14:textOutline>
        </w:rPr>
        <w:t>噪声监测分析方法及仪器</w:t>
      </w:r>
    </w:p>
    <w:p>
      <w:pPr>
        <w:spacing w:before="162" w:line="221" w:lineRule="auto"/>
        <w:ind w:left="3255"/>
        <w:rPr>
          <w:rFonts w:ascii="宋体" w:hAnsi="宋体" w:eastAsia="宋体" w:cs="宋体"/>
          <w:sz w:val="24"/>
          <w:szCs w:val="24"/>
        </w:rPr>
      </w:pPr>
      <w:r>
        <w:rPr>
          <w:rFonts w:ascii="宋体" w:hAnsi="宋体" w:eastAsia="宋体" w:cs="宋体"/>
          <w:spacing w:val="-2"/>
          <w:sz w:val="24"/>
          <w:szCs w:val="24"/>
          <w14:textOutline w14:w="4358" w14:cap="sq" w14:cmpd="sng">
            <w14:solidFill>
              <w14:srgbClr w14:val="000000"/>
            </w14:solidFill>
            <w14:prstDash w14:val="solid"/>
            <w14:bevel/>
          </w14:textOutline>
        </w:rPr>
        <w:t>表</w:t>
      </w:r>
      <w:r>
        <w:rPr>
          <w:rFonts w:ascii="Times New Roman" w:hAnsi="Times New Roman" w:eastAsia="Times New Roman" w:cs="Times New Roman"/>
          <w:b/>
          <w:bCs/>
          <w:spacing w:val="-2"/>
          <w:sz w:val="24"/>
          <w:szCs w:val="24"/>
        </w:rPr>
        <w:t>8-2</w:t>
      </w:r>
      <w:r>
        <w:rPr>
          <w:rFonts w:ascii="Times New Roman" w:hAnsi="Times New Roman" w:eastAsia="Times New Roman" w:cs="Times New Roman"/>
          <w:b/>
          <w:bCs/>
          <w:spacing w:val="5"/>
          <w:sz w:val="24"/>
          <w:szCs w:val="24"/>
        </w:rPr>
        <w:t xml:space="preserve">    </w:t>
      </w:r>
      <w:r>
        <w:rPr>
          <w:rFonts w:ascii="宋体" w:hAnsi="宋体" w:eastAsia="宋体" w:cs="宋体"/>
          <w:spacing w:val="-2"/>
          <w:sz w:val="24"/>
          <w:szCs w:val="24"/>
          <w14:textOutline w14:w="4358" w14:cap="sq" w14:cmpd="sng">
            <w14:solidFill>
              <w14:srgbClr w14:val="000000"/>
            </w14:solidFill>
            <w14:prstDash w14:val="solid"/>
            <w14:bevel/>
          </w14:textOutline>
        </w:rPr>
        <w:t>噪声监测分析方法</w:t>
      </w:r>
    </w:p>
    <w:p>
      <w:pPr>
        <w:spacing w:line="62" w:lineRule="auto"/>
        <w:rPr>
          <w:rFonts w:ascii="Arial"/>
          <w:sz w:val="2"/>
        </w:rPr>
      </w:pPr>
    </w:p>
    <w:tbl>
      <w:tblPr>
        <w:tblStyle w:val="13"/>
        <w:tblW w:w="822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1236"/>
        <w:gridCol w:w="2938"/>
        <w:gridCol w:w="1379"/>
        <w:gridCol w:w="267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23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21"/>
                <w:szCs w:val="21"/>
              </w:rPr>
            </w:pPr>
            <w:r>
              <w:rPr>
                <w:rFonts w:hint="default"/>
                <w:b/>
                <w:bCs/>
                <w:sz w:val="21"/>
                <w:szCs w:val="21"/>
              </w:rPr>
              <w:t>监测项目</w:t>
            </w:r>
          </w:p>
        </w:tc>
        <w:tc>
          <w:tcPr>
            <w:tcW w:w="293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21"/>
                <w:szCs w:val="21"/>
              </w:rPr>
            </w:pPr>
            <w:r>
              <w:rPr>
                <w:rFonts w:hint="default"/>
                <w:b/>
                <w:bCs/>
                <w:sz w:val="21"/>
                <w:szCs w:val="21"/>
              </w:rPr>
              <w:t>检测依据</w:t>
            </w:r>
          </w:p>
        </w:tc>
        <w:tc>
          <w:tcPr>
            <w:tcW w:w="137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21"/>
                <w:szCs w:val="21"/>
              </w:rPr>
            </w:pPr>
            <w:r>
              <w:rPr>
                <w:rFonts w:hint="default"/>
                <w:b/>
                <w:bCs/>
                <w:sz w:val="21"/>
                <w:szCs w:val="21"/>
              </w:rPr>
              <w:t>检出限 dB(A)</w:t>
            </w:r>
          </w:p>
        </w:tc>
        <w:tc>
          <w:tcPr>
            <w:tcW w:w="267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21"/>
                <w:szCs w:val="21"/>
              </w:rPr>
            </w:pPr>
            <w:r>
              <w:rPr>
                <w:rFonts w:hint="default"/>
                <w:b/>
                <w:bCs/>
                <w:sz w:val="21"/>
                <w:szCs w:val="21"/>
              </w:rPr>
              <w:t>监测仪器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809" w:hRule="atLeast"/>
          <w:jc w:val="center"/>
        </w:trPr>
        <w:tc>
          <w:tcPr>
            <w:tcW w:w="1236"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21"/>
                <w:szCs w:val="21"/>
              </w:rPr>
            </w:pPr>
            <w:r>
              <w:rPr>
                <w:rFonts w:hint="default"/>
                <w:sz w:val="21"/>
                <w:szCs w:val="21"/>
              </w:rPr>
              <w:t>等效连续A声级</w:t>
            </w:r>
          </w:p>
        </w:tc>
        <w:tc>
          <w:tcPr>
            <w:tcW w:w="2938"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21"/>
                <w:szCs w:val="21"/>
              </w:rPr>
            </w:pPr>
            <w:r>
              <w:rPr>
                <w:rFonts w:hint="eastAsia"/>
                <w:sz w:val="21"/>
                <w:szCs w:val="21"/>
                <w:lang w:eastAsia="zh-CN"/>
              </w:rPr>
              <w:t>《</w:t>
            </w:r>
            <w:r>
              <w:rPr>
                <w:rFonts w:hint="default"/>
                <w:sz w:val="21"/>
                <w:szCs w:val="21"/>
              </w:rPr>
              <w:t>工业企业厂界环境噪声排放标准</w:t>
            </w:r>
            <w:r>
              <w:rPr>
                <w:rFonts w:hint="eastAsia"/>
                <w:sz w:val="21"/>
                <w:szCs w:val="21"/>
                <w:lang w:eastAsia="zh-CN"/>
              </w:rPr>
              <w:t>》（</w:t>
            </w:r>
            <w:r>
              <w:rPr>
                <w:rFonts w:hint="default"/>
                <w:sz w:val="21"/>
                <w:szCs w:val="21"/>
              </w:rPr>
              <w:t>GB12348-2008</w:t>
            </w:r>
            <w:r>
              <w:rPr>
                <w:rFonts w:hint="eastAsia"/>
                <w:sz w:val="21"/>
                <w:szCs w:val="21"/>
                <w:lang w:eastAsia="zh-CN"/>
              </w:rPr>
              <w:t>）</w:t>
            </w:r>
          </w:p>
        </w:tc>
        <w:tc>
          <w:tcPr>
            <w:tcW w:w="1379"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21"/>
                <w:szCs w:val="21"/>
                <w:lang w:val="en-US" w:eastAsia="zh-CN"/>
              </w:rPr>
            </w:pPr>
            <w:r>
              <w:rPr>
                <w:rFonts w:hint="eastAsia"/>
                <w:sz w:val="21"/>
                <w:szCs w:val="21"/>
                <w:lang w:val="en-US" w:eastAsia="zh-CN"/>
              </w:rPr>
              <w:t>30</w:t>
            </w:r>
          </w:p>
        </w:tc>
        <w:tc>
          <w:tcPr>
            <w:tcW w:w="267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sz w:val="21"/>
                <w:szCs w:val="21"/>
                <w:lang w:eastAsia="zh-CN"/>
              </w:rPr>
            </w:pPr>
            <w:r>
              <w:rPr>
                <w:rFonts w:hint="eastAsia"/>
                <w:sz w:val="21"/>
                <w:szCs w:val="21"/>
                <w:lang w:eastAsia="zh-CN"/>
              </w:rPr>
              <w:t>声级校准器AWA6021A型MNT-YQ-165</w:t>
            </w:r>
          </w:p>
        </w:tc>
      </w:tr>
    </w:tbl>
    <w:p>
      <w:pPr>
        <w:pStyle w:val="2"/>
        <w:bidi w:val="0"/>
      </w:pPr>
      <w:bookmarkStart w:id="50" w:name="_Toc30970"/>
      <w:r>
        <w:t>8.2.人员能力</w:t>
      </w:r>
      <w:bookmarkEnd w:id="50"/>
    </w:p>
    <w:p>
      <w:pPr>
        <w:bidi w:val="0"/>
      </w:pPr>
      <w:r>
        <w:t>所有监测人员持证上岗，严格按照公司质量管理体系文件中的规定开展工作。</w:t>
      </w:r>
    </w:p>
    <w:p>
      <w:pPr>
        <w:sectPr>
          <w:footerReference r:id="rId14"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3"/>
        <w:bidi w:val="0"/>
        <w:rPr>
          <w:b/>
          <w:bCs/>
          <w:sz w:val="32"/>
          <w:szCs w:val="24"/>
        </w:rPr>
      </w:pPr>
      <w:bookmarkStart w:id="51" w:name="bookmark9"/>
      <w:bookmarkEnd w:id="51"/>
      <w:bookmarkStart w:id="52" w:name="_Toc32402"/>
      <w:r>
        <w:rPr>
          <w:rFonts w:hint="eastAsia"/>
          <w:b/>
          <w:bCs/>
          <w:sz w:val="32"/>
          <w:szCs w:val="24"/>
          <w:lang w:val="en-US" w:eastAsia="zh-CN"/>
        </w:rPr>
        <w:t xml:space="preserve">第九章   </w:t>
      </w:r>
      <w:r>
        <w:rPr>
          <w:b/>
          <w:bCs/>
          <w:sz w:val="32"/>
          <w:szCs w:val="24"/>
        </w:rPr>
        <w:t>验收监测结果</w:t>
      </w:r>
      <w:bookmarkEnd w:id="52"/>
    </w:p>
    <w:p>
      <w:pPr>
        <w:pStyle w:val="2"/>
        <w:bidi w:val="0"/>
        <w:rPr>
          <w:b/>
          <w:bCs/>
        </w:rPr>
      </w:pPr>
      <w:bookmarkStart w:id="53" w:name="_Toc4175"/>
      <w:r>
        <w:rPr>
          <w:b/>
          <w:bCs/>
        </w:rPr>
        <w:t>9.1</w:t>
      </w:r>
      <w:r>
        <w:rPr>
          <w:rFonts w:hint="eastAsia"/>
          <w:b/>
          <w:bCs/>
          <w:lang w:val="en-US" w:eastAsia="zh-CN"/>
        </w:rPr>
        <w:t xml:space="preserve">  </w:t>
      </w:r>
      <w:r>
        <w:rPr>
          <w:b/>
          <w:bCs/>
        </w:rPr>
        <w:t>生产工况</w:t>
      </w:r>
      <w:bookmarkEnd w:id="53"/>
    </w:p>
    <w:p>
      <w:pPr>
        <w:bidi w:val="0"/>
      </w:pPr>
      <w:r>
        <w:t>本次验收监测期间，项目正常运营，各环保设施运行正常，满足验收监测要求。</w:t>
      </w:r>
    </w:p>
    <w:p>
      <w:pPr>
        <w:bidi w:val="0"/>
        <w:outlineLvl w:val="1"/>
        <w:rPr>
          <w:b/>
          <w:bCs/>
        </w:rPr>
      </w:pPr>
      <w:bookmarkStart w:id="54" w:name="_Toc14269"/>
      <w:r>
        <w:rPr>
          <w:b/>
          <w:bCs/>
        </w:rPr>
        <w:t>9.2.环保设施调试运行效果</w:t>
      </w:r>
      <w:bookmarkEnd w:id="54"/>
    </w:p>
    <w:p>
      <w:pPr>
        <w:bidi w:val="0"/>
        <w:rPr>
          <w:b/>
          <w:bCs/>
        </w:rPr>
      </w:pPr>
      <w:r>
        <w:rPr>
          <w:b/>
          <w:bCs/>
        </w:rPr>
        <w:t>9.2.1.污染物排放监测结果</w:t>
      </w:r>
    </w:p>
    <w:p>
      <w:pPr>
        <w:bidi w:val="0"/>
      </w:pPr>
      <w:r>
        <w:t>（1）废气</w:t>
      </w:r>
    </w:p>
    <w:p>
      <w:pPr>
        <w:bidi w:val="0"/>
      </w:pPr>
      <w:r>
        <w:t>验收期间对项目区无组织废气进行监测，上风向及下风向共设置4个监测</w:t>
      </w:r>
      <w:r>
        <w:rPr>
          <w:rFonts w:hint="eastAsia"/>
          <w:lang w:val="en-US" w:eastAsia="zh-CN"/>
        </w:rPr>
        <w:t>点</w:t>
      </w:r>
      <w:r>
        <w:t>位。</w:t>
      </w:r>
    </w:p>
    <w:p>
      <w:pPr>
        <w:bidi w:val="0"/>
        <w:ind w:left="0" w:leftChars="0" w:firstLine="0" w:firstLineChars="0"/>
        <w:jc w:val="center"/>
        <w:rPr>
          <w:b/>
          <w:bCs/>
        </w:rPr>
      </w:pPr>
      <w:r>
        <w:rPr>
          <w:b/>
          <w:bCs/>
        </w:rPr>
        <w:t>表9-1    废气及空气环境质量监测一览表</w:t>
      </w:r>
    </w:p>
    <w:p>
      <w:pPr>
        <w:spacing w:line="61" w:lineRule="auto"/>
        <w:rPr>
          <w:rFonts w:ascii="Arial"/>
          <w:sz w:val="2"/>
        </w:rPr>
      </w:pP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9"/>
        <w:gridCol w:w="780"/>
        <w:gridCol w:w="900"/>
        <w:gridCol w:w="750"/>
        <w:gridCol w:w="795"/>
        <w:gridCol w:w="855"/>
        <w:gridCol w:w="765"/>
        <w:gridCol w:w="900"/>
        <w:gridCol w:w="1305"/>
        <w:gridCol w:w="70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769"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采样日期</w:t>
            </w:r>
          </w:p>
        </w:tc>
        <w:tc>
          <w:tcPr>
            <w:tcW w:w="78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监测项目</w:t>
            </w:r>
          </w:p>
        </w:tc>
        <w:tc>
          <w:tcPr>
            <w:tcW w:w="90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采样频次</w:t>
            </w:r>
          </w:p>
        </w:tc>
        <w:tc>
          <w:tcPr>
            <w:tcW w:w="3165" w:type="dxa"/>
            <w:gridSpan w:val="4"/>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检测点位及检测结果</w:t>
            </w:r>
          </w:p>
        </w:tc>
        <w:tc>
          <w:tcPr>
            <w:tcW w:w="90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最大值</w:t>
            </w:r>
          </w:p>
        </w:tc>
        <w:tc>
          <w:tcPr>
            <w:tcW w:w="1305"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标准值</w:t>
            </w:r>
          </w:p>
        </w:tc>
        <w:tc>
          <w:tcPr>
            <w:tcW w:w="708"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达标情况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Q1</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Q2</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Q3</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Q4</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Q2023.9.13</w:t>
            </w:r>
          </w:p>
        </w:tc>
        <w:tc>
          <w:tcPr>
            <w:tcW w:w="78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总悬浮颗粒物</w:t>
            </w: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第一次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0.157</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0.262</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0.288</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0.209</w:t>
            </w:r>
          </w:p>
        </w:tc>
        <w:tc>
          <w:tcPr>
            <w:tcW w:w="90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0.288</w:t>
            </w:r>
          </w:p>
        </w:tc>
        <w:tc>
          <w:tcPr>
            <w:tcW w:w="1305"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1.0mg/m</w:t>
            </w:r>
            <w:r>
              <w:rPr>
                <w:rFonts w:hint="eastAsia" w:ascii="Times New Roman" w:hAnsi="Times New Roman" w:eastAsia="宋体" w:cs="Times New Roman"/>
                <w:sz w:val="21"/>
                <w:szCs w:val="21"/>
                <w:vertAlign w:val="superscript"/>
                <w:lang w:val="en-US" w:eastAsia="zh-CN"/>
              </w:rPr>
              <w:t>3</w:t>
            </w:r>
          </w:p>
        </w:tc>
        <w:tc>
          <w:tcPr>
            <w:tcW w:w="708"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第二次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0.131</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0.209</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0.314</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0.183</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第三次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0.156</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0.182</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0.260</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0.235</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氨</w:t>
            </w: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rPr>
              <w:t>第一次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0.08</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0.14</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0.21</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0.12</w:t>
            </w:r>
          </w:p>
        </w:tc>
        <w:tc>
          <w:tcPr>
            <w:tcW w:w="90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0.22</w:t>
            </w:r>
          </w:p>
        </w:tc>
        <w:tc>
          <w:tcPr>
            <w:tcW w:w="1305"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1.5mg/m</w:t>
            </w:r>
            <w:r>
              <w:rPr>
                <w:rFonts w:hint="eastAsia" w:ascii="Times New Roman" w:hAnsi="Times New Roman" w:eastAsia="宋体" w:cs="Times New Roman"/>
                <w:sz w:val="21"/>
                <w:szCs w:val="21"/>
                <w:vertAlign w:val="superscript"/>
                <w:lang w:val="en-US" w:eastAsia="zh-CN"/>
              </w:rPr>
              <w:t>3</w:t>
            </w:r>
          </w:p>
        </w:tc>
        <w:tc>
          <w:tcPr>
            <w:tcW w:w="708"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rPr>
              <w:t>第二次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0.08</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0.14</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0.21</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0.13</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rPr>
              <w:t>第三次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0.09</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0.14</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0.22</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0.12</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硫化氢</w:t>
            </w: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rPr>
              <w:t>第一次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0.007</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0.007</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0.009</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0.010</w:t>
            </w:r>
          </w:p>
        </w:tc>
        <w:tc>
          <w:tcPr>
            <w:tcW w:w="90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0.010</w:t>
            </w:r>
          </w:p>
        </w:tc>
        <w:tc>
          <w:tcPr>
            <w:tcW w:w="1305"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0.06mg/m</w:t>
            </w:r>
            <w:r>
              <w:rPr>
                <w:rFonts w:hint="eastAsia" w:ascii="Times New Roman" w:hAnsi="Times New Roman" w:eastAsia="宋体" w:cs="Times New Roman"/>
                <w:sz w:val="21"/>
                <w:szCs w:val="21"/>
                <w:vertAlign w:val="superscript"/>
                <w:lang w:val="en-US" w:eastAsia="zh-CN"/>
              </w:rPr>
              <w:t>3</w:t>
            </w:r>
          </w:p>
        </w:tc>
        <w:tc>
          <w:tcPr>
            <w:tcW w:w="708"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r>
              <w:rPr>
                <w:rFonts w:hint="eastAsia" w:ascii="Times New Roman" w:hAnsi="Times New Roman" w:eastAsia="宋体" w:cs="Times New Roman"/>
                <w:sz w:val="21"/>
                <w:szCs w:val="21"/>
                <w:vertAlign w:val="baseline"/>
                <w:lang w:val="en-US" w:eastAsia="zh-CN"/>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rPr>
              <w:t>第二次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0.005</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0.007</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0.008</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0.010</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napToGrid w:val="0"/>
                <w:color w:val="000000"/>
                <w:kern w:val="0"/>
                <w:sz w:val="21"/>
                <w:szCs w:val="21"/>
                <w:vertAlign w:val="baseline"/>
                <w:lang w:val="en-US" w:eastAsia="zh-CN" w:bidi="ar-SA"/>
              </w:rPr>
            </w:pPr>
            <w:r>
              <w:rPr>
                <w:rFonts w:hint="eastAsia" w:ascii="Times New Roman" w:hAnsi="Times New Roman" w:eastAsia="宋体" w:cs="Times New Roman"/>
                <w:sz w:val="21"/>
                <w:szCs w:val="21"/>
                <w:vertAlign w:val="baseline"/>
                <w:lang w:val="en-US" w:eastAsia="zh-CN"/>
              </w:rPr>
              <w:t>第三次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0.006</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0.008</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0.009</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0.007</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臭气浓度</w:t>
            </w: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r>
              <w:rPr>
                <w:rFonts w:hint="eastAsia" w:ascii="Times New Roman" w:hAnsi="Times New Roman" w:eastAsia="宋体" w:cs="Times New Roman"/>
                <w:sz w:val="21"/>
                <w:szCs w:val="21"/>
                <w:vertAlign w:val="baseline"/>
                <w:lang w:val="en-US" w:eastAsia="zh-CN"/>
              </w:rPr>
              <w:t>第一次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12</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13</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14</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15</w:t>
            </w:r>
          </w:p>
        </w:tc>
        <w:tc>
          <w:tcPr>
            <w:tcW w:w="900"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16</w:t>
            </w:r>
          </w:p>
        </w:tc>
        <w:tc>
          <w:tcPr>
            <w:tcW w:w="1305"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20</w:t>
            </w:r>
          </w:p>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（无量纲）</w:t>
            </w:r>
          </w:p>
        </w:tc>
        <w:tc>
          <w:tcPr>
            <w:tcW w:w="708" w:type="dxa"/>
            <w:vMerge w:val="restart"/>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r>
              <w:rPr>
                <w:rFonts w:hint="eastAsia" w:ascii="Times New Roman" w:hAnsi="Times New Roman" w:eastAsia="宋体" w:cs="Times New Roman"/>
                <w:sz w:val="21"/>
                <w:szCs w:val="21"/>
                <w:vertAlign w:val="baseline"/>
                <w:lang w:val="en-US" w:eastAsia="zh-CN"/>
              </w:rPr>
              <w:t>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r>
              <w:rPr>
                <w:rFonts w:hint="eastAsia" w:ascii="Times New Roman" w:hAnsi="Times New Roman" w:eastAsia="宋体" w:cs="Times New Roman"/>
                <w:sz w:val="21"/>
                <w:szCs w:val="21"/>
                <w:vertAlign w:val="baseline"/>
                <w:lang w:val="en-US" w:eastAsia="zh-CN"/>
              </w:rPr>
              <w:t>第二次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11</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13</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15</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14</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8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90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r>
              <w:rPr>
                <w:rFonts w:hint="eastAsia" w:ascii="Times New Roman" w:hAnsi="Times New Roman" w:eastAsia="宋体" w:cs="Times New Roman"/>
                <w:sz w:val="21"/>
                <w:szCs w:val="21"/>
                <w:vertAlign w:val="baseline"/>
                <w:lang w:val="en-US" w:eastAsia="zh-CN"/>
              </w:rPr>
              <w:t>第三次</w:t>
            </w:r>
          </w:p>
        </w:tc>
        <w:tc>
          <w:tcPr>
            <w:tcW w:w="750"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11</w:t>
            </w:r>
          </w:p>
        </w:tc>
        <w:tc>
          <w:tcPr>
            <w:tcW w:w="79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14</w:t>
            </w:r>
          </w:p>
        </w:tc>
        <w:tc>
          <w:tcPr>
            <w:tcW w:w="85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15</w:t>
            </w:r>
          </w:p>
        </w:tc>
        <w:tc>
          <w:tcPr>
            <w:tcW w:w="765" w:type="dxa"/>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16</w:t>
            </w:r>
          </w:p>
        </w:tc>
        <w:tc>
          <w:tcPr>
            <w:tcW w:w="900"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1305"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c>
          <w:tcPr>
            <w:tcW w:w="708" w:type="dxa"/>
            <w:vMerge w:val="continue"/>
            <w:tcBorders>
              <w:tl2br w:val="nil"/>
              <w:tr2bl w:val="nil"/>
            </w:tcBorders>
            <w:vAlign w:val="center"/>
          </w:tcPr>
          <w:p>
            <w:pPr>
              <w:pStyle w:val="5"/>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vertAlign w:val="baseline"/>
              </w:rPr>
            </w:pPr>
          </w:p>
        </w:tc>
      </w:tr>
    </w:tbl>
    <w:p>
      <w:pPr>
        <w:bidi w:val="0"/>
      </w:pPr>
      <w:r>
        <w:t>根据监测结果对标，</w:t>
      </w:r>
      <w:r>
        <w:rPr>
          <w:rFonts w:hint="eastAsia"/>
          <w:lang w:val="en-US" w:eastAsia="zh-CN"/>
        </w:rPr>
        <w:t>总悬浮颗粒</w:t>
      </w:r>
      <w:r>
        <w:t>满足《大气污染物综合排放标准》（GB16297-1996）中表2无组织排放监控浓度限值；NH</w:t>
      </w:r>
      <w:r>
        <w:rPr>
          <w:rFonts w:hint="eastAsia"/>
          <w:vertAlign w:val="subscript"/>
          <w:lang w:val="en-US" w:eastAsia="zh-CN"/>
        </w:rPr>
        <w:t>3</w:t>
      </w:r>
      <w:r>
        <w:t>、H</w:t>
      </w:r>
      <w:r>
        <w:rPr>
          <w:vertAlign w:val="subscript"/>
        </w:rPr>
        <w:t>2</w:t>
      </w:r>
      <w:r>
        <w:t>S及臭气浓度无组织废气满足《恶臭污染物排放标准》（GB14554-93）无组织排放厂界浓度。</w:t>
      </w:r>
    </w:p>
    <w:p>
      <w:pPr>
        <w:bidi w:val="0"/>
      </w:pPr>
      <w:r>
        <w:t>（2）厂界噪声</w:t>
      </w:r>
    </w:p>
    <w:p>
      <w:pPr>
        <w:bidi w:val="0"/>
      </w:pPr>
      <w:r>
        <w:t>验收期间对项目厂区及敏感点进行监测，噪声监测结果见表9-2：</w:t>
      </w:r>
    </w:p>
    <w:p>
      <w:pPr>
        <w:spacing w:before="163" w:line="360" w:lineRule="auto"/>
        <w:ind w:left="0" w:leftChars="0" w:firstLine="0" w:firstLineChars="0"/>
        <w:jc w:val="center"/>
        <w:rPr>
          <w:rFonts w:ascii="Times New Roman" w:hAnsi="Times New Roman" w:eastAsia="Times New Roman" w:cs="Times New Roman"/>
          <w:sz w:val="24"/>
          <w:szCs w:val="24"/>
        </w:rPr>
      </w:pPr>
      <w:r>
        <w:rPr>
          <w:rFonts w:ascii="宋体" w:hAnsi="宋体" w:eastAsia="宋体" w:cs="宋体"/>
          <w:spacing w:val="-1"/>
          <w:sz w:val="24"/>
          <w:szCs w:val="24"/>
          <w14:textOutline w14:w="4358" w14:cap="sq" w14:cmpd="sng">
            <w14:solidFill>
              <w14:srgbClr w14:val="000000"/>
            </w14:solidFill>
            <w14:prstDash w14:val="solid"/>
            <w14:bevel/>
          </w14:textOutline>
        </w:rPr>
        <w:t>表</w:t>
      </w:r>
      <w:r>
        <w:rPr>
          <w:rFonts w:ascii="Times New Roman" w:hAnsi="Times New Roman" w:eastAsia="Times New Roman" w:cs="Times New Roman"/>
          <w:b/>
          <w:bCs/>
          <w:spacing w:val="-1"/>
          <w:sz w:val="24"/>
          <w:szCs w:val="24"/>
        </w:rPr>
        <w:t xml:space="preserve">9-2    </w:t>
      </w:r>
      <w:r>
        <w:rPr>
          <w:rFonts w:ascii="宋体" w:hAnsi="宋体" w:eastAsia="宋体" w:cs="宋体"/>
          <w:spacing w:val="-1"/>
          <w:sz w:val="24"/>
          <w:szCs w:val="24"/>
          <w14:textOutline w14:w="4358" w14:cap="sq" w14:cmpd="sng">
            <w14:solidFill>
              <w14:srgbClr w14:val="000000"/>
            </w14:solidFill>
            <w14:prstDash w14:val="solid"/>
            <w14:bevel/>
          </w14:textOutline>
        </w:rPr>
        <w:t>厂区噪声监测结果</w:t>
      </w:r>
    </w:p>
    <w:p>
      <w:pPr>
        <w:spacing w:line="19" w:lineRule="exact"/>
      </w:pPr>
    </w:p>
    <w:tbl>
      <w:tblPr>
        <w:tblStyle w:val="13"/>
        <w:tblW w:w="8599"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522"/>
        <w:gridCol w:w="2704"/>
        <w:gridCol w:w="1496"/>
        <w:gridCol w:w="1566"/>
        <w:gridCol w:w="1311"/>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18" w:hRule="atLeast"/>
          <w:jc w:val="center"/>
        </w:trPr>
        <w:tc>
          <w:tcPr>
            <w:tcW w:w="1522"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65"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监测点位</w:t>
            </w:r>
          </w:p>
        </w:tc>
        <w:tc>
          <w:tcPr>
            <w:tcW w:w="270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7"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4"/>
                <w:sz w:val="21"/>
                <w:szCs w:val="21"/>
                <w:lang w:val="en-US" w:eastAsia="zh-CN"/>
              </w:rPr>
              <w:t>2023.9.13</w:t>
            </w:r>
          </w:p>
        </w:tc>
        <w:tc>
          <w:tcPr>
            <w:tcW w:w="1496"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7" w:line="240" w:lineRule="auto"/>
              <w:ind w:left="24" w:leftChars="10" w:right="24" w:rightChars="10"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最大值</w:t>
            </w:r>
          </w:p>
          <w:p>
            <w:pPr>
              <w:keepNext w:val="0"/>
              <w:keepLines w:val="0"/>
              <w:pageBreakBefore w:val="0"/>
              <w:widowControl/>
              <w:kinsoku w:val="0"/>
              <w:wordWrap/>
              <w:overflowPunct/>
              <w:topLinePunct w:val="0"/>
              <w:autoSpaceDE w:val="0"/>
              <w:autoSpaceDN w:val="0"/>
              <w:bidi w:val="0"/>
              <w:adjustRightInd w:val="0"/>
              <w:snapToGrid w:val="0"/>
              <w:spacing w:before="157" w:line="240" w:lineRule="auto"/>
              <w:ind w:left="24" w:leftChars="10" w:right="24" w:rightChars="10" w:firstLine="0" w:firstLineChars="0"/>
              <w:jc w:val="center"/>
              <w:textAlignment w:val="baseline"/>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pacing w:val="6"/>
                <w:position w:val="2"/>
                <w:sz w:val="21"/>
                <w:szCs w:val="21"/>
              </w:rPr>
              <w:t>（</w:t>
            </w:r>
            <w:r>
              <w:rPr>
                <w:rFonts w:hint="default" w:ascii="Times New Roman" w:hAnsi="Times New Roman" w:eastAsia="宋体" w:cs="Times New Roman"/>
                <w:position w:val="2"/>
                <w:sz w:val="21"/>
                <w:szCs w:val="21"/>
              </w:rPr>
              <w:t>dB</w:t>
            </w:r>
            <w:r>
              <w:rPr>
                <w:rFonts w:hint="default" w:ascii="Times New Roman" w:hAnsi="Times New Roman" w:eastAsia="宋体" w:cs="Times New Roman"/>
                <w:spacing w:val="6"/>
                <w:position w:val="2"/>
                <w:sz w:val="21"/>
                <w:szCs w:val="21"/>
              </w:rPr>
              <w:t>(A)）</w:t>
            </w:r>
          </w:p>
        </w:tc>
        <w:tc>
          <w:tcPr>
            <w:tcW w:w="1566"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7" w:line="240" w:lineRule="auto"/>
              <w:ind w:left="24" w:leftChars="10" w:right="24" w:rightChars="10"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标准值</w:t>
            </w:r>
          </w:p>
          <w:p>
            <w:pPr>
              <w:keepNext w:val="0"/>
              <w:keepLines w:val="0"/>
              <w:pageBreakBefore w:val="0"/>
              <w:widowControl/>
              <w:kinsoku w:val="0"/>
              <w:wordWrap/>
              <w:overflowPunct/>
              <w:topLinePunct w:val="0"/>
              <w:autoSpaceDE w:val="0"/>
              <w:autoSpaceDN w:val="0"/>
              <w:bidi w:val="0"/>
              <w:adjustRightInd w:val="0"/>
              <w:snapToGrid w:val="0"/>
              <w:spacing w:before="157"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pacing w:val="6"/>
                <w:position w:val="2"/>
                <w:sz w:val="21"/>
                <w:szCs w:val="21"/>
              </w:rPr>
              <w:t>（</w:t>
            </w:r>
            <w:r>
              <w:rPr>
                <w:rFonts w:hint="default" w:ascii="Times New Roman" w:hAnsi="Times New Roman" w:eastAsia="宋体" w:cs="Times New Roman"/>
                <w:position w:val="2"/>
                <w:sz w:val="21"/>
                <w:szCs w:val="21"/>
              </w:rPr>
              <w:t>dB</w:t>
            </w:r>
            <w:r>
              <w:rPr>
                <w:rFonts w:hint="default" w:ascii="Times New Roman" w:hAnsi="Times New Roman" w:eastAsia="宋体" w:cs="Times New Roman"/>
                <w:spacing w:val="6"/>
                <w:position w:val="2"/>
                <w:sz w:val="21"/>
                <w:szCs w:val="21"/>
              </w:rPr>
              <w:t>(A)）</w:t>
            </w:r>
          </w:p>
        </w:tc>
        <w:tc>
          <w:tcPr>
            <w:tcW w:w="1311" w:type="dxa"/>
            <w:vMerge w:val="restart"/>
            <w:tcBorders>
              <w:right w:val="single" w:color="000000" w:sz="12" w:space="0"/>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7"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达标情况</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1522"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p>
        </w:tc>
        <w:tc>
          <w:tcPr>
            <w:tcW w:w="270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26"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position w:val="2"/>
                <w:sz w:val="21"/>
                <w:szCs w:val="21"/>
              </w:rPr>
              <w:t>昼间（</w:t>
            </w:r>
            <w:r>
              <w:rPr>
                <w:rFonts w:hint="default" w:ascii="Times New Roman" w:hAnsi="Times New Roman" w:eastAsia="宋体" w:cs="Times New Roman"/>
                <w:position w:val="2"/>
                <w:sz w:val="21"/>
                <w:szCs w:val="21"/>
              </w:rPr>
              <w:t>dB</w:t>
            </w:r>
            <w:r>
              <w:rPr>
                <w:rFonts w:hint="default" w:ascii="Times New Roman" w:hAnsi="Times New Roman" w:eastAsia="宋体" w:cs="Times New Roman"/>
                <w:spacing w:val="6"/>
                <w:position w:val="2"/>
                <w:sz w:val="21"/>
                <w:szCs w:val="21"/>
              </w:rPr>
              <w:t>(A)）</w:t>
            </w:r>
          </w:p>
        </w:tc>
        <w:tc>
          <w:tcPr>
            <w:tcW w:w="149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26"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p>
        </w:tc>
        <w:tc>
          <w:tcPr>
            <w:tcW w:w="156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26"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p>
        </w:tc>
        <w:tc>
          <w:tcPr>
            <w:tcW w:w="1311" w:type="dxa"/>
            <w:vMerge w:val="continue"/>
            <w:tcBorders>
              <w:right w:val="single" w:color="000000" w:sz="12" w:space="0"/>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26"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1522"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41"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pacing w:val="6"/>
                <w:position w:val="1"/>
                <w:sz w:val="21"/>
                <w:szCs w:val="21"/>
              </w:rPr>
              <w:t>厂界</w:t>
            </w:r>
            <w:r>
              <w:rPr>
                <w:rFonts w:hint="eastAsia" w:ascii="Times New Roman" w:hAnsi="Times New Roman" w:eastAsia="宋体" w:cs="Times New Roman"/>
                <w:spacing w:val="6"/>
                <w:position w:val="1"/>
                <w:sz w:val="21"/>
                <w:szCs w:val="21"/>
                <w:lang w:val="en-US" w:eastAsia="zh-CN"/>
              </w:rPr>
              <w:t>噪声Z1</w:t>
            </w:r>
          </w:p>
        </w:tc>
        <w:tc>
          <w:tcPr>
            <w:tcW w:w="270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07"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3"/>
                <w:sz w:val="21"/>
                <w:szCs w:val="21"/>
                <w:lang w:val="en-US" w:eastAsia="zh-CN"/>
              </w:rPr>
              <w:t>48..3</w:t>
            </w:r>
          </w:p>
        </w:tc>
        <w:tc>
          <w:tcPr>
            <w:tcW w:w="1496"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3"/>
                <w:sz w:val="21"/>
                <w:szCs w:val="21"/>
                <w:lang w:val="en-US" w:eastAsia="zh-CN"/>
              </w:rPr>
              <w:t>51.4</w:t>
            </w:r>
          </w:p>
        </w:tc>
        <w:tc>
          <w:tcPr>
            <w:tcW w:w="1566"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3"/>
                <w:sz w:val="21"/>
                <w:szCs w:val="21"/>
                <w:lang w:val="en-US" w:eastAsia="zh-CN"/>
              </w:rPr>
              <w:t>60</w:t>
            </w:r>
          </w:p>
        </w:tc>
        <w:tc>
          <w:tcPr>
            <w:tcW w:w="1311" w:type="dxa"/>
            <w:tcBorders>
              <w:right w:val="single" w:color="000000" w:sz="12" w:space="0"/>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07" w:line="240" w:lineRule="auto"/>
              <w:ind w:left="24" w:leftChars="10" w:right="24" w:rightChars="10" w:firstLine="0" w:firstLineChars="0"/>
              <w:jc w:val="center"/>
              <w:textAlignment w:val="baseline"/>
              <w:rPr>
                <w:rFonts w:hint="default" w:ascii="Times New Roman" w:hAnsi="Times New Roman" w:eastAsia="宋体" w:cs="Times New Roman"/>
                <w:spacing w:val="3"/>
                <w:sz w:val="21"/>
                <w:szCs w:val="21"/>
              </w:rPr>
            </w:pPr>
            <w:r>
              <w:rPr>
                <w:rFonts w:hint="eastAsia" w:ascii="Times New Roman" w:hAnsi="Times New Roman" w:eastAsia="宋体" w:cs="Times New Roman"/>
                <w:sz w:val="21"/>
                <w:szCs w:val="21"/>
                <w:lang w:val="en-US" w:eastAsia="zh-CN"/>
              </w:rPr>
              <w:t>达标</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05" w:hRule="atLeast"/>
          <w:jc w:val="center"/>
        </w:trPr>
        <w:tc>
          <w:tcPr>
            <w:tcW w:w="1522"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66"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rPr>
            </w:pPr>
            <w:r>
              <w:rPr>
                <w:rFonts w:hint="default" w:ascii="Times New Roman" w:hAnsi="Times New Roman" w:eastAsia="宋体" w:cs="Times New Roman"/>
                <w:spacing w:val="6"/>
                <w:position w:val="1"/>
                <w:sz w:val="21"/>
                <w:szCs w:val="21"/>
              </w:rPr>
              <w:t>厂界</w:t>
            </w:r>
            <w:r>
              <w:rPr>
                <w:rFonts w:hint="eastAsia" w:ascii="Times New Roman" w:hAnsi="Times New Roman" w:eastAsia="宋体" w:cs="Times New Roman"/>
                <w:spacing w:val="6"/>
                <w:position w:val="1"/>
                <w:sz w:val="21"/>
                <w:szCs w:val="21"/>
                <w:lang w:val="en-US" w:eastAsia="zh-CN"/>
              </w:rPr>
              <w:t>噪声Z</w:t>
            </w:r>
            <w:r>
              <w:rPr>
                <w:rFonts w:hint="eastAsia" w:cs="Times New Roman"/>
                <w:spacing w:val="6"/>
                <w:position w:val="1"/>
                <w:sz w:val="21"/>
                <w:szCs w:val="21"/>
                <w:lang w:val="en-US" w:eastAsia="zh-CN"/>
              </w:rPr>
              <w:t>2</w:t>
            </w:r>
          </w:p>
        </w:tc>
        <w:tc>
          <w:tcPr>
            <w:tcW w:w="270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32"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3"/>
                <w:sz w:val="21"/>
                <w:szCs w:val="21"/>
                <w:lang w:val="en-US" w:eastAsia="zh-CN"/>
              </w:rPr>
              <w:t>51.4</w:t>
            </w:r>
          </w:p>
        </w:tc>
        <w:tc>
          <w:tcPr>
            <w:tcW w:w="149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32"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p>
        </w:tc>
        <w:tc>
          <w:tcPr>
            <w:tcW w:w="156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33"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p>
        </w:tc>
        <w:tc>
          <w:tcPr>
            <w:tcW w:w="1311" w:type="dxa"/>
            <w:tcBorders>
              <w:right w:val="single" w:color="000000" w:sz="12" w:space="0"/>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33" w:line="240" w:lineRule="auto"/>
              <w:ind w:left="24" w:leftChars="10" w:right="24" w:rightChars="10" w:firstLine="0" w:firstLineChars="0"/>
              <w:jc w:val="center"/>
              <w:textAlignment w:val="baseline"/>
              <w:rPr>
                <w:rFonts w:hint="default" w:ascii="Times New Roman" w:hAnsi="Times New Roman" w:eastAsia="宋体" w:cs="Times New Roman"/>
                <w:spacing w:val="3"/>
                <w:sz w:val="21"/>
                <w:szCs w:val="21"/>
              </w:rPr>
            </w:pPr>
            <w:r>
              <w:rPr>
                <w:rFonts w:hint="eastAsia" w:ascii="Times New Roman" w:hAnsi="Times New Roman" w:eastAsia="宋体" w:cs="Times New Roman"/>
                <w:sz w:val="21"/>
                <w:szCs w:val="21"/>
                <w:lang w:val="en-US" w:eastAsia="zh-CN"/>
              </w:rPr>
              <w:t>达标</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1522"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92"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rPr>
            </w:pPr>
            <w:r>
              <w:rPr>
                <w:rFonts w:hint="default" w:ascii="Times New Roman" w:hAnsi="Times New Roman" w:eastAsia="宋体" w:cs="Times New Roman"/>
                <w:spacing w:val="6"/>
                <w:position w:val="1"/>
                <w:sz w:val="21"/>
                <w:szCs w:val="21"/>
              </w:rPr>
              <w:t>厂界</w:t>
            </w:r>
            <w:r>
              <w:rPr>
                <w:rFonts w:hint="eastAsia" w:ascii="Times New Roman" w:hAnsi="Times New Roman" w:eastAsia="宋体" w:cs="Times New Roman"/>
                <w:spacing w:val="6"/>
                <w:position w:val="1"/>
                <w:sz w:val="21"/>
                <w:szCs w:val="21"/>
                <w:lang w:val="en-US" w:eastAsia="zh-CN"/>
              </w:rPr>
              <w:t>噪声Z</w:t>
            </w:r>
            <w:r>
              <w:rPr>
                <w:rFonts w:hint="eastAsia" w:cs="Times New Roman"/>
                <w:spacing w:val="6"/>
                <w:position w:val="1"/>
                <w:sz w:val="21"/>
                <w:szCs w:val="21"/>
                <w:lang w:val="en-US" w:eastAsia="zh-CN"/>
              </w:rPr>
              <w:t>3</w:t>
            </w:r>
          </w:p>
        </w:tc>
        <w:tc>
          <w:tcPr>
            <w:tcW w:w="270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3"/>
                <w:sz w:val="21"/>
                <w:szCs w:val="21"/>
                <w:lang w:val="en-US" w:eastAsia="zh-CN"/>
              </w:rPr>
              <w:t>47.8</w:t>
            </w:r>
          </w:p>
        </w:tc>
        <w:tc>
          <w:tcPr>
            <w:tcW w:w="149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p>
        </w:tc>
        <w:tc>
          <w:tcPr>
            <w:tcW w:w="156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z w:val="21"/>
                <w:szCs w:val="21"/>
              </w:rPr>
            </w:pPr>
          </w:p>
        </w:tc>
        <w:tc>
          <w:tcPr>
            <w:tcW w:w="1311" w:type="dxa"/>
            <w:tcBorders>
              <w:right w:val="single" w:color="000000" w:sz="12" w:space="0"/>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pacing w:val="3"/>
                <w:sz w:val="21"/>
                <w:szCs w:val="21"/>
              </w:rPr>
            </w:pPr>
            <w:r>
              <w:rPr>
                <w:rFonts w:hint="eastAsia" w:ascii="Times New Roman" w:hAnsi="Times New Roman" w:eastAsia="宋体" w:cs="Times New Roman"/>
                <w:sz w:val="21"/>
                <w:szCs w:val="21"/>
                <w:lang w:val="en-US" w:eastAsia="zh-CN"/>
              </w:rPr>
              <w:t>达标</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1522"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92" w:line="240" w:lineRule="auto"/>
              <w:ind w:left="24" w:leftChars="10" w:right="24" w:rightChars="10" w:firstLine="0" w:firstLineChars="0"/>
              <w:jc w:val="center"/>
              <w:textAlignment w:val="baseline"/>
              <w:rPr>
                <w:rFonts w:hint="default" w:ascii="Times New Roman" w:hAnsi="Times New Roman" w:eastAsia="宋体" w:cs="Times New Roman"/>
                <w:spacing w:val="6"/>
                <w:position w:val="1"/>
                <w:sz w:val="21"/>
                <w:szCs w:val="21"/>
                <w:lang w:val="en-US"/>
              </w:rPr>
            </w:pPr>
            <w:r>
              <w:rPr>
                <w:rFonts w:hint="default" w:ascii="Times New Roman" w:hAnsi="Times New Roman" w:eastAsia="宋体" w:cs="Times New Roman"/>
                <w:spacing w:val="6"/>
                <w:position w:val="1"/>
                <w:sz w:val="21"/>
                <w:szCs w:val="21"/>
              </w:rPr>
              <w:t>厂界</w:t>
            </w:r>
            <w:r>
              <w:rPr>
                <w:rFonts w:hint="eastAsia" w:ascii="Times New Roman" w:hAnsi="Times New Roman" w:eastAsia="宋体" w:cs="Times New Roman"/>
                <w:spacing w:val="6"/>
                <w:position w:val="1"/>
                <w:sz w:val="21"/>
                <w:szCs w:val="21"/>
                <w:lang w:val="en-US" w:eastAsia="zh-CN"/>
              </w:rPr>
              <w:t>噪声Z</w:t>
            </w:r>
            <w:r>
              <w:rPr>
                <w:rFonts w:hint="eastAsia" w:cs="Times New Roman"/>
                <w:spacing w:val="6"/>
                <w:position w:val="1"/>
                <w:sz w:val="21"/>
                <w:szCs w:val="21"/>
                <w:lang w:val="en-US" w:eastAsia="zh-CN"/>
              </w:rPr>
              <w:t>4</w:t>
            </w:r>
          </w:p>
        </w:tc>
        <w:tc>
          <w:tcPr>
            <w:tcW w:w="2704"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48.8</w:t>
            </w:r>
          </w:p>
        </w:tc>
        <w:tc>
          <w:tcPr>
            <w:tcW w:w="149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pacing w:val="3"/>
                <w:sz w:val="21"/>
                <w:szCs w:val="21"/>
              </w:rPr>
            </w:pPr>
          </w:p>
        </w:tc>
        <w:tc>
          <w:tcPr>
            <w:tcW w:w="1566"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pacing w:val="3"/>
                <w:sz w:val="21"/>
                <w:szCs w:val="21"/>
              </w:rPr>
            </w:pPr>
          </w:p>
        </w:tc>
        <w:tc>
          <w:tcPr>
            <w:tcW w:w="1311" w:type="dxa"/>
            <w:tcBorders>
              <w:right w:val="single" w:color="000000" w:sz="12" w:space="0"/>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58" w:line="240" w:lineRule="auto"/>
              <w:ind w:left="24" w:leftChars="10" w:right="24" w:rightChars="10" w:firstLine="0" w:firstLineChars="0"/>
              <w:jc w:val="center"/>
              <w:textAlignment w:val="baseline"/>
              <w:rPr>
                <w:rFonts w:hint="default" w:ascii="Times New Roman" w:hAnsi="Times New Roman" w:eastAsia="宋体" w:cs="Times New Roman"/>
                <w:spacing w:val="3"/>
                <w:sz w:val="21"/>
                <w:szCs w:val="21"/>
              </w:rPr>
            </w:pPr>
            <w:r>
              <w:rPr>
                <w:rFonts w:hint="eastAsia" w:ascii="Times New Roman" w:hAnsi="Times New Roman" w:eastAsia="宋体" w:cs="Times New Roman"/>
                <w:sz w:val="21"/>
                <w:szCs w:val="21"/>
                <w:lang w:val="en-US" w:eastAsia="zh-CN"/>
              </w:rPr>
              <w:t>达标</w:t>
            </w:r>
          </w:p>
        </w:tc>
      </w:tr>
    </w:tbl>
    <w:p>
      <w:pPr>
        <w:bidi w:val="0"/>
      </w:pPr>
      <w:r>
        <w:t>由监测结果可得，运营期间厂界噪声4个监测点位连续两天监测结果最大值昼间：</w:t>
      </w:r>
      <w:r>
        <w:rPr>
          <w:rFonts w:hint="eastAsia"/>
          <w:lang w:val="en-US" w:eastAsia="zh-CN"/>
        </w:rPr>
        <w:t>51.4</w:t>
      </w:r>
      <w:r>
        <w:t>dB（A）</w:t>
      </w:r>
      <w:r>
        <w:rPr>
          <w:rFonts w:hint="eastAsia"/>
          <w:lang w:eastAsia="zh-CN"/>
        </w:rPr>
        <w:t>。</w:t>
      </w:r>
      <w:r>
        <w:t>满足《声环境质量标准》（GB3096-2008）的2类区标准限值要求。</w:t>
      </w:r>
    </w:p>
    <w:p>
      <w:pPr>
        <w:bidi w:val="0"/>
      </w:pPr>
      <w:r>
        <w:t>（4）固体废物</w:t>
      </w:r>
    </w:p>
    <w:p>
      <w:pPr>
        <w:bidi w:val="0"/>
      </w:pPr>
      <w:r>
        <w:t>本项目的固体废弃物主要包括生活垃圾及污泥。管理区产生的生活垃圾设密闭分类的垃圾桶，拉运至本项目填埋场进行填埋，产生量0.</w:t>
      </w:r>
      <w:r>
        <w:rPr>
          <w:rFonts w:hint="eastAsia"/>
          <w:lang w:val="en-US" w:eastAsia="zh-CN"/>
        </w:rPr>
        <w:t>18</w:t>
      </w:r>
      <w:r>
        <w:t>t/a。渗滤液调节池会产生污泥，由管理人员淸掏之后拉运到填埋场填埋。</w:t>
      </w:r>
    </w:p>
    <w:p>
      <w:pPr>
        <w:bidi w:val="0"/>
      </w:pPr>
      <w:r>
        <w:t>经过以上措施，本项目产生的固体废物均可得到有效处置。</w:t>
      </w:r>
    </w:p>
    <w:p>
      <w:pPr>
        <w:spacing w:line="220" w:lineRule="auto"/>
        <w:rPr>
          <w:rFonts w:ascii="宋体" w:hAnsi="宋体" w:eastAsia="宋体" w:cs="宋体"/>
          <w:sz w:val="24"/>
          <w:szCs w:val="24"/>
        </w:rPr>
        <w:sectPr>
          <w:footerReference r:id="rId15"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pStyle w:val="3"/>
        <w:bidi w:val="0"/>
        <w:rPr>
          <w:b/>
          <w:bCs/>
          <w:sz w:val="32"/>
          <w:szCs w:val="24"/>
        </w:rPr>
      </w:pPr>
      <w:bookmarkStart w:id="55" w:name="bookmark10"/>
      <w:bookmarkEnd w:id="55"/>
      <w:bookmarkStart w:id="56" w:name="_Toc7921"/>
      <w:r>
        <w:rPr>
          <w:rFonts w:hint="eastAsia"/>
          <w:b/>
          <w:bCs/>
          <w:sz w:val="32"/>
          <w:szCs w:val="24"/>
          <w:lang w:val="en-US" w:eastAsia="zh-CN"/>
        </w:rPr>
        <w:t xml:space="preserve">第十章   </w:t>
      </w:r>
      <w:r>
        <w:rPr>
          <w:b/>
          <w:bCs/>
          <w:sz w:val="32"/>
          <w:szCs w:val="24"/>
        </w:rPr>
        <w:t>验收监测结论</w:t>
      </w:r>
      <w:bookmarkEnd w:id="56"/>
    </w:p>
    <w:p>
      <w:pPr>
        <w:pStyle w:val="2"/>
        <w:bidi w:val="0"/>
      </w:pPr>
      <w:bookmarkStart w:id="57" w:name="_Toc13965"/>
      <w:r>
        <w:t>10.1</w:t>
      </w:r>
      <w:r>
        <w:rPr>
          <w:rFonts w:hint="eastAsia"/>
          <w:lang w:val="en-US" w:eastAsia="zh-CN"/>
        </w:rPr>
        <w:t xml:space="preserve">  </w:t>
      </w:r>
      <w:r>
        <w:t>环境管理检查</w:t>
      </w:r>
      <w:bookmarkEnd w:id="57"/>
    </w:p>
    <w:p>
      <w:pPr>
        <w:bidi w:val="0"/>
      </w:pPr>
      <w:r>
        <w:t>本项目建设履行了环境影响审批手续，根据环境影响评价和评价批复的要求，项目已完成环保设施的建设，做到了环境保护设施建设与主体工程同时设计、同时施工、同时投入使用，环保投资金额落实到实处；项目落实了环保相关方面手续办理，满足环境管理的要求。项目验收监测期间，公司正常营运，设施运行稳定，满足验收监测技术规范要求。</w:t>
      </w:r>
    </w:p>
    <w:p>
      <w:pPr>
        <w:pStyle w:val="2"/>
        <w:bidi w:val="0"/>
      </w:pPr>
      <w:bookmarkStart w:id="58" w:name="_Toc5891"/>
      <w:r>
        <w:t>10.2.污染物排放监测结果</w:t>
      </w:r>
      <w:bookmarkEnd w:id="58"/>
    </w:p>
    <w:p>
      <w:pPr>
        <w:bidi w:val="0"/>
        <w:rPr>
          <w:b/>
          <w:bCs/>
        </w:rPr>
      </w:pPr>
      <w:r>
        <w:rPr>
          <w:b/>
          <w:bCs/>
        </w:rPr>
        <w:t>10.2.</w:t>
      </w:r>
      <w:r>
        <w:rPr>
          <w:rFonts w:hint="eastAsia"/>
          <w:b/>
          <w:bCs/>
          <w:lang w:val="en-US" w:eastAsia="zh-CN"/>
        </w:rPr>
        <w:t xml:space="preserve">1  </w:t>
      </w:r>
      <w:r>
        <w:rPr>
          <w:b/>
          <w:bCs/>
        </w:rPr>
        <w:t>废气</w:t>
      </w:r>
    </w:p>
    <w:p>
      <w:pPr>
        <w:bidi w:val="0"/>
      </w:pPr>
      <w:r>
        <w:t>厂界无组织废气监测时，</w:t>
      </w:r>
      <w:r>
        <w:rPr>
          <w:rFonts w:hint="eastAsia"/>
          <w:lang w:val="en-US" w:eastAsia="zh-CN"/>
        </w:rPr>
        <w:t>总悬浮</w:t>
      </w:r>
      <w:r>
        <w:t>颗粒物最大值为0.2</w:t>
      </w:r>
      <w:r>
        <w:rPr>
          <w:rFonts w:hint="eastAsia"/>
          <w:lang w:val="en-US" w:eastAsia="zh-CN"/>
        </w:rPr>
        <w:t>88</w:t>
      </w:r>
      <w:r>
        <w:t>mg/m</w:t>
      </w:r>
      <w:r>
        <w:rPr>
          <w:vertAlign w:val="superscript"/>
        </w:rPr>
        <w:t>3</w:t>
      </w:r>
      <w:r>
        <w:rPr>
          <w:rFonts w:hint="eastAsia"/>
          <w:vertAlign w:val="baseline"/>
          <w:lang w:eastAsia="zh-CN"/>
        </w:rPr>
        <w:t>，</w:t>
      </w:r>
      <w:r>
        <w:t>未超过标准限值1.0mg/m</w:t>
      </w:r>
      <w:r>
        <w:rPr>
          <w:vertAlign w:val="superscript"/>
        </w:rPr>
        <w:t>3</w:t>
      </w:r>
      <w:r>
        <w:t>，符合《大气污染物综合排放标准》（GB16297-1996）表2中无组织排放浓度限值；硫化氢最大值为0.01</w:t>
      </w:r>
      <w:r>
        <w:rPr>
          <w:rFonts w:hint="eastAsia"/>
          <w:lang w:val="en-US" w:eastAsia="zh-CN"/>
        </w:rPr>
        <w:t>0</w:t>
      </w:r>
      <w:r>
        <w:t>mg/m</w:t>
      </w:r>
      <w:r>
        <w:rPr>
          <w:vertAlign w:val="superscript"/>
        </w:rPr>
        <w:t>3</w:t>
      </w:r>
      <w:r>
        <w:t>，未超过标准限值0.06mg/m</w:t>
      </w:r>
      <w:r>
        <w:rPr>
          <w:vertAlign w:val="superscript"/>
        </w:rPr>
        <w:t>3</w:t>
      </w:r>
      <w:r>
        <w:t>，氨最大值为0.</w:t>
      </w:r>
      <w:r>
        <w:rPr>
          <w:rFonts w:hint="eastAsia"/>
          <w:lang w:val="en-US" w:eastAsia="zh-CN"/>
        </w:rPr>
        <w:t>2</w:t>
      </w:r>
      <w:r>
        <w:t>2mg/m</w:t>
      </w:r>
      <w:r>
        <w:rPr>
          <w:vertAlign w:val="superscript"/>
        </w:rPr>
        <w:t>3</w:t>
      </w:r>
      <w:r>
        <w:rPr>
          <w:rFonts w:hint="eastAsia"/>
          <w:vertAlign w:val="baseline"/>
          <w:lang w:eastAsia="zh-CN"/>
        </w:rPr>
        <w:t>，</w:t>
      </w:r>
      <w:r>
        <w:t>未超过标准限值1.5mg/m</w:t>
      </w:r>
      <w:r>
        <w:rPr>
          <w:vertAlign w:val="superscript"/>
        </w:rPr>
        <w:t>3</w:t>
      </w:r>
      <w:r>
        <w:rPr>
          <w:rFonts w:hint="eastAsia"/>
          <w:lang w:eastAsia="zh-CN"/>
        </w:rPr>
        <w:t>；</w:t>
      </w:r>
      <w:r>
        <w:t>氨、硫化氢、臭气浓度符合《恶臭污染物排放标准》（GB14554-1993）表1中二级无组织排放浓度限值。</w:t>
      </w:r>
    </w:p>
    <w:p>
      <w:pPr>
        <w:bidi w:val="0"/>
        <w:rPr>
          <w:b/>
          <w:bCs/>
        </w:rPr>
      </w:pPr>
      <w:r>
        <w:rPr>
          <w:b/>
          <w:bCs/>
        </w:rPr>
        <w:t>10.2.</w:t>
      </w:r>
      <w:r>
        <w:rPr>
          <w:rFonts w:hint="eastAsia"/>
          <w:b/>
          <w:bCs/>
          <w:lang w:val="en-US" w:eastAsia="zh-CN"/>
        </w:rPr>
        <w:t xml:space="preserve">2   </w:t>
      </w:r>
      <w:r>
        <w:rPr>
          <w:b/>
          <w:bCs/>
        </w:rPr>
        <w:t>噪声验收监测结果</w:t>
      </w:r>
    </w:p>
    <w:p>
      <w:pPr>
        <w:bidi w:val="0"/>
        <w:rPr>
          <w:rFonts w:ascii="宋体" w:hAnsi="宋体" w:eastAsia="宋体" w:cs="宋体"/>
          <w:sz w:val="24"/>
          <w:szCs w:val="24"/>
        </w:rPr>
      </w:pPr>
      <w:r>
        <w:t>根据监测结果可得，运营期间厂界噪声监测点位，结果最大值昼间：</w:t>
      </w:r>
      <w:r>
        <w:rPr>
          <w:rFonts w:hint="eastAsia"/>
          <w:lang w:val="en-US" w:eastAsia="zh-CN"/>
        </w:rPr>
        <w:t>51.4</w:t>
      </w:r>
      <w:r>
        <w:t>dB（A）。厂界噪声值达到《工业企业厂界环境噪声排放标准》（GB12348-2008）的2类标准限值要求</w:t>
      </w:r>
      <w:r>
        <w:rPr>
          <w:rFonts w:hint="eastAsia"/>
          <w:lang w:eastAsia="zh-CN"/>
        </w:rPr>
        <w:t>（</w:t>
      </w:r>
      <w:r>
        <w:rPr>
          <w:rFonts w:hint="eastAsia"/>
          <w:lang w:val="en-US" w:eastAsia="zh-CN"/>
        </w:rPr>
        <w:t>60</w:t>
      </w:r>
      <w:r>
        <w:t>dB（A）</w:t>
      </w:r>
      <w:r>
        <w:rPr>
          <w:rFonts w:hint="eastAsia"/>
          <w:lang w:eastAsia="zh-CN"/>
        </w:rPr>
        <w:t>）</w:t>
      </w:r>
      <w:r>
        <w:t>，可达标排放。</w:t>
      </w:r>
    </w:p>
    <w:p>
      <w:pPr>
        <w:bidi w:val="0"/>
        <w:rPr>
          <w:b/>
          <w:bCs/>
        </w:rPr>
      </w:pPr>
      <w:r>
        <w:rPr>
          <w:b/>
          <w:bCs/>
        </w:rPr>
        <w:t>10.2.</w:t>
      </w:r>
      <w:r>
        <w:rPr>
          <w:rFonts w:hint="eastAsia"/>
          <w:b/>
          <w:bCs/>
          <w:lang w:val="en-US" w:eastAsia="zh-CN"/>
        </w:rPr>
        <w:t xml:space="preserve">3   </w:t>
      </w:r>
      <w:r>
        <w:rPr>
          <w:b/>
          <w:bCs/>
        </w:rPr>
        <w:t>固体废物</w:t>
      </w:r>
    </w:p>
    <w:p>
      <w:pPr>
        <w:bidi w:val="0"/>
      </w:pPr>
      <w:r>
        <w:t>本项目的固体废弃物主要包括生活垃圾、污泥。生活垃圾设分类垃圾收集箱，</w:t>
      </w:r>
      <w:r>
        <w:rPr>
          <w:rFonts w:hint="eastAsia"/>
          <w:lang w:val="en-US" w:eastAsia="zh-CN"/>
        </w:rPr>
        <w:t>收集后在</w:t>
      </w:r>
      <w:r>
        <w:t>垃圾填埋场进行填埋；渗滤液调节池产生的污泥淸掏之后</w:t>
      </w:r>
      <w:r>
        <w:rPr>
          <w:rFonts w:hint="eastAsia"/>
          <w:lang w:val="en-US" w:eastAsia="zh-CN"/>
        </w:rPr>
        <w:t>在</w:t>
      </w:r>
      <w:r>
        <w:t>垃圾填埋场进行填埋。经过以上措施，本项目产生的固体废物均可得到有效处置。</w:t>
      </w:r>
    </w:p>
    <w:p>
      <w:pPr>
        <w:pStyle w:val="2"/>
        <w:bidi w:val="0"/>
      </w:pPr>
      <w:bookmarkStart w:id="59" w:name="_Toc4848"/>
      <w:r>
        <w:rPr>
          <w:b/>
          <w:bCs/>
        </w:rPr>
        <w:t>10.3</w:t>
      </w:r>
      <w:r>
        <w:rPr>
          <w:rFonts w:hint="eastAsia"/>
          <w:b/>
          <w:bCs/>
          <w:lang w:val="en-US" w:eastAsia="zh-CN"/>
        </w:rPr>
        <w:t xml:space="preserve">   </w:t>
      </w:r>
      <w:r>
        <w:rPr>
          <w:b/>
          <w:bCs/>
        </w:rPr>
        <w:t>总结论</w:t>
      </w:r>
      <w:bookmarkEnd w:id="59"/>
    </w:p>
    <w:p>
      <w:pPr>
        <w:bidi w:val="0"/>
        <w:rPr>
          <w:rFonts w:ascii="宋体" w:hAnsi="宋体" w:eastAsia="宋体" w:cs="宋体"/>
          <w:spacing w:val="-2"/>
          <w:szCs w:val="24"/>
        </w:rPr>
      </w:pPr>
      <w:r>
        <w:t>项目已按环境影响报告书及其审批部门审批决定要求建成环境保护设施，并与主体工程同时投产使用；由监测结果可知项目污染物排放可符合国家和地方相关标 准以及审批部门审批决定；项目建设性质、规模、地点、生产工艺及污染防治措施未发生重大变化；项目建设和运营过程中未造成重大环境污染；本次验收范围为</w:t>
      </w:r>
      <w:r>
        <w:rPr>
          <w:rFonts w:hint="eastAsia"/>
          <w:lang w:val="en-US" w:eastAsia="zh-CN"/>
        </w:rPr>
        <w:t>同德县河北乡</w:t>
      </w:r>
      <w:r>
        <w:t>垃圾填埋场工程环境保护设施；验收期间主体工程调试工况稳定、环境保护设施运行正常，验收的监测内容符合环境影响报告书及其审批部门审批决定，无重大缺项、遗漏；本项目不存在《建设项目竣工环境保护验收暂行办法》中九条不得提出验收合格意见的情形。因此，</w:t>
      </w:r>
      <w:r>
        <w:rPr>
          <w:rFonts w:hint="eastAsia"/>
        </w:rPr>
        <w:t>同德县河北乡生活垃圾处理厂建设项目</w:t>
      </w:r>
      <w:r>
        <w:t>符合环境保护竣工验收要求，予以通过竣工验收</w:t>
      </w:r>
      <w:r>
        <w:rPr>
          <w:rFonts w:ascii="宋体" w:hAnsi="宋体" w:eastAsia="宋体" w:cs="宋体"/>
          <w:spacing w:val="-2"/>
          <w:szCs w:val="24"/>
        </w:rPr>
        <w:t>。</w:t>
      </w:r>
    </w:p>
    <w:p>
      <w:pPr>
        <w:pStyle w:val="2"/>
        <w:bidi w:val="0"/>
        <w:rPr>
          <w:rFonts w:hint="eastAsia"/>
          <w:b/>
          <w:bCs/>
          <w:lang w:val="en-US" w:eastAsia="zh-CN"/>
        </w:rPr>
      </w:pPr>
      <w:bookmarkStart w:id="60" w:name="_Toc19884"/>
      <w:r>
        <w:rPr>
          <w:b/>
          <w:bCs/>
        </w:rPr>
        <w:t>10.</w:t>
      </w:r>
      <w:r>
        <w:rPr>
          <w:rFonts w:hint="eastAsia"/>
          <w:b/>
          <w:bCs/>
          <w:lang w:val="en-US" w:eastAsia="zh-CN"/>
        </w:rPr>
        <w:t>4   后续要求</w:t>
      </w:r>
      <w:bookmarkEnd w:id="60"/>
    </w:p>
    <w:p>
      <w:pPr>
        <w:bidi w:val="0"/>
        <w:rPr>
          <w:rFonts w:hint="default" w:ascii="Times New Roman" w:hAnsi="Times New Roman" w:cs="Times New Roman"/>
          <w:color w:val="000000"/>
          <w:kern w:val="2"/>
          <w:sz w:val="24"/>
          <w:szCs w:val="24"/>
          <w:lang w:val="en-US" w:eastAsia="zh-CN" w:bidi="ar-SA"/>
        </w:rPr>
      </w:pPr>
      <w:r>
        <w:rPr>
          <w:rFonts w:hint="eastAsia"/>
          <w:b w:val="0"/>
          <w:bCs w:val="0"/>
          <w:lang w:val="en-US" w:eastAsia="zh-CN"/>
        </w:rPr>
        <w:t>（1）本次验收要求建设单位按</w:t>
      </w:r>
      <w:r>
        <w:rPr>
          <w:rFonts w:hint="eastAsia" w:ascii="Times New Roman" w:hAnsi="Times New Roman" w:cs="Times New Roman"/>
          <w:color w:val="000000"/>
          <w:sz w:val="24"/>
          <w:szCs w:val="24"/>
          <w:lang w:val="en-US" w:eastAsia="zh-CN"/>
        </w:rPr>
        <w:t>《排污单位自行监测技术指南 总则》</w:t>
      </w:r>
      <w:r>
        <w:rPr>
          <w:rFonts w:hint="eastAsia" w:ascii="Times New Roman" w:hAnsi="Times New Roman" w:eastAsia="宋体" w:cs="Times New Roman"/>
          <w:color w:val="000000"/>
          <w:kern w:val="2"/>
          <w:sz w:val="24"/>
          <w:szCs w:val="24"/>
          <w:lang w:val="en-US" w:eastAsia="zh-CN" w:bidi="ar-SA"/>
        </w:rPr>
        <w:t>（HJ819-201</w:t>
      </w:r>
      <w:r>
        <w:rPr>
          <w:rFonts w:hint="default" w:ascii="Times New Roman" w:hAnsi="Times New Roman" w:eastAsia="宋体" w:cs="Times New Roman"/>
          <w:color w:val="000000"/>
          <w:kern w:val="2"/>
          <w:sz w:val="24"/>
          <w:szCs w:val="24"/>
          <w:lang w:val="en-US" w:eastAsia="zh-CN" w:bidi="ar-SA"/>
        </w:rPr>
        <w:t>7）</w:t>
      </w:r>
      <w:r>
        <w:rPr>
          <w:rFonts w:hint="default" w:ascii="Times New Roman" w:hAnsi="Times New Roman" w:cs="Times New Roman"/>
          <w:color w:val="000000"/>
          <w:kern w:val="2"/>
          <w:sz w:val="24"/>
          <w:szCs w:val="24"/>
          <w:lang w:val="en-US" w:eastAsia="zh-CN" w:bidi="ar-SA"/>
        </w:rPr>
        <w:t>提出的监测点位、监测频次相关要求规范性进行季度性自行监测；</w:t>
      </w:r>
    </w:p>
    <w:p>
      <w:pPr>
        <w:bidi w:val="0"/>
        <w:rPr>
          <w:rFonts w:hint="default" w:ascii="Times New Roman" w:hAnsi="Times New Roman" w:cs="Times New Roman"/>
          <w:color w:val="000000"/>
          <w:kern w:val="2"/>
          <w:sz w:val="24"/>
          <w:szCs w:val="24"/>
          <w:lang w:val="en-US" w:eastAsia="zh-CN" w:bidi="ar-SA"/>
        </w:rPr>
      </w:pPr>
      <w:r>
        <w:rPr>
          <w:rFonts w:hint="default" w:ascii="Times New Roman" w:hAnsi="Times New Roman" w:cs="Times New Roman"/>
          <w:color w:val="000000"/>
          <w:kern w:val="2"/>
          <w:sz w:val="24"/>
          <w:szCs w:val="24"/>
          <w:lang w:val="en-US" w:eastAsia="zh-CN" w:bidi="ar-SA"/>
        </w:rPr>
        <w:t>（2）在丰水期时，及时进行地下水监测；</w:t>
      </w:r>
    </w:p>
    <w:p>
      <w:pPr>
        <w:bidi w:val="0"/>
        <w:rPr>
          <w:rFonts w:hint="default" w:ascii="Times New Roman" w:hAnsi="Times New Roman" w:cs="Times New Roman"/>
          <w:color w:val="000000"/>
          <w:kern w:val="2"/>
          <w:sz w:val="24"/>
          <w:szCs w:val="24"/>
          <w:lang w:val="en-US" w:eastAsia="zh-CN" w:bidi="ar-SA"/>
        </w:rPr>
      </w:pPr>
      <w:r>
        <w:rPr>
          <w:rFonts w:hint="default" w:ascii="Times New Roman" w:hAnsi="Times New Roman" w:cs="Times New Roman"/>
          <w:color w:val="000000"/>
          <w:kern w:val="2"/>
          <w:sz w:val="24"/>
          <w:szCs w:val="24"/>
          <w:lang w:val="en-US" w:eastAsia="zh-CN" w:bidi="ar-SA"/>
        </w:rPr>
        <w:t>（3）拉运车辆及时在洗车场所进行清洗，以减少扬尘产生；</w:t>
      </w:r>
    </w:p>
    <w:p>
      <w:pPr>
        <w:bidi w:val="0"/>
        <w:rPr>
          <w:rFonts w:hint="default" w:ascii="Times New Roman" w:hAnsi="Times New Roman" w:cs="Times New Roman"/>
          <w:color w:val="000000"/>
          <w:kern w:val="2"/>
          <w:sz w:val="24"/>
          <w:szCs w:val="24"/>
          <w:lang w:val="en-US" w:eastAsia="zh-CN" w:bidi="ar-SA"/>
        </w:rPr>
      </w:pPr>
      <w:r>
        <w:rPr>
          <w:rFonts w:hint="default" w:ascii="Times New Roman" w:hAnsi="Times New Roman" w:cs="Times New Roman"/>
          <w:color w:val="000000"/>
          <w:kern w:val="2"/>
          <w:sz w:val="24"/>
          <w:szCs w:val="24"/>
          <w:lang w:val="en-US" w:eastAsia="zh-CN" w:bidi="ar-SA"/>
        </w:rPr>
        <w:t>（4）做好场区内卫生管理，及时将垃圾进行填埋，及时喷洒药剂抑制恶臭的产生；</w:t>
      </w:r>
    </w:p>
    <w:p>
      <w:pPr>
        <w:pStyle w:val="7"/>
        <w:rPr>
          <w:rFonts w:hint="eastAsia" w:ascii="Times New Roman" w:hAnsi="Times New Roman" w:eastAsia="宋体" w:cs="Times New Roman"/>
          <w:lang w:val="en-US" w:eastAsia="zh-CN"/>
        </w:rPr>
      </w:pPr>
      <w:r>
        <w:rPr>
          <w:rFonts w:hint="default" w:ascii="Times New Roman" w:hAnsi="Times New Roman" w:cs="Times New Roman"/>
          <w:color w:val="000000"/>
          <w:kern w:val="2"/>
          <w:sz w:val="24"/>
          <w:szCs w:val="24"/>
          <w:lang w:val="en-US" w:eastAsia="zh-CN" w:bidi="ar-SA"/>
        </w:rPr>
        <w:t>（5）</w:t>
      </w:r>
      <w:r>
        <w:t>渗滤液调节池</w:t>
      </w:r>
      <w:r>
        <w:rPr>
          <w:rFonts w:hint="eastAsia"/>
          <w:lang w:val="en-US" w:eastAsia="zh-CN"/>
        </w:rPr>
        <w:t>内</w:t>
      </w:r>
      <w:r>
        <w:t>不能全部回灌时，</w:t>
      </w:r>
      <w:r>
        <w:rPr>
          <w:rFonts w:hint="eastAsia"/>
          <w:lang w:val="en-US" w:eastAsia="zh-CN"/>
        </w:rPr>
        <w:t>及时</w:t>
      </w:r>
      <w:r>
        <w:t>拉至污水厂处理</w:t>
      </w:r>
      <w:r>
        <w:rPr>
          <w:rFonts w:hint="eastAsia"/>
          <w:lang w:eastAsia="zh-CN"/>
        </w:rPr>
        <w:t>。</w:t>
      </w:r>
    </w:p>
    <w:p>
      <w:pPr>
        <w:bidi w:val="0"/>
        <w:ind w:left="0" w:leftChars="0" w:firstLine="0" w:firstLineChars="0"/>
        <w:rPr>
          <w:rFonts w:hint="eastAsia" w:cs="Times New Roman"/>
          <w:color w:val="000000"/>
          <w:kern w:val="2"/>
          <w:sz w:val="24"/>
          <w:szCs w:val="24"/>
          <w:lang w:val="en-US" w:eastAsia="zh-CN" w:bidi="ar-SA"/>
        </w:rPr>
      </w:pPr>
    </w:p>
    <w:p>
      <w:pPr>
        <w:bidi w:val="0"/>
        <w:ind w:left="0" w:leftChars="0" w:firstLine="0" w:firstLineChars="0"/>
        <w:rPr>
          <w:rFonts w:hint="eastAsia" w:cs="Times New Roman"/>
          <w:color w:val="000000"/>
          <w:kern w:val="2"/>
          <w:sz w:val="24"/>
          <w:szCs w:val="24"/>
          <w:lang w:val="en-US" w:eastAsia="zh-CN" w:bidi="ar-SA"/>
        </w:rPr>
        <w:sectPr>
          <w:footerReference r:id="rId16" w:type="default"/>
          <w:pgSz w:w="11911" w:h="16839"/>
          <w:pgMar w:top="1440" w:right="1800" w:bottom="1440" w:left="1800" w:header="0" w:footer="670"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before="65" w:line="228" w:lineRule="auto"/>
        <w:ind w:left="0" w:right="0" w:firstLine="0" w:firstLineChars="0"/>
        <w:jc w:val="center"/>
        <w:textAlignment w:val="baseline"/>
        <w:outlineLvl w:val="0"/>
        <w:rPr>
          <w:rFonts w:hint="default" w:ascii="Times New Roman" w:hAnsi="Times New Roman" w:eastAsia="宋体" w:cs="Times New Roman"/>
          <w:sz w:val="20"/>
          <w:szCs w:val="20"/>
        </w:rPr>
      </w:pPr>
      <w:bookmarkStart w:id="61" w:name="bookmark11"/>
      <w:bookmarkEnd w:id="61"/>
      <w:bookmarkStart w:id="62" w:name="_Toc16029"/>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建设项目竣工环境保护</w:t>
      </w:r>
      <w:r>
        <w:rPr>
          <w:rFonts w:hint="default" w:ascii="Times New Roman" w:hAnsi="Times New Roman" w:eastAsia="宋体" w:cs="Times New Roman"/>
          <w:b/>
          <w:bCs/>
          <w:spacing w:val="9"/>
          <w:sz w:val="20"/>
          <w:szCs w:val="20"/>
        </w:rPr>
        <w:t>“</w:t>
      </w:r>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三同时</w:t>
      </w:r>
      <w:r>
        <w:rPr>
          <w:rFonts w:hint="default" w:ascii="Times New Roman" w:hAnsi="Times New Roman" w:eastAsia="宋体" w:cs="Times New Roman"/>
          <w:b/>
          <w:bCs/>
          <w:spacing w:val="9"/>
          <w:sz w:val="20"/>
          <w:szCs w:val="20"/>
        </w:rPr>
        <w:t>”</w:t>
      </w:r>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验收登记表</w:t>
      </w:r>
      <w:bookmarkEnd w:id="62"/>
    </w:p>
    <w:p>
      <w:pPr>
        <w:keepNext w:val="0"/>
        <w:keepLines w:val="0"/>
        <w:pageBreakBefore w:val="0"/>
        <w:widowControl/>
        <w:kinsoku w:val="0"/>
        <w:wordWrap/>
        <w:overflowPunct/>
        <w:topLinePunct w:val="0"/>
        <w:autoSpaceDE w:val="0"/>
        <w:autoSpaceDN w:val="0"/>
        <w:bidi w:val="0"/>
        <w:adjustRightInd w:val="0"/>
        <w:snapToGrid w:val="0"/>
        <w:spacing w:line="154" w:lineRule="exact"/>
        <w:ind w:left="0" w:right="0" w:firstLine="0" w:firstLineChars="0"/>
        <w:jc w:val="center"/>
        <w:textAlignment w:val="baseline"/>
        <w:rPr>
          <w:rFonts w:hint="default" w:ascii="Times New Roman" w:hAnsi="Times New Roman" w:eastAsia="宋体" w:cs="Times New Roman"/>
        </w:rPr>
      </w:pPr>
    </w:p>
    <w:p>
      <w:pPr>
        <w:keepNext w:val="0"/>
        <w:keepLines w:val="0"/>
        <w:pageBreakBefore w:val="0"/>
        <w:widowControl/>
        <w:kinsoku w:val="0"/>
        <w:wordWrap/>
        <w:overflowPunct/>
        <w:topLinePunct w:val="0"/>
        <w:autoSpaceDE w:val="0"/>
        <w:autoSpaceDN w:val="0"/>
        <w:bidi w:val="0"/>
        <w:adjustRightInd w:val="0"/>
        <w:snapToGrid w:val="0"/>
        <w:spacing w:line="154" w:lineRule="exact"/>
        <w:ind w:left="0" w:right="0" w:firstLine="0" w:firstLineChars="0"/>
        <w:jc w:val="center"/>
        <w:textAlignment w:val="baseline"/>
        <w:rPr>
          <w:rFonts w:hint="default" w:ascii="Times New Roman" w:hAnsi="Times New Roman" w:eastAsia="宋体" w:cs="Times New Roman"/>
        </w:rPr>
        <w:sectPr>
          <w:footerReference r:id="rId17" w:type="default"/>
          <w:pgSz w:w="16839" w:h="11911"/>
          <w:pgMar w:top="1440" w:right="1800" w:bottom="1440" w:left="1800" w:header="0" w:footer="670" w:gutter="0"/>
          <w:pgBorders>
            <w:top w:val="none" w:sz="0" w:space="0"/>
            <w:left w:val="none" w:sz="0" w:space="0"/>
            <w:bottom w:val="none" w:sz="0" w:space="0"/>
            <w:right w:val="none" w:sz="0" w:space="0"/>
          </w:pgBorders>
          <w:pgNumType w:fmt="decimal"/>
          <w:cols w:equalWidth="0" w:num="1">
            <w:col w:w="14679"/>
          </w:cols>
        </w:sectPr>
      </w:pPr>
    </w:p>
    <w:p>
      <w:pPr>
        <w:keepNext w:val="0"/>
        <w:keepLines w:val="0"/>
        <w:pageBreakBefore w:val="0"/>
        <w:widowControl/>
        <w:kinsoku w:val="0"/>
        <w:wordWrap/>
        <w:overflowPunct/>
        <w:topLinePunct w:val="0"/>
        <w:autoSpaceDE w:val="0"/>
        <w:autoSpaceDN w:val="0"/>
        <w:bidi w:val="0"/>
        <w:adjustRightInd w:val="0"/>
        <w:snapToGrid w:val="0"/>
        <w:spacing w:before="41" w:line="194" w:lineRule="auto"/>
        <w:ind w:left="0" w:right="0" w:firstLine="0" w:firstLineChars="0"/>
        <w:jc w:val="center"/>
        <w:textAlignment w:val="baseline"/>
        <w:outlineLvl w:val="0"/>
        <w:rPr>
          <w:rFonts w:hint="default" w:ascii="Times New Roman" w:hAnsi="Times New Roman" w:eastAsia="宋体" w:cs="Times New Roman"/>
          <w:sz w:val="20"/>
          <w:szCs w:val="20"/>
        </w:rPr>
      </w:pPr>
      <w:bookmarkStart w:id="63" w:name="_Toc16969"/>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填表单位（盖章</w:t>
      </w:r>
      <w:r>
        <w:rPr>
          <w:rFonts w:hint="default" w:ascii="Times New Roman" w:hAnsi="Times New Roman" w:eastAsia="宋体" w:cs="Times New Roman"/>
          <w:sz w:val="20"/>
          <w:szCs w:val="20"/>
          <w14:textOutline w14:w="3795" w14:cap="sq" w14:cmpd="sng">
            <w14:solidFill>
              <w14:srgbClr w14:val="000000"/>
            </w14:solidFill>
            <w14:prstDash w14:val="solid"/>
            <w14:bevel/>
          </w14:textOutline>
        </w:rPr>
        <w:t>）：</w:t>
      </w:r>
      <w:bookmarkEnd w:id="63"/>
    </w:p>
    <w:p>
      <w:pPr>
        <w:pStyle w:val="5"/>
        <w:keepNext w:val="0"/>
        <w:keepLines w:val="0"/>
        <w:pageBreakBefore w:val="0"/>
        <w:widowControl/>
        <w:kinsoku w:val="0"/>
        <w:wordWrap/>
        <w:overflowPunct/>
        <w:topLinePunct w:val="0"/>
        <w:autoSpaceDE w:val="0"/>
        <w:autoSpaceDN w:val="0"/>
        <w:bidi w:val="0"/>
        <w:adjustRightInd w:val="0"/>
        <w:snapToGrid w:val="0"/>
        <w:spacing w:line="14" w:lineRule="auto"/>
        <w:ind w:left="0" w:right="0" w:firstLine="0" w:firstLineChars="0"/>
        <w:jc w:val="center"/>
        <w:textAlignment w:val="baseline"/>
        <w:rPr>
          <w:rFonts w:hint="default" w:ascii="Times New Roman" w:hAnsi="Times New Roman" w:eastAsia="宋体" w:cs="Times New Roman"/>
          <w:sz w:val="2"/>
        </w:rPr>
      </w:pPr>
      <w:r>
        <w:rPr>
          <w:rFonts w:hint="default" w:ascii="Times New Roman" w:hAnsi="Times New Roman" w:eastAsia="宋体" w:cs="Times New Roman"/>
          <w:sz w:val="2"/>
          <w:szCs w:val="2"/>
        </w:rPr>
        <w:br w:type="column"/>
      </w:r>
    </w:p>
    <w:p>
      <w:pPr>
        <w:keepNext w:val="0"/>
        <w:keepLines w:val="0"/>
        <w:pageBreakBefore w:val="0"/>
        <w:widowControl/>
        <w:kinsoku w:val="0"/>
        <w:wordWrap/>
        <w:overflowPunct/>
        <w:topLinePunct w:val="0"/>
        <w:autoSpaceDE w:val="0"/>
        <w:autoSpaceDN w:val="0"/>
        <w:bidi w:val="0"/>
        <w:adjustRightInd w:val="0"/>
        <w:snapToGrid w:val="0"/>
        <w:spacing w:before="40" w:line="194" w:lineRule="auto"/>
        <w:ind w:left="0" w:right="0" w:firstLine="0" w:firstLineChars="0"/>
        <w:jc w:val="center"/>
        <w:textAlignment w:val="baseline"/>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填表人（签字</w:t>
      </w:r>
      <w:r>
        <w:rPr>
          <w:rFonts w:hint="default" w:ascii="Times New Roman" w:hAnsi="Times New Roman" w:eastAsia="宋体" w:cs="Times New Roman"/>
          <w:spacing w:val="3"/>
          <w:sz w:val="20"/>
          <w:szCs w:val="20"/>
          <w14:textOutline w14:w="3795" w14:cap="sq" w14:cmpd="sng">
            <w14:solidFill>
              <w14:srgbClr w14:val="000000"/>
            </w14:solidFill>
            <w14:prstDash w14:val="solid"/>
            <w14:bevel/>
          </w14:textOutline>
        </w:rPr>
        <w:t>）：</w:t>
      </w:r>
      <w:r>
        <w:rPr>
          <w:rFonts w:hint="default" w:ascii="Times New Roman" w:hAnsi="Times New Roman" w:eastAsia="宋体" w:cs="Times New Roman"/>
          <w:sz w:val="20"/>
          <w:szCs w:val="20"/>
        </w:rPr>
        <w:t xml:space="preserve">                               </w:t>
      </w:r>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项目经办人（签字</w:t>
      </w:r>
      <w:r>
        <w:rPr>
          <w:rFonts w:hint="default" w:ascii="Times New Roman" w:hAnsi="Times New Roman" w:eastAsia="宋体" w:cs="Times New Roman"/>
          <w:spacing w:val="3"/>
          <w:sz w:val="20"/>
          <w:szCs w:val="20"/>
          <w14:textOutline w14:w="3795" w14:cap="sq" w14:cmpd="sng">
            <w14:solidFill>
              <w14:srgbClr w14:val="000000"/>
            </w14:solidFill>
            <w14:prstDash w14:val="solid"/>
            <w14:bevel/>
          </w14:textOutline>
        </w:rPr>
        <w:t>）：</w:t>
      </w:r>
    </w:p>
    <w:p>
      <w:pPr>
        <w:keepNext w:val="0"/>
        <w:keepLines w:val="0"/>
        <w:pageBreakBefore w:val="0"/>
        <w:widowControl/>
        <w:kinsoku w:val="0"/>
        <w:wordWrap/>
        <w:overflowPunct/>
        <w:topLinePunct w:val="0"/>
        <w:autoSpaceDE w:val="0"/>
        <w:autoSpaceDN w:val="0"/>
        <w:bidi w:val="0"/>
        <w:adjustRightInd w:val="0"/>
        <w:snapToGrid w:val="0"/>
        <w:spacing w:line="194" w:lineRule="auto"/>
        <w:ind w:left="0" w:right="0" w:firstLine="0" w:firstLineChars="0"/>
        <w:jc w:val="center"/>
        <w:textAlignment w:val="baseline"/>
        <w:rPr>
          <w:rFonts w:hint="default" w:ascii="Times New Roman" w:hAnsi="Times New Roman" w:eastAsia="宋体" w:cs="Times New Roman"/>
          <w:sz w:val="20"/>
          <w:szCs w:val="20"/>
        </w:rPr>
        <w:sectPr>
          <w:type w:val="continuous"/>
          <w:pgSz w:w="16839" w:h="11911"/>
          <w:pgMar w:top="1440" w:right="1800" w:bottom="1440" w:left="1800" w:header="0" w:footer="670" w:gutter="0"/>
          <w:pgBorders>
            <w:top w:val="none" w:sz="0" w:space="0"/>
            <w:left w:val="none" w:sz="0" w:space="0"/>
            <w:bottom w:val="none" w:sz="0" w:space="0"/>
            <w:right w:val="none" w:sz="0" w:space="0"/>
          </w:pgBorders>
          <w:pgNumType w:fmt="decimal"/>
          <w:cols w:equalWidth="0" w:num="2">
            <w:col w:w="3366" w:space="100"/>
            <w:col w:w="9772"/>
          </w:cols>
        </w:sectPr>
      </w:pPr>
    </w:p>
    <w:p>
      <w:pPr>
        <w:keepNext w:val="0"/>
        <w:keepLines w:val="0"/>
        <w:pageBreakBefore w:val="0"/>
        <w:widowControl/>
        <w:kinsoku w:val="0"/>
        <w:wordWrap/>
        <w:overflowPunct/>
        <w:topLinePunct w:val="0"/>
        <w:autoSpaceDE w:val="0"/>
        <w:autoSpaceDN w:val="0"/>
        <w:bidi w:val="0"/>
        <w:adjustRightInd w:val="0"/>
        <w:snapToGrid w:val="0"/>
        <w:spacing w:line="65" w:lineRule="exact"/>
        <w:ind w:left="0" w:right="0" w:firstLine="0" w:firstLineChars="0"/>
        <w:jc w:val="center"/>
        <w:textAlignment w:val="baseline"/>
        <w:rPr>
          <w:rFonts w:hint="default" w:ascii="Times New Roman" w:hAnsi="Times New Roman" w:eastAsia="宋体" w:cs="Times New Roman"/>
        </w:rPr>
      </w:pPr>
    </w:p>
    <w:tbl>
      <w:tblPr>
        <w:tblStyle w:val="13"/>
        <w:tblW w:w="14396" w:type="dxa"/>
        <w:tblInd w:w="-4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
        <w:gridCol w:w="336"/>
        <w:gridCol w:w="986"/>
        <w:gridCol w:w="604"/>
        <w:gridCol w:w="659"/>
        <w:gridCol w:w="87"/>
        <w:gridCol w:w="915"/>
        <w:gridCol w:w="170"/>
        <w:gridCol w:w="781"/>
        <w:gridCol w:w="459"/>
        <w:gridCol w:w="494"/>
        <w:gridCol w:w="373"/>
        <w:gridCol w:w="853"/>
        <w:gridCol w:w="1130"/>
        <w:gridCol w:w="831"/>
        <w:gridCol w:w="604"/>
        <w:gridCol w:w="1019"/>
        <w:gridCol w:w="192"/>
        <w:gridCol w:w="912"/>
        <w:gridCol w:w="210"/>
        <w:gridCol w:w="384"/>
        <w:gridCol w:w="382"/>
        <w:gridCol w:w="115"/>
        <w:gridCol w:w="680"/>
        <w:gridCol w:w="261"/>
        <w:gridCol w:w="6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 w:hRule="atLeast"/>
        </w:trPr>
        <w:tc>
          <w:tcPr>
            <w:tcW w:w="261" w:type="dxa"/>
            <w:vMerge w:val="restart"/>
            <w:tcBorders>
              <w:top w:val="single" w:color="000000" w:sz="6" w:space="0"/>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建设项目</w:t>
            </w:r>
          </w:p>
        </w:tc>
        <w:tc>
          <w:tcPr>
            <w:tcW w:w="1926" w:type="dxa"/>
            <w:gridSpan w:val="3"/>
            <w:tcBorders>
              <w:top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项目名称</w:t>
            </w:r>
          </w:p>
        </w:tc>
        <w:tc>
          <w:tcPr>
            <w:tcW w:w="2612" w:type="dxa"/>
            <w:gridSpan w:val="5"/>
            <w:tcBorders>
              <w:top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同德县河北乡生活垃圾处理厂建设项目</w:t>
            </w:r>
          </w:p>
        </w:tc>
        <w:tc>
          <w:tcPr>
            <w:tcW w:w="2179" w:type="dxa"/>
            <w:gridSpan w:val="4"/>
            <w:tcBorders>
              <w:top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项目代码</w:t>
            </w:r>
          </w:p>
        </w:tc>
        <w:tc>
          <w:tcPr>
            <w:tcW w:w="1961" w:type="dxa"/>
            <w:gridSpan w:val="2"/>
            <w:tcBorders>
              <w:top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w:t>
            </w:r>
          </w:p>
        </w:tc>
        <w:tc>
          <w:tcPr>
            <w:tcW w:w="1623" w:type="dxa"/>
            <w:gridSpan w:val="2"/>
            <w:tcBorders>
              <w:top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b/>
                <w:bCs/>
                <w:sz w:val="15"/>
                <w:szCs w:val="15"/>
              </w:rPr>
              <w:t>建设地点</w:t>
            </w:r>
          </w:p>
        </w:tc>
        <w:tc>
          <w:tcPr>
            <w:tcW w:w="3834" w:type="dxa"/>
            <w:gridSpan w:val="9"/>
            <w:tcBorders>
              <w:top w:val="single" w:color="000000" w:sz="6" w:space="0"/>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河北乡赛羊村（石藏寺）4km处诺日央宗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行业类别（分类管理名录）</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四十八、公共设施管理业</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106. 生活垃圾（含餐厨废弃物)集中处 置（生活垃圾发电除外)</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建设性质</w:t>
            </w:r>
          </w:p>
        </w:tc>
        <w:tc>
          <w:tcPr>
            <w:tcW w:w="3584"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 xml:space="preserve"> </w:t>
            </w:r>
            <w:r>
              <w:rPr>
                <w:rFonts w:hint="eastAsia"/>
                <w:sz w:val="15"/>
                <w:szCs w:val="15"/>
                <w:lang w:eastAsia="zh-CN"/>
              </w:rPr>
              <w:t>☑</w:t>
            </w:r>
            <w:r>
              <w:rPr>
                <w:rFonts w:hint="default"/>
                <w:sz w:val="15"/>
                <w:szCs w:val="15"/>
              </w:rPr>
              <w:t xml:space="preserve">新建   </w:t>
            </w:r>
            <w:r>
              <w:rPr>
                <w:rFonts w:hint="eastAsia"/>
                <w:sz w:val="15"/>
                <w:szCs w:val="15"/>
                <w:lang w:eastAsia="zh-CN"/>
              </w:rPr>
              <w:t>□</w:t>
            </w:r>
            <w:r>
              <w:rPr>
                <w:rFonts w:hint="default"/>
                <w:sz w:val="15"/>
                <w:szCs w:val="15"/>
              </w:rPr>
              <w:t xml:space="preserve">改扩建 </w:t>
            </w:r>
            <w:r>
              <w:rPr>
                <w:rFonts w:hint="eastAsia"/>
                <w:sz w:val="15"/>
                <w:szCs w:val="15"/>
                <w:lang w:eastAsia="zh-CN"/>
              </w:rPr>
              <w:t>□</w:t>
            </w:r>
            <w:r>
              <w:rPr>
                <w:rFonts w:hint="default"/>
                <w:sz w:val="15"/>
                <w:szCs w:val="15"/>
              </w:rPr>
              <w:t>技术改造</w:t>
            </w:r>
          </w:p>
        </w:tc>
        <w:tc>
          <w:tcPr>
            <w:tcW w:w="1698"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b/>
                <w:bCs/>
                <w:sz w:val="15"/>
                <w:szCs w:val="15"/>
              </w:rPr>
              <w:t>项目厂区中心经度/纬度</w:t>
            </w:r>
          </w:p>
        </w:tc>
        <w:tc>
          <w:tcPr>
            <w:tcW w:w="2136" w:type="dxa"/>
            <w:gridSpan w:val="5"/>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eastAsia"/>
                <w:sz w:val="15"/>
                <w:szCs w:val="15"/>
                <w:lang w:val="en-US" w:eastAsia="zh-CN"/>
              </w:rPr>
              <w:t>100</w:t>
            </w:r>
            <w:r>
              <w:rPr>
                <w:rFonts w:hint="default"/>
                <w:sz w:val="15"/>
                <w:szCs w:val="15"/>
              </w:rPr>
              <w:t>°</w:t>
            </w:r>
            <w:r>
              <w:rPr>
                <w:rFonts w:hint="eastAsia"/>
                <w:sz w:val="15"/>
                <w:szCs w:val="15"/>
                <w:lang w:val="en-US" w:eastAsia="zh-CN"/>
              </w:rPr>
              <w:t>48</w:t>
            </w:r>
            <w:r>
              <w:rPr>
                <w:rFonts w:hint="default"/>
                <w:sz w:val="15"/>
                <w:szCs w:val="15"/>
              </w:rPr>
              <w:t>′</w:t>
            </w:r>
            <w:r>
              <w:rPr>
                <w:rFonts w:hint="eastAsia"/>
                <w:sz w:val="15"/>
                <w:szCs w:val="15"/>
                <w:lang w:val="en-US" w:eastAsia="zh-CN"/>
              </w:rPr>
              <w:t>5.267</w:t>
            </w:r>
            <w:r>
              <w:rPr>
                <w:rFonts w:hint="default"/>
                <w:sz w:val="15"/>
                <w:szCs w:val="15"/>
              </w:rPr>
              <w:t>″</w:t>
            </w:r>
            <w:r>
              <w:rPr>
                <w:rFonts w:hint="eastAsia"/>
                <w:sz w:val="15"/>
                <w:szCs w:val="15"/>
                <w:lang w:eastAsia="zh-CN"/>
              </w:rPr>
              <w:t>，</w:t>
            </w:r>
            <w:r>
              <w:rPr>
                <w:rFonts w:hint="eastAsia"/>
                <w:sz w:val="15"/>
                <w:szCs w:val="15"/>
                <w:lang w:val="en-US" w:eastAsia="zh-CN"/>
              </w:rPr>
              <w:t>,34</w:t>
            </w:r>
            <w:r>
              <w:rPr>
                <w:rFonts w:hint="default"/>
                <w:sz w:val="15"/>
                <w:szCs w:val="15"/>
              </w:rPr>
              <w:t>°</w:t>
            </w:r>
            <w:r>
              <w:rPr>
                <w:rFonts w:hint="eastAsia"/>
                <w:sz w:val="15"/>
                <w:szCs w:val="15"/>
                <w:lang w:val="en-US" w:eastAsia="zh-CN"/>
              </w:rPr>
              <w:t>43</w:t>
            </w:r>
            <w:r>
              <w:rPr>
                <w:rFonts w:hint="default"/>
                <w:sz w:val="15"/>
                <w:szCs w:val="15"/>
              </w:rPr>
              <w:t>′</w:t>
            </w:r>
            <w:r>
              <w:rPr>
                <w:rFonts w:hint="eastAsia"/>
                <w:sz w:val="15"/>
                <w:szCs w:val="15"/>
                <w:lang w:val="en-US" w:eastAsia="zh-CN"/>
              </w:rPr>
              <w:t>59.901</w:t>
            </w:r>
            <w:r>
              <w:rPr>
                <w:rFonts w:hint="default"/>
                <w:sz w:val="15"/>
                <w:szCs w:val="15"/>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设计生产能力</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日处理</w:t>
            </w:r>
            <w:r>
              <w:rPr>
                <w:rFonts w:hint="eastAsia"/>
                <w:sz w:val="15"/>
                <w:szCs w:val="15"/>
                <w:lang w:val="en-US" w:eastAsia="zh-CN"/>
              </w:rPr>
              <w:t>1</w:t>
            </w:r>
            <w:r>
              <w:rPr>
                <w:rFonts w:hint="default"/>
                <w:sz w:val="15"/>
                <w:szCs w:val="15"/>
              </w:rPr>
              <w:t>t/d</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实际生产能力</w:t>
            </w:r>
          </w:p>
        </w:tc>
        <w:tc>
          <w:tcPr>
            <w:tcW w:w="196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日处理</w:t>
            </w:r>
            <w:r>
              <w:rPr>
                <w:rFonts w:hint="eastAsia"/>
                <w:sz w:val="15"/>
                <w:szCs w:val="15"/>
                <w:lang w:val="en-US" w:eastAsia="zh-CN"/>
              </w:rPr>
              <w:t>0.</w:t>
            </w:r>
            <w:r>
              <w:rPr>
                <w:rFonts w:hint="default"/>
                <w:sz w:val="15"/>
                <w:szCs w:val="15"/>
              </w:rPr>
              <w:t>5t/d</w:t>
            </w:r>
          </w:p>
        </w:tc>
        <w:tc>
          <w:tcPr>
            <w:tcW w:w="1623"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b/>
                <w:bCs/>
                <w:sz w:val="15"/>
                <w:szCs w:val="15"/>
              </w:rPr>
              <w:t>环评单位</w:t>
            </w:r>
          </w:p>
        </w:tc>
        <w:tc>
          <w:tcPr>
            <w:tcW w:w="3834" w:type="dxa"/>
            <w:gridSpan w:val="9"/>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eastAsia"/>
                <w:sz w:val="15"/>
                <w:szCs w:val="15"/>
                <w:lang w:val="en-US" w:eastAsia="zh-CN"/>
              </w:rPr>
              <w:t>沈阳环境科学研究院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环评文件审批机关</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default"/>
                <w:sz w:val="15"/>
                <w:szCs w:val="15"/>
              </w:rPr>
              <w:t>原</w:t>
            </w:r>
            <w:r>
              <w:rPr>
                <w:rFonts w:hint="eastAsia"/>
                <w:sz w:val="15"/>
                <w:szCs w:val="15"/>
                <w:lang w:val="en-US" w:eastAsia="zh-CN"/>
              </w:rPr>
              <w:t>海南藏族自治州环境保护和林业局</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审批文号</w:t>
            </w:r>
          </w:p>
        </w:tc>
        <w:tc>
          <w:tcPr>
            <w:tcW w:w="196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eastAsia"/>
                <w:sz w:val="15"/>
                <w:szCs w:val="15"/>
                <w:lang w:val="en-US" w:eastAsia="zh-CN"/>
              </w:rPr>
              <w:t>南环林</w:t>
            </w:r>
            <w:r>
              <w:rPr>
                <w:rFonts w:hint="default"/>
                <w:sz w:val="15"/>
                <w:szCs w:val="15"/>
              </w:rPr>
              <w:t>[201</w:t>
            </w:r>
            <w:r>
              <w:rPr>
                <w:rFonts w:hint="eastAsia"/>
                <w:sz w:val="15"/>
                <w:szCs w:val="15"/>
                <w:lang w:val="en-US" w:eastAsia="zh-CN"/>
              </w:rPr>
              <w:t>0</w:t>
            </w:r>
            <w:r>
              <w:rPr>
                <w:rFonts w:hint="default"/>
                <w:sz w:val="15"/>
                <w:szCs w:val="15"/>
              </w:rPr>
              <w:t>]</w:t>
            </w:r>
            <w:r>
              <w:rPr>
                <w:rFonts w:hint="eastAsia"/>
                <w:sz w:val="15"/>
                <w:szCs w:val="15"/>
                <w:lang w:val="en-US" w:eastAsia="zh-CN"/>
              </w:rPr>
              <w:t>46</w:t>
            </w:r>
            <w:r>
              <w:rPr>
                <w:rFonts w:hint="default"/>
                <w:sz w:val="15"/>
                <w:szCs w:val="15"/>
              </w:rPr>
              <w:t>号</w:t>
            </w:r>
          </w:p>
        </w:tc>
        <w:tc>
          <w:tcPr>
            <w:tcW w:w="1623"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环评文件类型</w:t>
            </w:r>
          </w:p>
        </w:tc>
        <w:tc>
          <w:tcPr>
            <w:tcW w:w="3834" w:type="dxa"/>
            <w:gridSpan w:val="9"/>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报告书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开工日期</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eastAsia"/>
                <w:sz w:val="15"/>
                <w:szCs w:val="15"/>
                <w:lang w:val="en-US" w:eastAsia="zh-CN"/>
              </w:rPr>
              <w:t>2010</w:t>
            </w:r>
            <w:r>
              <w:rPr>
                <w:rFonts w:hint="default"/>
                <w:sz w:val="15"/>
                <w:szCs w:val="15"/>
              </w:rPr>
              <w:t>年</w:t>
            </w:r>
            <w:r>
              <w:rPr>
                <w:rFonts w:hint="eastAsia"/>
                <w:sz w:val="15"/>
                <w:szCs w:val="15"/>
                <w:lang w:val="en-US" w:eastAsia="zh-CN"/>
              </w:rPr>
              <w:t>5</w:t>
            </w:r>
            <w:r>
              <w:rPr>
                <w:rFonts w:hint="default"/>
                <w:sz w:val="15"/>
                <w:szCs w:val="15"/>
              </w:rPr>
              <w:t>月</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竣工日期</w:t>
            </w:r>
          </w:p>
        </w:tc>
        <w:tc>
          <w:tcPr>
            <w:tcW w:w="196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eastAsia"/>
                <w:sz w:val="15"/>
                <w:szCs w:val="15"/>
                <w:lang w:val="en-US" w:eastAsia="zh-CN"/>
              </w:rPr>
              <w:t>2014</w:t>
            </w:r>
            <w:r>
              <w:rPr>
                <w:rFonts w:hint="default"/>
                <w:sz w:val="15"/>
                <w:szCs w:val="15"/>
              </w:rPr>
              <w:t>年</w:t>
            </w:r>
            <w:r>
              <w:rPr>
                <w:rFonts w:hint="eastAsia"/>
                <w:sz w:val="15"/>
                <w:szCs w:val="15"/>
                <w:lang w:val="en-US" w:eastAsia="zh-CN"/>
              </w:rPr>
              <w:t>10</w:t>
            </w:r>
            <w:r>
              <w:rPr>
                <w:rFonts w:hint="default"/>
                <w:sz w:val="15"/>
                <w:szCs w:val="15"/>
              </w:rPr>
              <w:t>月</w:t>
            </w:r>
          </w:p>
        </w:tc>
        <w:tc>
          <w:tcPr>
            <w:tcW w:w="1623"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排污许可登记时间</w:t>
            </w:r>
          </w:p>
        </w:tc>
        <w:tc>
          <w:tcPr>
            <w:tcW w:w="3834" w:type="dxa"/>
            <w:gridSpan w:val="9"/>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eastAsia"/>
                <w:sz w:val="15"/>
                <w:szCs w:val="15"/>
                <w:lang w:val="en-US" w:eastAsia="zh-CN"/>
              </w:rPr>
              <w:t>2023.6.29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环保设施设计单位</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环保设施施工单位</w:t>
            </w:r>
          </w:p>
        </w:tc>
        <w:tc>
          <w:tcPr>
            <w:tcW w:w="196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15"/>
                <w:szCs w:val="15"/>
                <w:lang w:val="en-US" w:eastAsia="zh-CN"/>
              </w:rPr>
            </w:pPr>
            <w:r>
              <w:rPr>
                <w:rFonts w:hint="eastAsia"/>
                <w:sz w:val="15"/>
                <w:szCs w:val="15"/>
                <w:lang w:val="en-US" w:eastAsia="zh-CN"/>
              </w:rPr>
              <w:t>/</w:t>
            </w:r>
          </w:p>
        </w:tc>
        <w:tc>
          <w:tcPr>
            <w:tcW w:w="1623"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本工程排污许可证编号</w:t>
            </w:r>
          </w:p>
        </w:tc>
        <w:tc>
          <w:tcPr>
            <w:tcW w:w="3834" w:type="dxa"/>
            <w:gridSpan w:val="9"/>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116325225649098342001V</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验收单位</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eastAsia"/>
                <w:sz w:val="15"/>
                <w:szCs w:val="15"/>
                <w:lang w:val="en-US" w:eastAsia="zh-CN"/>
              </w:rPr>
              <w:t>同德</w:t>
            </w:r>
            <w:r>
              <w:rPr>
                <w:rFonts w:hint="default"/>
                <w:sz w:val="15"/>
                <w:szCs w:val="15"/>
              </w:rPr>
              <w:t>县住房和城乡建设局</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环保设施监测单位</w:t>
            </w:r>
          </w:p>
        </w:tc>
        <w:tc>
          <w:tcPr>
            <w:tcW w:w="196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15"/>
                <w:szCs w:val="15"/>
                <w:lang w:eastAsia="zh-CN"/>
              </w:rPr>
            </w:pPr>
            <w:r>
              <w:rPr>
                <w:rFonts w:hint="eastAsia"/>
                <w:sz w:val="15"/>
                <w:szCs w:val="15"/>
                <w:lang w:val="en-US" w:eastAsia="zh-CN"/>
              </w:rPr>
              <w:t>/</w:t>
            </w:r>
          </w:p>
        </w:tc>
        <w:tc>
          <w:tcPr>
            <w:tcW w:w="1623"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验收监测时工况</w:t>
            </w:r>
          </w:p>
        </w:tc>
        <w:tc>
          <w:tcPr>
            <w:tcW w:w="3834" w:type="dxa"/>
            <w:gridSpan w:val="9"/>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投资总概算（万元）</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eastAsia"/>
                <w:sz w:val="15"/>
                <w:szCs w:val="15"/>
                <w:lang w:val="en-US" w:eastAsia="zh-CN"/>
              </w:rPr>
              <w:t>88</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环保投资总概算（万元）</w:t>
            </w:r>
          </w:p>
        </w:tc>
        <w:tc>
          <w:tcPr>
            <w:tcW w:w="196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eastAsia"/>
                <w:sz w:val="15"/>
                <w:szCs w:val="15"/>
                <w:lang w:val="en-US" w:eastAsia="zh-CN"/>
              </w:rPr>
              <w:t>/</w:t>
            </w:r>
          </w:p>
        </w:tc>
        <w:tc>
          <w:tcPr>
            <w:tcW w:w="1623"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所占比例（%）</w:t>
            </w:r>
          </w:p>
        </w:tc>
        <w:tc>
          <w:tcPr>
            <w:tcW w:w="3834" w:type="dxa"/>
            <w:gridSpan w:val="9"/>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eastAsia" w:eastAsia="宋体"/>
                <w:sz w:val="15"/>
                <w:szCs w:val="15"/>
                <w:lang w:eastAsia="zh-CN"/>
              </w:rPr>
            </w:pPr>
            <w:r>
              <w:rPr>
                <w:rFonts w:hint="eastAsia"/>
                <w:sz w:val="15"/>
                <w:szCs w:val="15"/>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实际总投资</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eastAsia"/>
                <w:sz w:val="15"/>
                <w:szCs w:val="15"/>
                <w:lang w:val="en-US" w:eastAsia="zh-CN"/>
              </w:rPr>
              <w:t>88</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实际环保投资（万元）</w:t>
            </w:r>
          </w:p>
        </w:tc>
        <w:tc>
          <w:tcPr>
            <w:tcW w:w="3584"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eastAsia"/>
                <w:sz w:val="15"/>
                <w:szCs w:val="15"/>
                <w:lang w:val="en-US" w:eastAsia="zh-CN"/>
              </w:rPr>
              <w:t>4.5</w:t>
            </w:r>
          </w:p>
        </w:tc>
        <w:tc>
          <w:tcPr>
            <w:tcW w:w="1314"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所占比例（%）</w:t>
            </w:r>
          </w:p>
        </w:tc>
        <w:tc>
          <w:tcPr>
            <w:tcW w:w="2520" w:type="dxa"/>
            <w:gridSpan w:val="6"/>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eastAsia"/>
                <w:sz w:val="15"/>
                <w:szCs w:val="15"/>
                <w:lang w:val="en-US" w:eastAsia="zh-CN"/>
              </w:rPr>
              <w:t>5.1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261" w:type="dxa"/>
            <w:vMerge w:val="continue"/>
            <w:tcBorders>
              <w:top w:val="nil"/>
              <w:left w:val="single" w:color="000000" w:sz="6" w:space="0"/>
              <w:bottom w:val="nil"/>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废水治理（万元）</w:t>
            </w:r>
          </w:p>
        </w:tc>
        <w:tc>
          <w:tcPr>
            <w:tcW w:w="746"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废气治理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b/>
                <w:bCs/>
                <w:sz w:val="15"/>
                <w:szCs w:val="15"/>
              </w:rPr>
              <w:t>（万元）</w:t>
            </w:r>
          </w:p>
        </w:tc>
        <w:tc>
          <w:tcPr>
            <w:tcW w:w="95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53"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噪声治理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b/>
                <w:bCs/>
                <w:sz w:val="15"/>
                <w:szCs w:val="15"/>
              </w:rPr>
              <w:t>（万元）</w:t>
            </w:r>
          </w:p>
        </w:tc>
        <w:tc>
          <w:tcPr>
            <w:tcW w:w="1226"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固体废物治理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b/>
                <w:bCs/>
                <w:sz w:val="15"/>
                <w:szCs w:val="15"/>
              </w:rPr>
              <w:t>（万元）</w:t>
            </w:r>
          </w:p>
        </w:tc>
        <w:tc>
          <w:tcPr>
            <w:tcW w:w="2454"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314"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 xml:space="preserve">绿化及生态 </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（万 元）</w:t>
            </w:r>
          </w:p>
        </w:tc>
        <w:tc>
          <w:tcPr>
            <w:tcW w:w="766"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79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其他</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b/>
                <w:bCs/>
                <w:sz w:val="15"/>
                <w:szCs w:val="15"/>
              </w:rPr>
              <w:t>（万元）</w:t>
            </w:r>
          </w:p>
        </w:tc>
        <w:tc>
          <w:tcPr>
            <w:tcW w:w="959" w:type="dxa"/>
            <w:gridSpan w:val="2"/>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261" w:type="dxa"/>
            <w:vMerge w:val="continue"/>
            <w:tcBorders>
              <w:top w:val="nil"/>
              <w:left w:val="single" w:color="000000" w:sz="6" w:space="0"/>
            </w:tcBorders>
            <w:textDirection w:val="tbRlV"/>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926"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新增废水处理设施能力</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新增废气处理设施能力</w:t>
            </w:r>
          </w:p>
        </w:tc>
        <w:tc>
          <w:tcPr>
            <w:tcW w:w="3584"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w:t>
            </w:r>
          </w:p>
        </w:tc>
        <w:tc>
          <w:tcPr>
            <w:tcW w:w="1314"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年平均工作时</w:t>
            </w:r>
          </w:p>
        </w:tc>
        <w:tc>
          <w:tcPr>
            <w:tcW w:w="2520" w:type="dxa"/>
            <w:gridSpan w:val="6"/>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default"/>
                <w:sz w:val="15"/>
                <w:szCs w:val="15"/>
              </w:rPr>
              <w:t>365d</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2187" w:type="dxa"/>
            <w:gridSpan w:val="4"/>
            <w:tcBorders>
              <w:lef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运营单位</w:t>
            </w:r>
          </w:p>
        </w:tc>
        <w:tc>
          <w:tcPr>
            <w:tcW w:w="2612" w:type="dxa"/>
            <w:gridSpan w:val="5"/>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r>
              <w:rPr>
                <w:rFonts w:hint="eastAsia"/>
                <w:sz w:val="15"/>
                <w:szCs w:val="15"/>
                <w:lang w:val="en-US" w:eastAsia="zh-CN"/>
              </w:rPr>
              <w:t>同德县</w:t>
            </w:r>
            <w:r>
              <w:rPr>
                <w:rFonts w:hint="default"/>
                <w:sz w:val="15"/>
                <w:szCs w:val="15"/>
              </w:rPr>
              <w:t>住房和城乡建设局</w:t>
            </w:r>
          </w:p>
        </w:tc>
        <w:tc>
          <w:tcPr>
            <w:tcW w:w="2179"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运营单位社会统一信用代码</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 xml:space="preserve"> （或组织机构代码）</w:t>
            </w:r>
          </w:p>
        </w:tc>
        <w:tc>
          <w:tcPr>
            <w:tcW w:w="3584"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314"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验收时间</w:t>
            </w:r>
          </w:p>
        </w:tc>
        <w:tc>
          <w:tcPr>
            <w:tcW w:w="2520" w:type="dxa"/>
            <w:gridSpan w:val="6"/>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r>
              <w:rPr>
                <w:rFonts w:hint="eastAsia"/>
                <w:sz w:val="15"/>
                <w:szCs w:val="15"/>
                <w:lang w:val="en-US" w:eastAsia="zh-CN"/>
              </w:rPr>
              <w:t>2023.9-2024.1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597" w:type="dxa"/>
            <w:gridSpan w:val="2"/>
            <w:vMerge w:val="restart"/>
            <w:tcBorders>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污染</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物排</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放达</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标与</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总量</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控制</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（工</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业建</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设项</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目详</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填）</w:t>
            </w: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污染物</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原有排</w:t>
            </w:r>
          </w:p>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放量(1)</w:t>
            </w: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本期工程实际排放浓度(2)</w:t>
            </w: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本期工程允许排放浓度 (3)</w:t>
            </w: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本期工程产生量(4)</w:t>
            </w: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本期工程自身削减量(5)</w:t>
            </w: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本期工程实际排放量(6)</w:t>
            </w: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本期工程核定排放总量(7)</w:t>
            </w: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本期工程“以新带老”削减量(8)</w:t>
            </w: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全厂实际排放总量(9)</w:t>
            </w: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全厂核定排放总量(10)</w:t>
            </w: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区域平衡替代削减量(11)</w:t>
            </w: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排放增减量(12)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废水</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化学需氧量</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氨氮</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石油类</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废气</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二氧化硫</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烟（粉）尘</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氮氧化物</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159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工业固体废物</w:t>
            </w: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eastAsia="宋体"/>
                <w:sz w:val="15"/>
                <w:szCs w:val="15"/>
                <w:lang w:val="en-US" w:eastAsia="zh-CN"/>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p>
        </w:tc>
        <w:tc>
          <w:tcPr>
            <w:tcW w:w="986"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b/>
                <w:bCs/>
                <w:sz w:val="15"/>
                <w:szCs w:val="15"/>
              </w:rPr>
            </w:pPr>
            <w:r>
              <w:rPr>
                <w:rFonts w:hint="default"/>
                <w:b/>
                <w:bCs/>
                <w:sz w:val="15"/>
                <w:szCs w:val="15"/>
              </w:rPr>
              <w:t>与 项 目 有 关 的 其 他 特 征 污染物</w:t>
            </w:r>
          </w:p>
        </w:tc>
        <w:tc>
          <w:tcPr>
            <w:tcW w:w="60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trPr>
        <w:tc>
          <w:tcPr>
            <w:tcW w:w="597" w:type="dxa"/>
            <w:gridSpan w:val="2"/>
            <w:vMerge w:val="continue"/>
            <w:tcBorders>
              <w:top w:val="nil"/>
              <w:left w:val="single" w:color="000000" w:sz="6" w:space="0"/>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86" w:type="dxa"/>
            <w:vMerge w:val="continue"/>
            <w:tcBorders>
              <w:top w:val="nil"/>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04"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59"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72"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40"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853"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13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43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21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1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1091"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94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c>
          <w:tcPr>
            <w:tcW w:w="698" w:type="dxa"/>
            <w:tcBorders>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jc w:val="center"/>
              <w:textAlignment w:val="baseline"/>
              <w:rPr>
                <w:rFonts w:hint="default"/>
                <w:sz w:val="15"/>
                <w:szCs w:val="15"/>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 w:hRule="atLeast"/>
        </w:trPr>
        <w:tc>
          <w:tcPr>
            <w:tcW w:w="597" w:type="dxa"/>
            <w:gridSpan w:val="2"/>
            <w:vMerge w:val="continue"/>
            <w:tcBorders>
              <w:top w:val="nil"/>
              <w:left w:val="single" w:color="000000" w:sz="6" w:space="0"/>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986" w:type="dxa"/>
            <w:vMerge w:val="continue"/>
            <w:tcBorders>
              <w:top w:val="nil"/>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604" w:type="dxa"/>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659" w:type="dxa"/>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1172" w:type="dxa"/>
            <w:gridSpan w:val="3"/>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1240" w:type="dxa"/>
            <w:gridSpan w:val="2"/>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867" w:type="dxa"/>
            <w:gridSpan w:val="2"/>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853" w:type="dxa"/>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1130" w:type="dxa"/>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1435" w:type="dxa"/>
            <w:gridSpan w:val="2"/>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1211" w:type="dxa"/>
            <w:gridSpan w:val="2"/>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912" w:type="dxa"/>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1091" w:type="dxa"/>
            <w:gridSpan w:val="4"/>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941" w:type="dxa"/>
            <w:gridSpan w:val="2"/>
            <w:tcBorders>
              <w:bottom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c>
          <w:tcPr>
            <w:tcW w:w="698" w:type="dxa"/>
            <w:tcBorders>
              <w:bottom w:val="single" w:color="000000" w:sz="6" w:space="0"/>
              <w:right w:val="single" w:color="000000" w:sz="6"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24" w:leftChars="10" w:right="24" w:rightChars="10" w:firstLine="0" w:firstLineChars="0"/>
              <w:textAlignment w:val="baseline"/>
              <w:rPr>
                <w:rFonts w:hint="default"/>
                <w:sz w:val="15"/>
                <w:szCs w:val="15"/>
              </w:rPr>
            </w:pPr>
          </w:p>
        </w:tc>
      </w:tr>
    </w:tbl>
    <w:p>
      <w:pPr>
        <w:keepNext w:val="0"/>
        <w:keepLines w:val="0"/>
        <w:pageBreakBefore w:val="0"/>
        <w:widowControl/>
        <w:kinsoku w:val="0"/>
        <w:wordWrap/>
        <w:overflowPunct/>
        <w:topLinePunct w:val="0"/>
        <w:autoSpaceDE w:val="0"/>
        <w:autoSpaceDN w:val="0"/>
        <w:bidi w:val="0"/>
        <w:adjustRightInd w:val="0"/>
        <w:snapToGrid w:val="0"/>
        <w:spacing w:before="47" w:line="287" w:lineRule="auto"/>
        <w:ind w:left="0" w:right="0" w:firstLine="0" w:firstLineChars="0"/>
        <w:jc w:val="center"/>
        <w:textAlignment w:val="baseline"/>
        <w:rPr>
          <w:rFonts w:hint="default" w:ascii="Times New Roman" w:hAnsi="Times New Roman" w:eastAsia="宋体" w:cs="Times New Roman"/>
          <w:sz w:val="14"/>
          <w:szCs w:val="14"/>
        </w:rPr>
        <w:sectPr>
          <w:type w:val="continuous"/>
          <w:pgSz w:w="16839" w:h="11911"/>
          <w:pgMar w:top="1440" w:right="1800" w:bottom="1440" w:left="1800" w:header="0" w:footer="670" w:gutter="0"/>
          <w:pgBorders>
            <w:top w:val="none" w:sz="0" w:space="0"/>
            <w:left w:val="none" w:sz="0" w:space="0"/>
            <w:bottom w:val="none" w:sz="0" w:space="0"/>
            <w:right w:val="none" w:sz="0" w:space="0"/>
          </w:pgBorders>
          <w:pgNumType w:fmt="decimal"/>
          <w:cols w:equalWidth="0" w:num="1">
            <w:col w:w="14679"/>
          </w:cols>
        </w:sectPr>
      </w:pPr>
      <w:r>
        <w:rPr>
          <w:rFonts w:hint="default" w:ascii="Times New Roman" w:hAnsi="Times New Roman" w:eastAsia="宋体" w:cs="Times New Roman"/>
          <w:spacing w:val="5"/>
          <w:sz w:val="14"/>
          <w:szCs w:val="14"/>
          <w14:textOutline w14:w="2705" w14:cap="sq" w14:cmpd="sng">
            <w14:solidFill>
              <w14:srgbClr w14:val="000000"/>
            </w14:solidFill>
            <w14:prstDash w14:val="solid"/>
            <w14:bevel/>
          </w14:textOutline>
        </w:rPr>
        <w:t>注</w:t>
      </w:r>
      <w:r>
        <w:rPr>
          <w:rFonts w:hint="default" w:ascii="Times New Roman" w:hAnsi="Times New Roman" w:eastAsia="宋体" w:cs="Times New Roman"/>
          <w:spacing w:val="5"/>
          <w:sz w:val="14"/>
          <w:szCs w:val="14"/>
        </w:rPr>
        <w:t>：</w:t>
      </w:r>
      <w:r>
        <w:rPr>
          <w:rFonts w:hint="default" w:ascii="Times New Roman" w:hAnsi="Times New Roman" w:eastAsia="宋体" w:cs="Times New Roman"/>
          <w:spacing w:val="-38"/>
          <w:sz w:val="14"/>
          <w:szCs w:val="14"/>
        </w:rPr>
        <w:t xml:space="preserve"> </w:t>
      </w:r>
      <w:r>
        <w:rPr>
          <w:rFonts w:hint="default" w:ascii="Times New Roman" w:hAnsi="Times New Roman" w:eastAsia="宋体" w:cs="Times New Roman"/>
          <w:spacing w:val="5"/>
          <w:sz w:val="14"/>
          <w:szCs w:val="14"/>
        </w:rPr>
        <w:t>1</w:t>
      </w:r>
      <w:r>
        <w:rPr>
          <w:rFonts w:hint="default" w:ascii="Times New Roman" w:hAnsi="Times New Roman" w:eastAsia="宋体" w:cs="Times New Roman"/>
          <w:spacing w:val="-17"/>
          <w:sz w:val="14"/>
          <w:szCs w:val="14"/>
        </w:rPr>
        <w:t xml:space="preserve"> </w:t>
      </w:r>
      <w:r>
        <w:rPr>
          <w:rFonts w:hint="default" w:ascii="Times New Roman" w:hAnsi="Times New Roman" w:eastAsia="宋体" w:cs="Times New Roman"/>
          <w:spacing w:val="5"/>
          <w:sz w:val="14"/>
          <w:szCs w:val="14"/>
        </w:rPr>
        <w:t>、排放增减量</w:t>
      </w:r>
      <w:r>
        <w:rPr>
          <w:rFonts w:hint="default" w:ascii="Times New Roman" w:hAnsi="Times New Roman" w:eastAsia="宋体" w:cs="Times New Roman"/>
          <w:spacing w:val="2"/>
          <w:sz w:val="14"/>
          <w:szCs w:val="14"/>
        </w:rPr>
        <w:t>：（</w:t>
      </w:r>
      <w:r>
        <w:rPr>
          <w:rFonts w:hint="default" w:ascii="Times New Roman" w:hAnsi="Times New Roman" w:eastAsia="宋体" w:cs="Times New Roman"/>
          <w:spacing w:val="5"/>
          <w:sz w:val="14"/>
          <w:szCs w:val="14"/>
        </w:rPr>
        <w:t>+</w:t>
      </w:r>
      <w:r>
        <w:rPr>
          <w:rFonts w:hint="default" w:ascii="Times New Roman" w:hAnsi="Times New Roman" w:eastAsia="宋体" w:cs="Times New Roman"/>
          <w:spacing w:val="-13"/>
          <w:sz w:val="14"/>
          <w:szCs w:val="14"/>
        </w:rPr>
        <w:t xml:space="preserve"> </w:t>
      </w:r>
      <w:r>
        <w:rPr>
          <w:rFonts w:hint="default" w:ascii="Times New Roman" w:hAnsi="Times New Roman" w:eastAsia="宋体" w:cs="Times New Roman"/>
          <w:spacing w:val="5"/>
          <w:sz w:val="14"/>
          <w:szCs w:val="14"/>
        </w:rPr>
        <w:t>）表示增加</w:t>
      </w:r>
      <w:r>
        <w:rPr>
          <w:rFonts w:hint="default" w:ascii="Times New Roman" w:hAnsi="Times New Roman" w:eastAsia="宋体" w:cs="Times New Roman"/>
          <w:spacing w:val="2"/>
          <w:sz w:val="14"/>
          <w:szCs w:val="14"/>
        </w:rPr>
        <w:t>，（</w:t>
      </w:r>
      <w:r>
        <w:rPr>
          <w:rFonts w:hint="default" w:ascii="Times New Roman" w:hAnsi="Times New Roman" w:eastAsia="宋体" w:cs="Times New Roman"/>
          <w:spacing w:val="5"/>
          <w:sz w:val="14"/>
          <w:szCs w:val="14"/>
        </w:rPr>
        <w:t>-</w:t>
      </w:r>
      <w:r>
        <w:rPr>
          <w:rFonts w:hint="default" w:ascii="Times New Roman" w:hAnsi="Times New Roman" w:eastAsia="宋体" w:cs="Times New Roman"/>
          <w:spacing w:val="-17"/>
          <w:sz w:val="14"/>
          <w:szCs w:val="14"/>
        </w:rPr>
        <w:t xml:space="preserve"> </w:t>
      </w:r>
      <w:r>
        <w:rPr>
          <w:rFonts w:hint="default" w:ascii="Times New Roman" w:hAnsi="Times New Roman" w:eastAsia="宋体" w:cs="Times New Roman"/>
          <w:spacing w:val="5"/>
          <w:sz w:val="14"/>
          <w:szCs w:val="14"/>
        </w:rPr>
        <w:t>）表示减少。2、(</w:t>
      </w:r>
      <w:r>
        <w:rPr>
          <w:rFonts w:hint="default" w:ascii="Times New Roman" w:hAnsi="Times New Roman" w:eastAsia="宋体" w:cs="Times New Roman"/>
          <w:spacing w:val="-19"/>
          <w:sz w:val="14"/>
          <w:szCs w:val="14"/>
        </w:rPr>
        <w:t xml:space="preserve"> </w:t>
      </w:r>
      <w:r>
        <w:rPr>
          <w:rFonts w:hint="default" w:ascii="Times New Roman" w:hAnsi="Times New Roman" w:eastAsia="宋体" w:cs="Times New Roman"/>
          <w:spacing w:val="5"/>
          <w:sz w:val="14"/>
          <w:szCs w:val="14"/>
        </w:rPr>
        <w:t>12)=(6)-(8</w:t>
      </w:r>
      <w:r>
        <w:rPr>
          <w:rFonts w:hint="default" w:ascii="Times New Roman" w:hAnsi="Times New Roman" w:eastAsia="宋体" w:cs="Times New Roman"/>
          <w:spacing w:val="4"/>
          <w:sz w:val="14"/>
          <w:szCs w:val="14"/>
        </w:rPr>
        <w:t>)-(</w:t>
      </w:r>
      <w:r>
        <w:rPr>
          <w:rFonts w:hint="default" w:ascii="Times New Roman" w:hAnsi="Times New Roman" w:eastAsia="宋体" w:cs="Times New Roman"/>
          <w:spacing w:val="-20"/>
          <w:sz w:val="14"/>
          <w:szCs w:val="14"/>
        </w:rPr>
        <w:t xml:space="preserve"> </w:t>
      </w:r>
      <w:r>
        <w:rPr>
          <w:rFonts w:hint="default" w:ascii="Times New Roman" w:hAnsi="Times New Roman" w:eastAsia="宋体" w:cs="Times New Roman"/>
          <w:spacing w:val="4"/>
          <w:sz w:val="14"/>
          <w:szCs w:val="14"/>
        </w:rPr>
        <w:t>11)</w:t>
      </w:r>
      <w:r>
        <w:rPr>
          <w:rFonts w:hint="default" w:ascii="Times New Roman" w:hAnsi="Times New Roman" w:eastAsia="宋体" w:cs="Times New Roman"/>
          <w:spacing w:val="2"/>
          <w:sz w:val="14"/>
          <w:szCs w:val="14"/>
        </w:rPr>
        <w:t>，（</w:t>
      </w:r>
      <w:r>
        <w:rPr>
          <w:rFonts w:hint="default" w:ascii="Times New Roman" w:hAnsi="Times New Roman" w:eastAsia="宋体" w:cs="Times New Roman"/>
          <w:spacing w:val="4"/>
          <w:sz w:val="14"/>
          <w:szCs w:val="14"/>
        </w:rPr>
        <w:t>9）= (4)-(5)-(8)- (</w:t>
      </w:r>
      <w:r>
        <w:rPr>
          <w:rFonts w:hint="default" w:ascii="Times New Roman" w:hAnsi="Times New Roman" w:eastAsia="宋体" w:cs="Times New Roman"/>
          <w:spacing w:val="-19"/>
          <w:sz w:val="14"/>
          <w:szCs w:val="14"/>
        </w:rPr>
        <w:t xml:space="preserve"> </w:t>
      </w:r>
      <w:r>
        <w:rPr>
          <w:rFonts w:hint="default" w:ascii="Times New Roman" w:hAnsi="Times New Roman" w:eastAsia="宋体" w:cs="Times New Roman"/>
          <w:spacing w:val="4"/>
          <w:sz w:val="14"/>
          <w:szCs w:val="14"/>
        </w:rPr>
        <w:t>11) +（1）。3、计量单位：废水排放量——万吨/年；废气排放量——万标立方米/年；工业固体废物排放量——</w:t>
      </w:r>
      <w:r>
        <w:rPr>
          <w:rFonts w:hint="default" w:ascii="Times New Roman" w:hAnsi="Times New Roman" w:eastAsia="宋体" w:cs="Times New Roman"/>
          <w:spacing w:val="-25"/>
          <w:sz w:val="14"/>
          <w:szCs w:val="14"/>
        </w:rPr>
        <w:t xml:space="preserve"> </w:t>
      </w:r>
      <w:r>
        <w:rPr>
          <w:rFonts w:hint="default" w:ascii="Times New Roman" w:hAnsi="Times New Roman" w:eastAsia="宋体" w:cs="Times New Roman"/>
          <w:spacing w:val="4"/>
          <w:sz w:val="14"/>
          <w:szCs w:val="14"/>
        </w:rPr>
        <w:t>万吨/年；水污</w:t>
      </w:r>
      <w:r>
        <w:rPr>
          <w:rFonts w:hint="default" w:ascii="Times New Roman" w:hAnsi="Times New Roman" w:eastAsia="宋体" w:cs="Times New Roman"/>
          <w:sz w:val="14"/>
          <w:szCs w:val="14"/>
        </w:rPr>
        <w:t xml:space="preserve"> </w:t>
      </w:r>
      <w:r>
        <w:rPr>
          <w:rFonts w:hint="default" w:ascii="Times New Roman" w:hAnsi="Times New Roman" w:eastAsia="宋体" w:cs="Times New Roman"/>
          <w:spacing w:val="8"/>
          <w:sz w:val="14"/>
          <w:szCs w:val="14"/>
        </w:rPr>
        <w:t>染物排放浓度——毫克</w:t>
      </w:r>
      <w:bookmarkStart w:id="64" w:name="_GoBack"/>
      <w:bookmarkEnd w:id="64"/>
    </w:p>
    <w:p>
      <w:pPr>
        <w:pStyle w:val="2"/>
        <w:rPr>
          <w:rFonts w:hint="eastAsia"/>
          <w:lang w:eastAsia="zh-CN"/>
        </w:rPr>
      </w:pPr>
    </w:p>
    <w:p>
      <w:pPr>
        <w:spacing w:before="84" w:line="240" w:lineRule="auto"/>
        <w:ind w:left="0" w:leftChars="0" w:firstLine="0" w:firstLineChars="0"/>
        <w:rPr>
          <w:rFonts w:hint="eastAsia" w:eastAsia="宋体"/>
          <w:lang w:eastAsia="zh-CN"/>
        </w:rPr>
      </w:pPr>
    </w:p>
    <w:p>
      <w:pPr>
        <w:jc w:val="center"/>
        <w:rPr>
          <w:rFonts w:hint="default" w:ascii="Times New Roman" w:hAnsi="Times New Roman" w:cs="Times New Roman"/>
          <w:b/>
          <w:bCs/>
          <w:sz w:val="30"/>
          <w:szCs w:val="30"/>
        </w:rPr>
      </w:pPr>
      <w:r>
        <w:rPr>
          <w:rFonts w:hint="default" w:ascii="Times New Roman" w:hAnsi="Times New Roman" w:cs="Times New Roman"/>
          <w:b/>
          <w:bCs/>
          <w:sz w:val="30"/>
          <w:szCs w:val="30"/>
        </w:rPr>
        <w:t>其他需要说明的事项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根据《建设项目环境保护管理条例》</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和《建设项目竣工环境保护验收暂行办法》要求</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sz w:val="24"/>
          <w:szCs w:val="24"/>
        </w:rPr>
        <w:t>202</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1月3日</w:t>
      </w:r>
      <w:r>
        <w:rPr>
          <w:rFonts w:hint="eastAsia" w:ascii="Times New Roman" w:hAnsi="Times New Roman" w:eastAsia="宋体" w:cs="Times New Roman"/>
          <w:sz w:val="24"/>
          <w:szCs w:val="24"/>
          <w:lang w:eastAsia="zh-CN"/>
        </w:rPr>
        <w:t>，同德县河北乡生活垃圾处理场建设项目</w:t>
      </w:r>
      <w:r>
        <w:rPr>
          <w:rFonts w:hint="default" w:ascii="Times New Roman" w:hAnsi="Times New Roman" w:eastAsia="宋体" w:cs="Times New Roman"/>
          <w:sz w:val="24"/>
          <w:szCs w:val="24"/>
        </w:rPr>
        <w:t>组织召开了同德县河北乡生活垃圾处理场建设项目竣工环境保护验收会议，验收组由工程建设单位、验收报告编制单位及专家组组成。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本工程总占地面积2350m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，工程建设内容包括底库及边坡处理、填埋库区、防渗系统、渗滤液和气体导排系统、防洪排水系统。本项目建成运营后，日平均处理垃圾1t。填埋场总库容1万m3，设计使用年限10年。</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80" w:firstLineChars="200"/>
        <w:jc w:val="both"/>
        <w:textAlignment w:val="baseline"/>
        <w:outlineLvl w:val="9"/>
        <w:rPr>
          <w:rFonts w:hint="default" w:ascii="Times New Roman" w:hAnsi="Times New Roman" w:cs="Times New Roman"/>
          <w:b w:val="0"/>
          <w:bCs w:val="0"/>
          <w:color w:val="auto"/>
          <w:sz w:val="24"/>
          <w:szCs w:val="24"/>
          <w:vertAlign w:val="baseline"/>
          <w:lang w:val="en-US" w:eastAsia="zh-CN"/>
        </w:rPr>
      </w:pPr>
      <w:r>
        <w:rPr>
          <w:rFonts w:hint="default" w:ascii="Times New Roman" w:hAnsi="Times New Roman" w:cs="Times New Roman"/>
          <w:b w:val="0"/>
          <w:bCs w:val="0"/>
          <w:color w:val="auto"/>
          <w:sz w:val="24"/>
          <w:szCs w:val="24"/>
          <w:vertAlign w:val="baseline"/>
          <w:lang w:val="en-US" w:eastAsia="zh-CN"/>
        </w:rPr>
        <w:t>本工程建设</w:t>
      </w:r>
      <w:r>
        <w:rPr>
          <w:rFonts w:hint="default" w:ascii="Times New Roman" w:hAnsi="Times New Roman" w:eastAsia="宋体" w:cs="Times New Roman"/>
          <w:color w:val="000000"/>
          <w:sz w:val="24"/>
          <w:szCs w:val="24"/>
        </w:rPr>
        <w:t>项目实际</w:t>
      </w:r>
      <w:r>
        <w:rPr>
          <w:rFonts w:hint="default" w:ascii="Times New Roman" w:hAnsi="Times New Roman" w:eastAsia="宋体" w:cs="Times New Roman"/>
          <w:color w:val="000000"/>
          <w:sz w:val="24"/>
          <w:szCs w:val="24"/>
          <w:lang w:val="en-US" w:eastAsia="zh-CN"/>
        </w:rPr>
        <w:t>总投资</w:t>
      </w:r>
      <w:r>
        <w:rPr>
          <w:rFonts w:hint="eastAsia" w:ascii="Times New Roman" w:hAnsi="Times New Roman" w:eastAsia="宋体" w:cs="Times New Roman"/>
          <w:color w:val="000000"/>
          <w:sz w:val="24"/>
          <w:szCs w:val="24"/>
          <w:lang w:val="en-US" w:eastAsia="zh-CN"/>
        </w:rPr>
        <w:t>88</w:t>
      </w:r>
      <w:r>
        <w:rPr>
          <w:rFonts w:hint="default" w:ascii="Times New Roman" w:hAnsi="Times New Roman" w:eastAsia="宋体" w:cs="Times New Roman"/>
          <w:color w:val="000000"/>
          <w:sz w:val="24"/>
          <w:szCs w:val="24"/>
        </w:rPr>
        <w:t>万元，其中环保投资</w:t>
      </w:r>
      <w:r>
        <w:rPr>
          <w:rFonts w:hint="eastAsia" w:ascii="Times New Roman" w:hAnsi="Times New Roman" w:eastAsia="宋体" w:cs="Times New Roman"/>
          <w:color w:val="000000"/>
          <w:sz w:val="24"/>
          <w:szCs w:val="24"/>
          <w:lang w:val="en-US" w:eastAsia="zh-CN"/>
        </w:rPr>
        <w:t>为4.5</w:t>
      </w:r>
      <w:r>
        <w:rPr>
          <w:rFonts w:hint="default" w:ascii="Times New Roman" w:hAnsi="Times New Roman" w:eastAsia="宋体" w:cs="Times New Roman"/>
          <w:color w:val="000000"/>
          <w:sz w:val="24"/>
          <w:szCs w:val="24"/>
        </w:rPr>
        <w:t>万元</w:t>
      </w:r>
      <w:r>
        <w:rPr>
          <w:rFonts w:hint="default" w:ascii="Times New Roman" w:hAnsi="Times New Roman" w:cs="Times New Roman"/>
          <w:b w:val="0"/>
          <w:bCs w:val="0"/>
          <w:color w:val="auto"/>
          <w:sz w:val="24"/>
          <w:szCs w:val="24"/>
          <w:vertAlign w:val="baseline"/>
          <w:lang w:val="en-US" w:eastAsia="zh-CN"/>
        </w:rPr>
        <w:t>，占总投资的</w:t>
      </w:r>
      <w:r>
        <w:rPr>
          <w:rFonts w:hint="eastAsia" w:ascii="Times New Roman" w:hAnsi="Times New Roman" w:cs="Times New Roman"/>
          <w:b w:val="0"/>
          <w:bCs w:val="0"/>
          <w:color w:val="auto"/>
          <w:sz w:val="24"/>
          <w:szCs w:val="24"/>
          <w:vertAlign w:val="baseline"/>
          <w:lang w:val="en-US" w:eastAsia="zh-CN"/>
        </w:rPr>
        <w:t>5.1</w:t>
      </w:r>
      <w:r>
        <w:rPr>
          <w:rFonts w:hint="default" w:ascii="Times New Roman" w:hAnsi="Times New Roman" w:cs="Times New Roman"/>
          <w:b w:val="0"/>
          <w:bCs w:val="0"/>
          <w:color w:val="auto"/>
          <w:sz w:val="24"/>
          <w:szCs w:val="24"/>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1"/>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现将该工程环境保护设施设计、施工和验收过程简况、环境影响报告表及审批决定中提出的除环境保护设施外的其他环境保护对策措施的实施情况等其他需要说明的事项说明如下：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val="en-US" w:eastAsia="zh-CN"/>
        </w:rPr>
        <w:t>1</w:t>
      </w:r>
      <w:r>
        <w:rPr>
          <w:rFonts w:hint="eastAsia" w:ascii="Times New Roman" w:hAnsi="Times New Roman" w:cs="Times New Roman"/>
          <w:b/>
          <w:bCs/>
          <w:sz w:val="24"/>
          <w:szCs w:val="24"/>
          <w:lang w:val="en-US" w:eastAsia="zh-CN"/>
        </w:rPr>
        <w:t>.</w:t>
      </w:r>
      <w:r>
        <w:rPr>
          <w:rFonts w:hint="default" w:ascii="Times New Roman" w:hAnsi="Times New Roman" w:cs="Times New Roman"/>
          <w:b/>
          <w:bCs/>
          <w:sz w:val="24"/>
          <w:szCs w:val="24"/>
          <w:lang w:eastAsia="zh-CN"/>
        </w:rPr>
        <w:t>环境保护设施设计、施工和验收过程简况</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firstLine="482" w:firstLineChars="20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设计简况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建设项目已将环境保护设施纳入了初步设计，环境保护设施的设计符合环境保护设计规范的要求，编制了环境保护篇章，落实了防止污染破坏的措施和环境保护设施投资概算。</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firstLine="482" w:firstLineChars="20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施工简况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建设项目已将环境保护设施纳入了施工合同，环境保护设施的建设进度和资金均得到了保证，项目建设过程中组织实施了环境影响报告</w:t>
      </w:r>
      <w:r>
        <w:rPr>
          <w:rFonts w:hint="eastAsia" w:ascii="Times New Roman" w:hAnsi="Times New Roman" w:cs="Times New Roman"/>
          <w:sz w:val="24"/>
          <w:szCs w:val="24"/>
          <w:lang w:val="en-US" w:eastAsia="zh-CN"/>
        </w:rPr>
        <w:t>书</w:t>
      </w:r>
      <w:r>
        <w:rPr>
          <w:rFonts w:hint="default" w:ascii="Times New Roman" w:hAnsi="Times New Roman" w:cs="Times New Roman"/>
          <w:sz w:val="24"/>
          <w:szCs w:val="24"/>
          <w:lang w:val="en-US" w:eastAsia="zh-CN"/>
        </w:rPr>
        <w:t>及其审批部门决定中提出的环境保护对策。</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firstLine="482" w:firstLineChars="20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验收过程简况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同德县河北乡生活垃圾处理场建设项目于2010年3月编制完成环评报告，并于2010年4月5日取得《关于同德县河北乡生活垃圾处理场建设项目环境影响报告书的批复》（南环林〔2010﹞46号），由于环评报告书丢失，于2015年12月补做环评报告书，补做报告书与原件一致，情况详见附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eastAsia="宋体" w:cs="Times New Roman"/>
          <w:b w:val="0"/>
          <w:bCs/>
          <w:color w:val="FF0000"/>
          <w:kern w:val="0"/>
          <w:sz w:val="24"/>
          <w:szCs w:val="24"/>
          <w:lang w:val="en-US" w:eastAsia="zh-CN"/>
        </w:rPr>
      </w:pPr>
      <w:r>
        <w:rPr>
          <w:rFonts w:hint="eastAsia" w:ascii="Times New Roman" w:hAnsi="Times New Roman" w:eastAsia="宋体" w:cs="Times New Roman"/>
          <w:b w:val="0"/>
          <w:bCs/>
          <w:color w:val="auto"/>
          <w:kern w:val="0"/>
          <w:sz w:val="24"/>
          <w:szCs w:val="24"/>
          <w:lang w:val="en-US" w:eastAsia="zh-CN"/>
        </w:rPr>
        <w:t>建设单位</w:t>
      </w:r>
      <w:r>
        <w:rPr>
          <w:rFonts w:hint="default" w:ascii="Times New Roman" w:hAnsi="Times New Roman" w:eastAsia="宋体" w:cs="Times New Roman"/>
          <w:b w:val="0"/>
          <w:bCs/>
          <w:color w:val="auto"/>
          <w:kern w:val="0"/>
          <w:sz w:val="24"/>
          <w:szCs w:val="24"/>
          <w:lang w:val="en-US" w:eastAsia="zh-CN"/>
        </w:rPr>
        <w:t>于202</w:t>
      </w:r>
      <w:r>
        <w:rPr>
          <w:rFonts w:hint="eastAsia" w:ascii="Times New Roman" w:hAnsi="Times New Roman" w:eastAsia="宋体" w:cs="Times New Roman"/>
          <w:b w:val="0"/>
          <w:bCs/>
          <w:color w:val="auto"/>
          <w:kern w:val="0"/>
          <w:sz w:val="24"/>
          <w:szCs w:val="24"/>
          <w:lang w:val="en-US" w:eastAsia="zh-CN"/>
        </w:rPr>
        <w:t>3</w:t>
      </w:r>
      <w:r>
        <w:rPr>
          <w:rFonts w:hint="default" w:ascii="Times New Roman" w:hAnsi="Times New Roman" w:eastAsia="宋体" w:cs="Times New Roman"/>
          <w:b w:val="0"/>
          <w:bCs/>
          <w:color w:val="auto"/>
          <w:kern w:val="0"/>
          <w:sz w:val="24"/>
          <w:szCs w:val="24"/>
          <w:lang w:val="en-US" w:eastAsia="zh-CN"/>
        </w:rPr>
        <w:t>年</w:t>
      </w:r>
      <w:r>
        <w:rPr>
          <w:rFonts w:hint="eastAsia" w:ascii="Times New Roman" w:hAnsi="Times New Roman" w:eastAsia="宋体" w:cs="Times New Roman"/>
          <w:b w:val="0"/>
          <w:bCs/>
          <w:color w:val="auto"/>
          <w:kern w:val="0"/>
          <w:sz w:val="24"/>
          <w:szCs w:val="24"/>
          <w:lang w:val="en-US" w:eastAsia="zh-CN"/>
        </w:rPr>
        <w:t>9</w:t>
      </w:r>
      <w:r>
        <w:rPr>
          <w:rFonts w:hint="default" w:ascii="Times New Roman" w:hAnsi="Times New Roman" w:eastAsia="宋体" w:cs="Times New Roman"/>
          <w:b w:val="0"/>
          <w:bCs/>
          <w:color w:val="auto"/>
          <w:kern w:val="0"/>
          <w:sz w:val="24"/>
          <w:szCs w:val="24"/>
          <w:lang w:val="en-US" w:eastAsia="zh-CN"/>
        </w:rPr>
        <w:t>月成立了验收工作组对项目进行验收，验收工作组通过现场检查、查</w:t>
      </w:r>
      <w:r>
        <w:rPr>
          <w:rFonts w:hint="default" w:ascii="Times New Roman" w:hAnsi="Times New Roman" w:eastAsia="宋体" w:cs="Times New Roman"/>
          <w:b w:val="0"/>
          <w:bCs/>
          <w:color w:val="000000" w:themeColor="text1"/>
          <w:kern w:val="0"/>
          <w:sz w:val="24"/>
          <w:szCs w:val="24"/>
          <w:lang w:val="en-US" w:eastAsia="zh-CN"/>
          <w14:textFill>
            <w14:solidFill>
              <w14:schemeClr w14:val="tx1"/>
            </w14:solidFill>
          </w14:textFill>
        </w:rPr>
        <w:t>阅资料等方式提出了验收意见，建设项目竣工验收合格，可正式投入使用。</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firstLine="482" w:firstLineChars="20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公众反馈意见及处理情况</w:t>
      </w:r>
    </w:p>
    <w:p>
      <w:pPr>
        <w:widowControl/>
        <w:spacing w:line="480" w:lineRule="exact"/>
        <w:ind w:firstLine="463"/>
        <w:rPr>
          <w:rFonts w:hint="default" w:ascii="Times New Roman" w:hAnsi="Times New Roman" w:cs="Times New Roman"/>
          <w:color w:val="333333"/>
          <w:spacing w:val="9"/>
          <w:kern w:val="0"/>
          <w:sz w:val="24"/>
          <w:szCs w:val="24"/>
        </w:rPr>
      </w:pPr>
      <w:r>
        <w:rPr>
          <w:rFonts w:hint="default" w:ascii="Times New Roman" w:hAnsi="Times New Roman" w:eastAsia="宋体" w:cs="Times New Roman"/>
          <w:b w:val="0"/>
          <w:bCs/>
          <w:color w:val="000000"/>
          <w:kern w:val="0"/>
          <w:sz w:val="24"/>
          <w:szCs w:val="24"/>
          <w:lang w:val="en-US" w:eastAsia="zh-CN"/>
        </w:rPr>
        <w:t>同德县住房和城乡建设局在设计、施工和验收期间未接到相关的环保投诉。</w:t>
      </w:r>
    </w:p>
    <w:p>
      <w:pPr>
        <w:widowControl/>
        <w:spacing w:line="480" w:lineRule="exact"/>
        <w:outlineLvl w:val="1"/>
        <w:rPr>
          <w:rFonts w:hint="default" w:ascii="Times New Roman" w:hAnsi="Times New Roman" w:cs="Times New Roman"/>
          <w:color w:val="333333"/>
          <w:spacing w:val="9"/>
          <w:kern w:val="0"/>
          <w:sz w:val="24"/>
          <w:szCs w:val="24"/>
        </w:rPr>
      </w:pPr>
      <w:r>
        <w:rPr>
          <w:rFonts w:hint="default" w:ascii="Times New Roman" w:hAnsi="Times New Roman" w:cs="Times New Roman"/>
          <w:b/>
          <w:bCs/>
          <w:color w:val="333333"/>
          <w:spacing w:val="9"/>
          <w:kern w:val="0"/>
          <w:sz w:val="24"/>
          <w:szCs w:val="24"/>
        </w:rPr>
        <w:t>2</w:t>
      </w:r>
      <w:r>
        <w:rPr>
          <w:rFonts w:hint="eastAsia" w:ascii="Times New Roman" w:hAnsi="Times New Roman" w:cs="Times New Roman"/>
          <w:b/>
          <w:bCs/>
          <w:color w:val="333333"/>
          <w:spacing w:val="9"/>
          <w:kern w:val="0"/>
          <w:sz w:val="24"/>
          <w:szCs w:val="24"/>
          <w:lang w:eastAsia="zh-CN"/>
        </w:rPr>
        <w:t>.</w:t>
      </w:r>
      <w:r>
        <w:rPr>
          <w:rFonts w:hint="default" w:ascii="Times New Roman" w:hAnsi="Times New Roman" w:cs="Times New Roman"/>
          <w:b/>
          <w:bCs/>
          <w:color w:val="333333"/>
          <w:spacing w:val="9"/>
          <w:kern w:val="0"/>
          <w:sz w:val="24"/>
          <w:szCs w:val="24"/>
        </w:rPr>
        <w:t>其他环境保护措施的落实情况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环境影响报告书（表）及其审批部门审批决定中提出的，除环境保护设施外的其他环境保护措施，主要包括制度措施和配套措施等，现将需要说明的措施内容和要求梳理如下：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2.1制度措施落实情况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环保组织机构及规章制度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eastAsia="宋体" w:cs="Times New Roman"/>
          <w:color w:val="auto"/>
          <w:sz w:val="24"/>
          <w:szCs w:val="24"/>
        </w:rPr>
        <w:t>同德县住房和城乡建设局</w:t>
      </w:r>
      <w:r>
        <w:rPr>
          <w:rFonts w:hint="eastAsia" w:ascii="Times New Roman" w:hAnsi="Times New Roman" w:eastAsia="宋体" w:cs="Times New Roman"/>
          <w:color w:val="auto"/>
          <w:sz w:val="24"/>
          <w:szCs w:val="24"/>
          <w:lang w:eastAsia="zh-CN"/>
        </w:rPr>
        <w:t>《同德县河北乡生活垃圾处理场建设项目》</w:t>
      </w:r>
      <w:r>
        <w:rPr>
          <w:rFonts w:hint="default" w:ascii="Times New Roman" w:hAnsi="Times New Roman" w:cs="Times New Roman"/>
          <w:sz w:val="24"/>
          <w:szCs w:val="24"/>
          <w:lang w:val="en-US" w:eastAsia="zh-CN"/>
        </w:rPr>
        <w:t>由</w:t>
      </w:r>
      <w:r>
        <w:rPr>
          <w:rFonts w:hint="eastAsia" w:ascii="Times New Roman" w:hAnsi="Times New Roman" w:cs="Times New Roman"/>
          <w:sz w:val="24"/>
          <w:szCs w:val="24"/>
          <w:lang w:val="en-US" w:eastAsia="zh-CN"/>
        </w:rPr>
        <w:t>专职管理人员</w:t>
      </w:r>
      <w:r>
        <w:rPr>
          <w:rFonts w:hint="default" w:ascii="Times New Roman" w:hAnsi="Times New Roman" w:cs="Times New Roman"/>
          <w:sz w:val="24"/>
          <w:szCs w:val="24"/>
          <w:lang w:val="en-US" w:eastAsia="zh-CN"/>
        </w:rPr>
        <w:t>负责环境保护管理工作，将环境管理和生产管理结合起来，企业已制定了环境管理制度，严格按操作规程执行，员工责任分工明确，确保安全生产。</w:t>
      </w:r>
    </w:p>
    <w:p>
      <w:pPr>
        <w:widowControl/>
        <w:spacing w:line="360" w:lineRule="auto"/>
        <w:ind w:firstLine="518" w:firstLineChars="200"/>
        <w:outlineLvl w:val="1"/>
        <w:rPr>
          <w:rFonts w:hint="default" w:ascii="Times New Roman" w:hAnsi="Times New Roman" w:cs="Times New Roman"/>
          <w:b/>
          <w:bCs/>
          <w:color w:val="333333"/>
          <w:spacing w:val="9"/>
          <w:kern w:val="0"/>
          <w:sz w:val="24"/>
          <w:szCs w:val="24"/>
        </w:rPr>
      </w:pPr>
      <w:r>
        <w:rPr>
          <w:rFonts w:hint="default" w:ascii="Times New Roman" w:hAnsi="Times New Roman" w:cs="Times New Roman"/>
          <w:b/>
          <w:bCs/>
          <w:color w:val="333333"/>
          <w:spacing w:val="9"/>
          <w:kern w:val="0"/>
          <w:sz w:val="24"/>
          <w:szCs w:val="24"/>
        </w:rPr>
        <w:t>2.2配套措施落实情况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（1）区域削减及淘汰落后产能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建设项目不涉及区域内涉及到区域内削减污染物总量措施和淘汰落后产能的措施，无需说明。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（2）防护距离控制及居民搬迁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建设项目运营期无重大污染，不涉及防护距离，无需搬迁。</w:t>
      </w:r>
    </w:p>
    <w:p>
      <w:pPr>
        <w:widowControl/>
        <w:spacing w:line="360" w:lineRule="auto"/>
        <w:outlineLvl w:val="1"/>
        <w:rPr>
          <w:rFonts w:hint="default" w:ascii="Times New Roman" w:hAnsi="Times New Roman" w:cs="Times New Roman"/>
          <w:color w:val="333333"/>
          <w:spacing w:val="9"/>
          <w:kern w:val="0"/>
          <w:sz w:val="24"/>
          <w:szCs w:val="24"/>
        </w:rPr>
      </w:pPr>
      <w:r>
        <w:rPr>
          <w:rFonts w:hint="default" w:ascii="Times New Roman" w:hAnsi="Times New Roman" w:cs="Times New Roman"/>
          <w:b/>
          <w:bCs/>
          <w:color w:val="333333"/>
          <w:spacing w:val="9"/>
          <w:kern w:val="0"/>
          <w:sz w:val="24"/>
          <w:szCs w:val="24"/>
        </w:rPr>
        <w:t>2.3其他措施落实情况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建设项目不涉及林地补偿、珍稀动植物保护、区域环境整治、相关外围工程建设情况等，无需落实。</w:t>
      </w:r>
    </w:p>
    <w:p>
      <w:pPr>
        <w:widowControl/>
        <w:spacing w:line="360" w:lineRule="auto"/>
        <w:outlineLvl w:val="1"/>
        <w:rPr>
          <w:rFonts w:hint="default" w:ascii="Times New Roman" w:hAnsi="Times New Roman" w:cs="Times New Roman"/>
          <w:color w:val="333333"/>
          <w:spacing w:val="9"/>
          <w:kern w:val="0"/>
          <w:sz w:val="24"/>
          <w:szCs w:val="24"/>
        </w:rPr>
      </w:pPr>
      <w:r>
        <w:rPr>
          <w:rFonts w:hint="default" w:ascii="Times New Roman" w:hAnsi="Times New Roman" w:cs="Times New Roman"/>
          <w:b/>
          <w:bCs/>
          <w:color w:val="333333"/>
          <w:spacing w:val="9"/>
          <w:kern w:val="0"/>
          <w:sz w:val="24"/>
          <w:szCs w:val="24"/>
        </w:rPr>
        <w:t>3</w:t>
      </w:r>
      <w:r>
        <w:rPr>
          <w:rFonts w:hint="eastAsia" w:ascii="Times New Roman" w:hAnsi="Times New Roman" w:cs="Times New Roman"/>
          <w:b/>
          <w:bCs/>
          <w:color w:val="333333"/>
          <w:spacing w:val="9"/>
          <w:kern w:val="0"/>
          <w:sz w:val="24"/>
          <w:szCs w:val="24"/>
          <w:lang w:eastAsia="zh-CN"/>
        </w:rPr>
        <w:t>.</w:t>
      </w:r>
      <w:r>
        <w:rPr>
          <w:rFonts w:hint="default" w:ascii="Times New Roman" w:hAnsi="Times New Roman" w:cs="Times New Roman"/>
          <w:b/>
          <w:bCs/>
          <w:color w:val="333333"/>
          <w:spacing w:val="9"/>
          <w:kern w:val="0"/>
          <w:sz w:val="24"/>
          <w:szCs w:val="24"/>
        </w:rPr>
        <w:t>整改工作情况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根据验收意见，建设项目竣工验收合格，本次验收要求建设单位按《排污单位自行监测技术指南 总则》（HJ819-2017）提出的监测点位、监测频次相关要求规范性进行季度性自行监测；在丰水期时，及时进行地下水监测；拉运车辆及时在洗车场所进行清洗，以减少扬尘产生；做好场区内卫生管理，及时将垃圾进行填埋，及时喷洒药剂抑制恶臭的产生；渗滤液调节池不能全部回灌时，及时拉至污水厂处理。</w:t>
      </w:r>
    </w:p>
    <w:sectPr>
      <w:headerReference r:id="rId18" w:type="default"/>
      <w:footerReference r:id="rId19" w:type="default"/>
      <w:pgSz w:w="11911" w:h="16839"/>
      <w:pgMar w:top="1440" w:right="1800" w:bottom="1440" w:left="1800" w:header="0" w:footer="658"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5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54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60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6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4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4VfE0AgAAZQ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jOFXx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4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U5IgxAgAAZQ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6VOSIMQIAAGU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5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WNvY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9R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Gljb2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54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4" name="文本框 1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vDZc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Vrw2X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60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8" name="文本框 1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iN7cz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SiN7c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4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6Q0I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P6Q0I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4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5r8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t/5r8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743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6" name="文本框 1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e9NME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e9NMEzAgAAZQ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7" name="文本框 1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UmV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1r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1JlVNAIAAGUEAAAOAAAAAAAAAAEAIAAAAB8BAABkcnMvZTJvRG9jLnhtbFBL&#10;BQYAAAAABgAGAFkBAADF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22B9F5"/>
    <w:multiLevelType w:val="multilevel"/>
    <w:tmpl w:val="4322B9F5"/>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2Y0NTgzYmYzZWMyYzk4MjJjNDQ1MzhiZTM1YTQ5OWIifQ=="/>
  </w:docVars>
  <w:rsids>
    <w:rsidRoot w:val="00000000"/>
    <w:rsid w:val="06ED4E2B"/>
    <w:rsid w:val="16A05F88"/>
    <w:rsid w:val="1A880D6A"/>
    <w:rsid w:val="1E377EDA"/>
    <w:rsid w:val="23A93630"/>
    <w:rsid w:val="29ED59B5"/>
    <w:rsid w:val="2D4367AA"/>
    <w:rsid w:val="2F674D4E"/>
    <w:rsid w:val="3AF8262D"/>
    <w:rsid w:val="40E547B0"/>
    <w:rsid w:val="46F9454B"/>
    <w:rsid w:val="52E56629"/>
    <w:rsid w:val="5BFD404F"/>
    <w:rsid w:val="64731885"/>
    <w:rsid w:val="6A9E20E5"/>
    <w:rsid w:val="6AB637A4"/>
    <w:rsid w:val="6E9348C0"/>
    <w:rsid w:val="73D91EAA"/>
    <w:rsid w:val="78664D1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360" w:lineRule="auto"/>
      <w:ind w:firstLine="420" w:firstLineChars="200"/>
      <w:jc w:val="both"/>
      <w:textAlignment w:val="baseline"/>
    </w:pPr>
    <w:rPr>
      <w:rFonts w:ascii="Times New Roman" w:hAnsi="Times New Roman" w:eastAsia="宋体" w:cs="Arial"/>
      <w:snapToGrid w:val="0"/>
      <w:color w:val="000000"/>
      <w:kern w:val="0"/>
      <w:sz w:val="24"/>
      <w:szCs w:val="21"/>
      <w:lang w:val="en-US" w:eastAsia="en-US" w:bidi="ar-SA"/>
    </w:rPr>
  </w:style>
  <w:style w:type="paragraph" w:styleId="3">
    <w:name w:val="heading 1"/>
    <w:basedOn w:val="1"/>
    <w:next w:val="1"/>
    <w:autoRedefine/>
    <w:qFormat/>
    <w:uiPriority w:val="0"/>
    <w:pPr>
      <w:keepNext/>
      <w:keepLines/>
      <w:autoSpaceDE/>
      <w:autoSpaceDN/>
      <w:spacing w:before="340" w:beforeLines="0" w:beforeAutospacing="0" w:after="330" w:afterLines="0" w:afterAutospacing="0" w:line="360" w:lineRule="auto"/>
      <w:ind w:firstLine="0" w:firstLineChars="0"/>
      <w:jc w:val="center"/>
      <w:outlineLvl w:val="0"/>
    </w:pPr>
    <w:rPr>
      <w:rFonts w:ascii="Times New Roman" w:hAnsi="Times New Roman" w:eastAsia="宋体"/>
      <w:b/>
      <w:kern w:val="44"/>
      <w:sz w:val="32"/>
    </w:rPr>
  </w:style>
  <w:style w:type="paragraph" w:styleId="2">
    <w:name w:val="heading 2"/>
    <w:basedOn w:val="1"/>
    <w:next w:val="1"/>
    <w:autoRedefine/>
    <w:unhideWhenUsed/>
    <w:qFormat/>
    <w:uiPriority w:val="0"/>
    <w:pPr>
      <w:keepNext/>
      <w:keepLines/>
      <w:spacing w:before="260" w:beforeLines="0" w:beforeAutospacing="0" w:after="260" w:afterLines="0" w:afterAutospacing="0" w:line="288" w:lineRule="auto"/>
      <w:ind w:firstLine="0" w:firstLineChars="0"/>
      <w:outlineLvl w:val="1"/>
    </w:pPr>
    <w:rPr>
      <w:b/>
      <w:sz w:val="28"/>
    </w:rPr>
  </w:style>
  <w:style w:type="paragraph" w:styleId="4">
    <w:name w:val="heading 3"/>
    <w:basedOn w:val="1"/>
    <w:next w:val="1"/>
    <w:autoRedefine/>
    <w:unhideWhenUsed/>
    <w:qFormat/>
    <w:uiPriority w:val="0"/>
    <w:pPr>
      <w:keepNext/>
      <w:keepLines/>
      <w:spacing w:before="260" w:beforeLines="0" w:beforeAutospacing="0" w:after="260" w:afterLines="0" w:afterAutospacing="0" w:line="360" w:lineRule="auto"/>
      <w:outlineLvl w:val="2"/>
    </w:pPr>
    <w:rPr>
      <w:rFonts w:ascii="Times New Roman" w:hAnsi="Times New Roman"/>
      <w:b/>
    </w:rPr>
  </w:style>
  <w:style w:type="character" w:default="1" w:styleId="12">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w:basedOn w:val="1"/>
    <w:next w:val="6"/>
    <w:autoRedefine/>
    <w:semiHidden/>
    <w:qFormat/>
    <w:uiPriority w:val="0"/>
    <w:rPr>
      <w:rFonts w:ascii="Arial" w:hAnsi="Arial" w:eastAsia="Arial" w:cs="Arial"/>
      <w:sz w:val="21"/>
      <w:szCs w:val="21"/>
      <w:lang w:val="en-US" w:eastAsia="en-US" w:bidi="ar-SA"/>
    </w:rPr>
  </w:style>
  <w:style w:type="paragraph" w:styleId="6">
    <w:name w:val="Body Text Indent"/>
    <w:basedOn w:val="1"/>
    <w:next w:val="1"/>
    <w:autoRedefine/>
    <w:qFormat/>
    <w:uiPriority w:val="0"/>
    <w:pPr>
      <w:spacing w:after="120"/>
      <w:ind w:left="420" w:leftChars="200"/>
    </w:pPr>
    <w:rPr>
      <w:kern w:val="0"/>
      <w:sz w:val="24"/>
      <w:szCs w:val="20"/>
    </w:rPr>
  </w:style>
  <w:style w:type="paragraph" w:styleId="7">
    <w:name w:val="Body Text Indent 2"/>
    <w:basedOn w:val="1"/>
    <w:autoRedefine/>
    <w:qFormat/>
    <w:uiPriority w:val="0"/>
    <w:pPr>
      <w:spacing w:line="520" w:lineRule="exact"/>
      <w:ind w:firstLine="480" w:firstLineChars="200"/>
    </w:pPr>
    <w:rPr>
      <w:rFonts w:ascii="宋体" w:hAnsi="宋体"/>
      <w:sz w:val="24"/>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Table Normal"/>
    <w:autoRedefine/>
    <w:semiHidden/>
    <w:unhideWhenUsed/>
    <w:qFormat/>
    <w:uiPriority w:val="0"/>
    <w:tblPr>
      <w:tblCellMar>
        <w:top w:w="0" w:type="dxa"/>
        <w:left w:w="0" w:type="dxa"/>
        <w:bottom w:w="0" w:type="dxa"/>
        <w:right w:w="0" w:type="dxa"/>
      </w:tblCellMar>
    </w:tblPr>
  </w:style>
  <w:style w:type="paragraph" w:customStyle="1" w:styleId="14">
    <w:name w:val="Table Text"/>
    <w:basedOn w:val="1"/>
    <w:autoRedefine/>
    <w:semiHidden/>
    <w:qFormat/>
    <w:uiPriority w:val="0"/>
    <w:rPr>
      <w:rFonts w:ascii="仿宋" w:hAnsi="仿宋" w:eastAsia="仿宋" w:cs="仿宋"/>
      <w:sz w:val="24"/>
      <w:szCs w:val="24"/>
      <w:lang w:val="en-US" w:eastAsia="en-US" w:bidi="ar-SA"/>
    </w:rPr>
  </w:style>
  <w:style w:type="paragraph" w:customStyle="1" w:styleId="15">
    <w:name w:val="WPSOffice手动目录 1"/>
    <w:autoRedefine/>
    <w:qFormat/>
    <w:uiPriority w:val="0"/>
    <w:pPr>
      <w:ind w:leftChars="0"/>
    </w:pPr>
    <w:rPr>
      <w:rFonts w:ascii="Times New Roman" w:hAnsi="Times New Roman" w:eastAsia="宋体" w:cs="Times New Roman"/>
      <w:sz w:val="20"/>
      <w:szCs w:val="20"/>
    </w:rPr>
  </w:style>
  <w:style w:type="paragraph" w:customStyle="1" w:styleId="16">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3.jpe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header" Target="header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20084</Words>
  <Characters>22265</Characters>
  <TotalTime>1</TotalTime>
  <ScaleCrop>false</ScaleCrop>
  <LinksUpToDate>false</LinksUpToDate>
  <CharactersWithSpaces>22834</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2022-03-31T12:14:00Z</dcterms:created>
  <dc:creator>Administrator</dc:creator>
  <cp:lastModifiedBy>温柔只给意中人</cp:lastModifiedBy>
  <cp:lastPrinted>2024-01-04T06:48:00Z</cp:lastPrinted>
  <dcterms:modified xsi:type="dcterms:W3CDTF">2024-06-11T08:20:24Z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2023-10-26T17:41:41Z</vt:filetime>
  </property>
  <property fmtid="{D5CDD505-2E9C-101B-9397-08002B2CF9AE}" pid="4" name="KSOProductBuildVer">
    <vt:lpwstr>2052-12.1.0.16929</vt:lpwstr>
  </property>
  <property fmtid="{D5CDD505-2E9C-101B-9397-08002B2CF9AE}" pid="5" name="ICV">
    <vt:lpwstr>65D10C0512094A9F815E0841FDB1C00E_12</vt:lpwstr>
  </property>
</Properties>
</file>