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eastAsia="仿宋_GB2312"/>
          <w:b/>
          <w:color w:val="auto"/>
          <w:sz w:val="32"/>
          <w:szCs w:val="32"/>
        </w:rPr>
      </w:pPr>
      <w:r>
        <w:rPr>
          <w:rFonts w:hint="eastAsia" w:ascii="仿宋_GB2312" w:eastAsia="仿宋_GB2312"/>
          <w:b/>
          <w:color w:val="auto"/>
          <w:sz w:val="32"/>
          <w:szCs w:val="32"/>
        </w:rPr>
        <w:t>厦门</w:t>
      </w:r>
      <w:r>
        <w:rPr>
          <w:rFonts w:ascii="仿宋_GB2312" w:eastAsia="仿宋_GB2312"/>
          <w:b/>
          <w:color w:val="auto"/>
          <w:sz w:val="32"/>
          <w:szCs w:val="32"/>
        </w:rPr>
        <w:t>市</w:t>
      </w:r>
      <w:r>
        <w:rPr>
          <w:rFonts w:hint="eastAsia" w:ascii="仿宋_GB2312" w:eastAsia="仿宋_GB2312"/>
          <w:b/>
          <w:color w:val="auto"/>
          <w:sz w:val="32"/>
          <w:szCs w:val="32"/>
        </w:rPr>
        <w:t>挥发性有机物污染防治企业自查表</w:t>
      </w:r>
      <w:bookmarkStart w:id="0" w:name="_GoBack"/>
      <w:bookmarkEnd w:id="0"/>
    </w:p>
    <w:p>
      <w:pPr>
        <w:adjustRightInd w:val="0"/>
        <w:snapToGrid w:val="0"/>
        <w:jc w:val="left"/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</w:pP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企业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名称：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eastAsia="zh-CN"/>
        </w:rPr>
        <w:t>厦门市国越包装工业有限公司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所属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行业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eastAsia="zh-CN"/>
        </w:rPr>
        <w:t>包装印刷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 xml:space="preserve"> 联系人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eastAsia="zh-CN"/>
        </w:rPr>
        <w:t>邓钦文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电话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  <w:lang w:val="en-US" w:eastAsia="zh-CN"/>
        </w:rPr>
        <w:t>18259246886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u w:val="single"/>
        </w:rPr>
        <w:t xml:space="preserve"> 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自查</w:t>
      </w:r>
      <w:r>
        <w:rPr>
          <w:rFonts w:ascii="仿宋_GB2312" w:hAnsi="宋体" w:eastAsia="仿宋_GB2312" w:cs="宋体"/>
          <w:color w:val="auto"/>
          <w:kern w:val="0"/>
          <w:sz w:val="22"/>
          <w:szCs w:val="22"/>
        </w:rPr>
        <w:t>日期：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2024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 xml:space="preserve">年 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6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月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  <w:lang w:val="en-US" w:eastAsia="zh-CN"/>
        </w:rPr>
        <w:t>17</w:t>
      </w:r>
      <w:r>
        <w:rPr>
          <w:rFonts w:hint="eastAsia" w:ascii="仿宋_GB2312" w:hAnsi="宋体" w:eastAsia="仿宋_GB2312" w:cs="宋体"/>
          <w:color w:val="auto"/>
          <w:kern w:val="0"/>
          <w:sz w:val="22"/>
          <w:szCs w:val="22"/>
        </w:rPr>
        <w:t>日</w:t>
      </w:r>
    </w:p>
    <w:tbl>
      <w:tblPr>
        <w:tblStyle w:val="9"/>
        <w:tblW w:w="0" w:type="auto"/>
        <w:tblInd w:w="-7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5"/>
        <w:gridCol w:w="4902"/>
        <w:gridCol w:w="899"/>
        <w:gridCol w:w="2126"/>
        <w:gridCol w:w="806"/>
        <w:gridCol w:w="980"/>
        <w:gridCol w:w="1347"/>
        <w:gridCol w:w="904"/>
        <w:gridCol w:w="903"/>
        <w:gridCol w:w="90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序号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自查内容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是否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符合（或</w:t>
            </w:r>
            <w:r>
              <w:rPr>
                <w:rFonts w:ascii="仿宋_GB2312" w:hAnsi="宋体" w:eastAsia="仿宋_GB2312" w:cs="宋体"/>
                <w:color w:val="auto"/>
                <w:kern w:val="0"/>
                <w:sz w:val="22"/>
                <w:szCs w:val="22"/>
              </w:rPr>
              <w:t>不涉及）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存在问题描述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日期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自查人员签名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整改措施</w:t>
            </w: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整改完成日期</w:t>
            </w: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整改负责人签名</w:t>
            </w: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主管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签名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一、台账要求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是否建立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原辅材料台账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，包含采购、使用消耗、库存结余情况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9040" cy="1543685"/>
                  <wp:effectExtent l="0" t="0" r="10160" b="18415"/>
                  <wp:docPr id="2" name="图片 2" descr="338fc6686fd05646b97fbe7e2e462d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338fc6686fd05646b97fbe7e2e462d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040" cy="154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是否建立生产产品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台账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，包含产品名称、产量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203960"/>
                  <wp:effectExtent l="0" t="0" r="12065" b="15240"/>
                  <wp:docPr id="23" name="图片 23" descr="d7005288e8b2a875e4f7f1c6088f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d7005288e8b2a875e4f7f1c6088f91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是否保存原辅材料成分说明书、检验报告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5705" cy="816610"/>
                  <wp:effectExtent l="0" t="0" r="4445" b="254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05" cy="81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是否保存原辅材料送货单、购入发票等原始单据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5230" cy="1132205"/>
                  <wp:effectExtent l="0" t="0" r="13970" b="10795"/>
                  <wp:docPr id="10" name="图片 10" descr="f63824ff4126c8e8f86ab26f8aead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f63824ff4126c8e8f86ab26f8aead3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230" cy="1132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徐晓艳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陈彩燕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含VOCs的危险废物产生量、回收量、转移量、转移去向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8405" cy="1694815"/>
                  <wp:effectExtent l="0" t="0" r="10795" b="635"/>
                  <wp:docPr id="25" name="图片 25" descr="279007dc4dabda97cc204cfea327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279007dc4dabda97cc204cfea32711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05" cy="169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台账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是否保存三年以上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胡佩琼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</w:rPr>
              <w:t>二、源头控制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是否生产应淘汰类的产品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是否使用应淘汰类的生产装置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三、密闭要求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158875" cy="869315"/>
                  <wp:effectExtent l="0" t="0" r="3175" b="6985"/>
                  <wp:docPr id="4" name="图片 3" descr="IMG_20190307_150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 descr="IMG_20190307_15010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875" cy="869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含VOCs的原料调制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预处理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过程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是否密闭（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如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调漆间、调漆位置）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含VOCs的原料投加、卸放过程是否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</w:rPr>
              <w:t>含VOCs物料的反应、搅拌、混合过程</w:t>
            </w:r>
            <w:r>
              <w:rPr>
                <w:rFonts w:ascii="仿宋_GB2312" w:eastAsia="仿宋_GB2312"/>
                <w:color w:val="auto"/>
              </w:rPr>
              <w:t>是否密闭</w:t>
            </w:r>
            <w:r>
              <w:rPr>
                <w:rFonts w:hint="eastAsia" w:ascii="仿宋_GB2312" w:eastAsia="仿宋_GB2312"/>
                <w:color w:val="auto"/>
              </w:rPr>
              <w:t>，产生的废气是否</w:t>
            </w:r>
            <w:r>
              <w:rPr>
                <w:rFonts w:ascii="仿宋_GB2312" w:eastAsia="仿宋_GB2312"/>
                <w:color w:val="auto"/>
              </w:rPr>
              <w:t>收集</w:t>
            </w:r>
            <w:r>
              <w:rPr>
                <w:rFonts w:hint="eastAsia" w:ascii="仿宋_GB2312" w:eastAsia="仿宋_GB2312"/>
                <w:color w:val="auto"/>
              </w:rPr>
              <w:t>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eastAsia="仿宋_GB2312"/>
                <w:color w:val="auto"/>
              </w:rPr>
              <w:t>含VOCs物料分离精制过程</w:t>
            </w:r>
            <w:r>
              <w:rPr>
                <w:rFonts w:ascii="仿宋_GB2312" w:eastAsia="仿宋_GB2312"/>
                <w:color w:val="auto"/>
              </w:rPr>
              <w:t>是否</w:t>
            </w:r>
            <w:r>
              <w:rPr>
                <w:rFonts w:hint="eastAsia" w:ascii="仿宋_GB2312" w:eastAsia="仿宋_GB2312"/>
                <w:color w:val="auto"/>
              </w:rPr>
              <w:t>使用</w:t>
            </w:r>
            <w:r>
              <w:rPr>
                <w:rFonts w:ascii="仿宋_GB2312" w:eastAsia="仿宋_GB2312"/>
                <w:color w:val="auto"/>
              </w:rPr>
              <w:t>密闭</w:t>
            </w:r>
            <w:r>
              <w:rPr>
                <w:rFonts w:hint="eastAsia" w:ascii="仿宋_GB2312" w:eastAsia="仿宋_GB2312"/>
                <w:color w:val="auto"/>
              </w:rPr>
              <w:t>设备</w:t>
            </w:r>
            <w:r>
              <w:rPr>
                <w:rFonts w:hint="eastAsia" w:ascii="仿宋_GB2312" w:eastAsia="仿宋_GB2312"/>
                <w:color w:val="auto"/>
                <w:lang w:eastAsia="zh-CN"/>
              </w:rPr>
              <w:t>，</w:t>
            </w:r>
            <w:r>
              <w:rPr>
                <w:rFonts w:hint="eastAsia" w:ascii="仿宋_GB2312" w:eastAsia="仿宋_GB2312"/>
                <w:color w:val="auto"/>
              </w:rPr>
              <w:t>废气是否</w:t>
            </w:r>
            <w:r>
              <w:rPr>
                <w:rFonts w:ascii="仿宋_GB2312" w:eastAsia="仿宋_GB2312"/>
                <w:color w:val="auto"/>
              </w:rPr>
              <w:t>收集</w:t>
            </w:r>
            <w:r>
              <w:rPr>
                <w:rFonts w:hint="eastAsia" w:ascii="仿宋_GB2312" w:eastAsia="仿宋_GB2312"/>
                <w:color w:val="auto"/>
              </w:rPr>
              <w:t>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含VOCs的中间产品投加过程是否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含VOCs的成品（产品）储存过程是否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含VOCs的成品（产品）转移、输送过程是否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含VOCs的成品（产品）卸料、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灌装、包装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过程是否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涉及VOCs的投料口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、卸料口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灌装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接口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包装设施在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未使用时是否密闭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载有气（液）态VOCs物料的设备与管线组件密封点大于等于2000个时，是否按照规定的时间、频次进行VOCs的泄漏检测与修复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含VOCs的危险废物产生后是否马上密闭（包括漆渣、更换的VOCs吸附剂、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过滤棉、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以及含油墨、有机溶剂、清洗剂的包装物、污水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处理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废弃物等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185545" cy="1111250"/>
                  <wp:effectExtent l="0" t="0" r="14605" b="12700"/>
                  <wp:docPr id="5" name="图片 4" descr="IMG_20181221_151821_WPS图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IMG_20181221_151821_WPS图片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45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含VOCs的危险废物贮存期间是否密闭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092835" cy="1219835"/>
                  <wp:effectExtent l="0" t="0" r="12065" b="18415"/>
                  <wp:docPr id="6" name="图片 5" descr="1605077536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 descr="1605077536(1)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835" cy="121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含VOCs的危险废物输送、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转移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28" name="图片 28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或生产设施）车间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门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窗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是否设置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常闭警示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标识或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29" name="图片 29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所有产生VOCs的生产车间是否有未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收集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处理废气的排气风扇（或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换气风扇）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所有产生VOCs的生产车间门是否设置阻隔设施（双重门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等）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30" name="图片 30" descr="be96c8a949cbb44ba931e3cff4941b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30" descr="be96c8a949cbb44ba931e3cff4941b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产生VOCs的密闭空间是否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为微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负压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所有产生VOCs的生产车间（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或生产设施）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是否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存在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漏气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点位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  <w:lang w:eastAsia="zh-CN"/>
              </w:rPr>
              <w:t>含</w:t>
            </w:r>
            <w:r>
              <w:rPr>
                <w:rFonts w:hint="eastAsia" w:ascii="仿宋_GB2312" w:eastAsia="仿宋_GB2312"/>
                <w:color w:val="auto"/>
                <w:lang w:val="en-US" w:eastAsia="zh-CN"/>
              </w:rPr>
              <w:t>VOCs的</w:t>
            </w:r>
            <w:r>
              <w:rPr>
                <w:rFonts w:hint="eastAsia" w:ascii="仿宋_GB2312" w:eastAsia="仿宋_GB2312"/>
                <w:color w:val="auto"/>
              </w:rPr>
              <w:t>污水处理站的处理构筑物是否加盖密封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eastAsia="仿宋_GB2312"/>
                <w:color w:val="auto"/>
                <w:lang w:eastAsia="zh-CN"/>
              </w:rPr>
              <w:t>含</w:t>
            </w:r>
            <w:r>
              <w:rPr>
                <w:rFonts w:hint="eastAsia" w:ascii="仿宋_GB2312" w:eastAsia="仿宋_GB2312"/>
                <w:color w:val="auto"/>
                <w:lang w:val="en-US" w:eastAsia="zh-CN"/>
              </w:rPr>
              <w:t>VOCs的</w:t>
            </w:r>
            <w:r>
              <w:rPr>
                <w:rFonts w:hint="eastAsia" w:ascii="仿宋_GB2312" w:eastAsia="仿宋_GB2312"/>
                <w:color w:val="auto"/>
              </w:rPr>
              <w:t>污水处理站的废气是否收集处理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VOCs集气管路是否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标明废气走向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（现有标识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总个数：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所有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产生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VOCs的生产场所和工段是否设置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废气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收集系统，将废气收集到位并导入废气治理设施。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印刷车间设置了废弃收集系统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汤海根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14246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</w:rPr>
              <w:t>四、治理设施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color w:val="auto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废气收集系统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、治理设施和生产设备的开、关时间是否记录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设施设备的开关时间是否写入操作规程并明示公布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drawing>
                <wp:inline distT="0" distB="0" distL="114300" distR="114300">
                  <wp:extent cx="1195070" cy="800735"/>
                  <wp:effectExtent l="0" t="0" r="5080" b="18415"/>
                  <wp:docPr id="13" name="图片 12" descr="QQ图片20190727131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 descr="QQ图片2019072713141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7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废气收集系统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、治理设施和生产设备的开、关时间是否符合要求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690" cy="902335"/>
                  <wp:effectExtent l="0" t="0" r="16510" b="12065"/>
                  <wp:docPr id="27" name="图片 27" descr="3ab301154ba78f356aee7d681651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3ab301154ba78f356aee7d68165185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690" cy="9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密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闭设施外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任意一点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非甲烷总烃、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苯、甲苯、二甲苯中的任一种污染物瞬时排放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浓度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值是否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低于无组织排放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监控浓度限值</w:t>
            </w:r>
          </w:p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检查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最大可能点位包括：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原料仓库（储罐）、危废仓库及无组织排放最大可能点至少三点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1895" cy="1369060"/>
                  <wp:effectExtent l="0" t="0" r="8255" b="2540"/>
                  <wp:docPr id="1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136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VOCs治理设施是否设正常运行，治理设施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eastAsia="zh-CN"/>
              </w:rPr>
              <w:t>去除效率是否高于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val="en-US" w:eastAsia="zh-CN"/>
              </w:rPr>
              <w:t>50%；收集的废气中NMHC初始排放速率≥2kg/h的，治理设施去除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效率是否高于80%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  <w:lang w:eastAsia="zh-CN"/>
              </w:rPr>
              <w:t>。</w:t>
            </w:r>
            <w:r>
              <w:rPr>
                <w:rFonts w:hint="default" w:ascii="仿宋_GB2312" w:hAnsi="宋体" w:eastAsia="仿宋_GB2312" w:cs="宋体"/>
                <w:color w:val="auto"/>
                <w:sz w:val="22"/>
                <w:szCs w:val="22"/>
              </w:rPr>
              <w:t>（2020年8月25日前建成的低温等离子体法或光催化氧化法设施净化效率是否高于50%）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drawing>
                <wp:inline distT="0" distB="0" distL="114300" distR="114300">
                  <wp:extent cx="1195705" cy="730250"/>
                  <wp:effectExtent l="0" t="0" r="4445" b="12700"/>
                  <wp:docPr id="15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705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的处理工艺及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流程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1" name="图片 11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的主要技术参数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2" name="图片 12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是否公示VOCs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的保养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维护制度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2055" cy="721995"/>
                  <wp:effectExtent l="0" t="0" r="17145" b="1905"/>
                  <wp:docPr id="16" name="图片 16" descr="微信图片_2022092908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微信图片_2022092908152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721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公示的位置是否为治理设施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场所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的显著位置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drawing>
                <wp:inline distT="0" distB="0" distL="114300" distR="114300">
                  <wp:extent cx="1195070" cy="593090"/>
                  <wp:effectExtent l="0" t="0" r="5080" b="16510"/>
                  <wp:docPr id="19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507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公示的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场所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一共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几个位置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？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一共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个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位置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）</w:t>
            </w:r>
          </w:p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公示场所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具体位置：</w:t>
            </w:r>
          </w:p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1、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eastAsia="zh-CN"/>
              </w:rPr>
              <w:t>车间公式栏对面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2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vocs机器旁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3、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        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所有公示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内容是否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包含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公示环保举报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投诉</w:t>
            </w:r>
            <w:r>
              <w:rPr>
                <w:rFonts w:ascii="仿宋_GB2312" w:hAnsi="宋体" w:eastAsia="仿宋_GB2312" w:cs="宋体"/>
                <w:color w:val="auto"/>
                <w:sz w:val="22"/>
                <w:szCs w:val="22"/>
              </w:rPr>
              <w:t>电话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12369或各驻区生态环境局公布的环保举报热线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drawing>
                <wp:inline distT="0" distB="0" distL="114300" distR="114300">
                  <wp:extent cx="1189990" cy="708025"/>
                  <wp:effectExtent l="0" t="0" r="10160" b="15875"/>
                  <wp:docPr id="20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990" cy="70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是否记录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VOCs治理设施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的关键技术指标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，如焚烧（含热氧化）要记录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燃烧温度。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  <w:t>无指标需记录</w:t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需定期更换吸附剂、催化剂或吸收液的，是否有详细的购买及更换台账，包括装填量、更换周期、采购发票及转移处置记录</w:t>
            </w:r>
          </w:p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最新更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新的日期：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2023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年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11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月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  <w:lang w:val="en-US" w:eastAsia="zh-CN"/>
              </w:rPr>
              <w:t>27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日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12850" cy="1723390"/>
                  <wp:effectExtent l="0" t="0" r="6350" b="10160"/>
                  <wp:docPr id="35" name="图片 35" descr="9c676df6f7d80190fb1396e71e53a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9c676df6f7d80190fb1396e71e53ab6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172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排气筒数量是否符合要求：</w:t>
            </w:r>
          </w:p>
          <w:p>
            <w:pPr>
              <w:numPr>
                <w:ilvl w:val="0"/>
                <w:numId w:val="2"/>
              </w:num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采用燃烧法（含直接燃烧、催化燃烧和蓄热燃烧法等）治理VOCs废气的，每套燃烧设施允许设置一根VOCs排气筒，</w:t>
            </w:r>
          </w:p>
          <w:p>
            <w:pPr>
              <w:numPr>
                <w:ilvl w:val="0"/>
                <w:numId w:val="2"/>
              </w:num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采用其他方法治理VOCs废气的，一个企业一栋建筑只允许设置一根VOCs排气筒。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33" name="图片 33" descr="88632a69b1a39fead6325b573b143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88632a69b1a39fead6325b573b143f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涉及使用活性炭吸附工艺的企业：设施前端应配置干燥工艺，除湿剂更换周期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，装填量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，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最后一次更换日期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喷漆工艺废气有应用活性炭吸附工艺的企业：进入活性炭处理设施前是否有去除颗粒物，记录并公示去除装置的装填量、装填日期、更换周期。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未涉及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是否还有设置其他任何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VOCs废气的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排放口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及出风口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按《固定源监测技术规范》（HJ／T397）要求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设置采样口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2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是否按规范设置采样平台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4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口附近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配备固定电源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</w:rPr>
              <w:drawing>
                <wp:inline distT="0" distB="0" distL="114300" distR="114300">
                  <wp:extent cx="1134745" cy="1510030"/>
                  <wp:effectExtent l="0" t="0" r="8255" b="13970"/>
                  <wp:docPr id="26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745" cy="151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排气筒采样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口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是否按规范设置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固定</w:t>
            </w:r>
            <w:r>
              <w:rPr>
                <w:rFonts w:hint="eastAsia" w:ascii="仿宋_GB2312" w:hAnsi="宋体" w:eastAsia="仿宋_GB2312" w:cs="宋体"/>
                <w:color w:val="auto"/>
                <w:sz w:val="22"/>
                <w:szCs w:val="22"/>
              </w:rPr>
              <w:t>安全的人员通道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是</w:t>
            </w:r>
          </w:p>
        </w:tc>
        <w:tc>
          <w:tcPr>
            <w:tcW w:w="2126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排气筒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采样口后是否还有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其他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废气接入排气筒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drawing>
                <wp:inline distT="0" distB="0" distL="114300" distR="114300">
                  <wp:extent cx="1207135" cy="1608455"/>
                  <wp:effectExtent l="0" t="0" r="12065" b="10795"/>
                  <wp:docPr id="34" name="图片 34" descr="964e0276198b692fc56dcbff750df3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34" descr="964e0276198b692fc56dcbff750df3d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60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本</w:t>
            </w:r>
            <w:r>
              <w:rPr>
                <w:rFonts w:ascii="仿宋_GB2312" w:hAnsi="宋体" w:eastAsia="仿宋_GB2312"/>
                <w:color w:val="auto"/>
                <w:sz w:val="22"/>
                <w:szCs w:val="22"/>
              </w:rPr>
              <w:t>自查表是否在互联网公开</w:t>
            </w: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  <w:t>公示</w:t>
            </w:r>
          </w:p>
        </w:tc>
        <w:tc>
          <w:tcPr>
            <w:tcW w:w="8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/>
                <w:color w:val="auto"/>
                <w:sz w:val="22"/>
                <w:szCs w:val="22"/>
                <w:lang w:eastAsia="zh-CN"/>
              </w:rPr>
              <w:t>否</w:t>
            </w:r>
          </w:p>
        </w:tc>
        <w:tc>
          <w:tcPr>
            <w:tcW w:w="21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szCs w:val="22"/>
                <w:lang w:val="en-US" w:eastAsia="zh-CN"/>
              </w:rPr>
              <w:t>2024.6.17</w:t>
            </w:r>
          </w:p>
        </w:tc>
        <w:tc>
          <w:tcPr>
            <w:tcW w:w="9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  <w:tc>
          <w:tcPr>
            <w:tcW w:w="13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auto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lang w:eastAsia="zh-CN"/>
              </w:rPr>
              <w:t>邓钦文</w:t>
            </w:r>
          </w:p>
        </w:tc>
      </w:tr>
    </w:tbl>
    <w:p>
      <w:pPr>
        <w:rPr>
          <w:rFonts w:hint="eastAsia" w:ascii="仿宋_GB2312" w:eastAsia="仿宋_GB2312"/>
          <w:color w:val="auto"/>
        </w:rPr>
      </w:pPr>
    </w:p>
    <w:p>
      <w:pPr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13047"/>
    <w:multiLevelType w:val="multilevel"/>
    <w:tmpl w:val="39913047"/>
    <w:lvl w:ilvl="0" w:tentative="0">
      <w:start w:val="1"/>
      <w:numFmt w:val="decimal"/>
      <w:lvlText w:val="%1"/>
      <w:lvlJc w:val="left"/>
      <w:pPr>
        <w:ind w:left="0" w:firstLine="57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AB82C6D"/>
    <w:multiLevelType w:val="multilevel"/>
    <w:tmpl w:val="7AB82C6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1NGJkNjY1MjA0MWNiYzcyYzdjNzRkYjY2MzAyYzcifQ=="/>
    <w:docVar w:name="KSO_WPS_MARK_KEY" w:val="fd11bc8f-8e70-45b2-9e8f-5af993195568"/>
  </w:docVars>
  <w:rsids>
    <w:rsidRoot w:val="7D2D31ED"/>
    <w:rsid w:val="035661EC"/>
    <w:rsid w:val="03B804CE"/>
    <w:rsid w:val="07C603FA"/>
    <w:rsid w:val="169A44B4"/>
    <w:rsid w:val="18154DC8"/>
    <w:rsid w:val="19410B0E"/>
    <w:rsid w:val="263673AD"/>
    <w:rsid w:val="2AE65071"/>
    <w:rsid w:val="2CA4601B"/>
    <w:rsid w:val="346639B0"/>
    <w:rsid w:val="36B62779"/>
    <w:rsid w:val="38286E48"/>
    <w:rsid w:val="3C57442E"/>
    <w:rsid w:val="3D506AFC"/>
    <w:rsid w:val="44AE5780"/>
    <w:rsid w:val="44DA759D"/>
    <w:rsid w:val="44F031D3"/>
    <w:rsid w:val="4F5B5AF2"/>
    <w:rsid w:val="508D46F8"/>
    <w:rsid w:val="53A9514E"/>
    <w:rsid w:val="545E186D"/>
    <w:rsid w:val="58727AFE"/>
    <w:rsid w:val="71C17FC6"/>
    <w:rsid w:val="7D2D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ind w:firstLine="0" w:firstLineChars="0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4"/>
    <w:link w:val="13"/>
    <w:autoRedefine/>
    <w:semiHidden/>
    <w:unhideWhenUsed/>
    <w:qFormat/>
    <w:uiPriority w:val="0"/>
    <w:pPr>
      <w:keepNext/>
      <w:keepLines/>
      <w:ind w:firstLine="0" w:firstLineChars="0"/>
      <w:outlineLvl w:val="1"/>
    </w:pPr>
    <w:rPr>
      <w:rFonts w:ascii="Times New Roman" w:hAnsi="Times New Roman" w:eastAsia="宋体"/>
      <w:b/>
      <w:bCs/>
      <w:sz w:val="30"/>
      <w:szCs w:val="32"/>
    </w:rPr>
  </w:style>
  <w:style w:type="paragraph" w:styleId="5">
    <w:name w:val="heading 3"/>
    <w:basedOn w:val="1"/>
    <w:next w:val="4"/>
    <w:link w:val="14"/>
    <w:autoRedefine/>
    <w:semiHidden/>
    <w:unhideWhenUsed/>
    <w:qFormat/>
    <w:uiPriority w:val="0"/>
    <w:pPr>
      <w:keepNext/>
      <w:keepLines/>
      <w:adjustRightInd w:val="0"/>
      <w:snapToGrid w:val="0"/>
      <w:ind w:firstLine="0" w:firstLineChars="0"/>
      <w:outlineLvl w:val="2"/>
    </w:pPr>
    <w:rPr>
      <w:rFonts w:ascii="Times New Roman" w:hAnsi="Times New Roman" w:eastAsia="宋体"/>
      <w:b/>
      <w:bCs/>
      <w:sz w:val="28"/>
      <w:szCs w:val="32"/>
    </w:rPr>
  </w:style>
  <w:style w:type="paragraph" w:styleId="6">
    <w:name w:val="heading 4"/>
    <w:basedOn w:val="1"/>
    <w:next w:val="1"/>
    <w:link w:val="15"/>
    <w:autoRedefine/>
    <w:semiHidden/>
    <w:unhideWhenUsed/>
    <w:qFormat/>
    <w:uiPriority w:val="0"/>
    <w:pPr>
      <w:keepNext/>
      <w:keepLines/>
      <w:outlineLvl w:val="3"/>
    </w:pPr>
    <w:rPr>
      <w:rFonts w:ascii="Times New Roman" w:hAnsi="Times New Roman" w:eastAsia="宋体" w:cstheme="majorBidi"/>
      <w:b/>
      <w:bCs/>
      <w:sz w:val="24"/>
      <w:szCs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rFonts w:ascii="Times New Roman" w:hAnsi="Times New Roman" w:eastAsia="宋体"/>
      <w:b/>
      <w:sz w:val="28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11">
    <w:name w:val="page number"/>
    <w:autoRedefine/>
    <w:qFormat/>
    <w:uiPriority w:val="0"/>
  </w:style>
  <w:style w:type="character" w:customStyle="1" w:styleId="12">
    <w:name w:val="标题 1 Char"/>
    <w:basedOn w:val="10"/>
    <w:link w:val="2"/>
    <w:qFormat/>
    <w:uiPriority w:val="0"/>
    <w:rPr>
      <w:rFonts w:ascii="Times New Roman" w:hAnsi="Times New Roman" w:eastAsia="宋体" w:cstheme="minorBidi"/>
      <w:b/>
      <w:bCs/>
      <w:kern w:val="44"/>
      <w:sz w:val="32"/>
      <w:szCs w:val="44"/>
    </w:rPr>
  </w:style>
  <w:style w:type="character" w:customStyle="1" w:styleId="13">
    <w:name w:val="标题 2 Char"/>
    <w:basedOn w:val="10"/>
    <w:link w:val="3"/>
    <w:qFormat/>
    <w:uiPriority w:val="0"/>
    <w:rPr>
      <w:rFonts w:ascii="Times New Roman" w:hAnsi="Times New Roman" w:eastAsia="宋体" w:cstheme="minorBidi"/>
      <w:b/>
      <w:bCs/>
      <w:sz w:val="30"/>
      <w:szCs w:val="32"/>
    </w:rPr>
  </w:style>
  <w:style w:type="character" w:customStyle="1" w:styleId="14">
    <w:name w:val="标题 3 Char"/>
    <w:basedOn w:val="10"/>
    <w:link w:val="5"/>
    <w:autoRedefine/>
    <w:qFormat/>
    <w:uiPriority w:val="0"/>
    <w:rPr>
      <w:rFonts w:ascii="Times New Roman" w:hAnsi="Times New Roman" w:eastAsia="宋体" w:cstheme="minorBidi"/>
      <w:b/>
      <w:bCs/>
      <w:sz w:val="28"/>
      <w:szCs w:val="32"/>
    </w:rPr>
  </w:style>
  <w:style w:type="character" w:customStyle="1" w:styleId="15">
    <w:name w:val="标题 4 Char"/>
    <w:basedOn w:val="10"/>
    <w:link w:val="6"/>
    <w:qFormat/>
    <w:uiPriority w:val="0"/>
    <w:rPr>
      <w:rFonts w:ascii="Times New Roman" w:hAnsi="Times New Roman" w:eastAsia="宋体" w:cstheme="majorBidi"/>
      <w:b/>
      <w:bCs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image" Target="media/image20.jpeg"/><Relationship Id="rId22" Type="http://schemas.openxmlformats.org/officeDocument/2006/relationships/image" Target="media/image19.png"/><Relationship Id="rId21" Type="http://schemas.openxmlformats.org/officeDocument/2006/relationships/image" Target="media/image18.jpe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2338</Words>
  <Characters>3042</Characters>
  <Lines>0</Lines>
  <Paragraphs>0</Paragraphs>
  <TotalTime>37</TotalTime>
  <ScaleCrop>false</ScaleCrop>
  <LinksUpToDate>false</LinksUpToDate>
  <CharactersWithSpaces>3107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2022-04-01T00:55:00Z</dcterms:created>
  <dc:creator>inconceivable</dc:creator>
  <cp:lastModifiedBy>WPS_195607519</cp:lastModifiedBy>
  <cp:lastPrinted>2024-03-12T05:55:00Z</cp:lastPrinted>
  <dcterms:modified xsi:type="dcterms:W3CDTF">2024-06-17T08:19:11Z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5CF8AF27BE894B5989B2CAA006D1EFB9_13</vt:lpwstr>
  </property>
</Properties>
</file>