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240" w:lineRule="auto"/>
        <w:ind w:firstLine="560"/>
        <w:rPr>
          <w:rFonts w:ascii="Times New Roman" w:hAnsi="Times New Roman"/>
          <w:bCs/>
          <w:szCs w:val="28"/>
        </w:rPr>
      </w:pPr>
    </w:p>
    <w:p>
      <w:pPr>
        <w:snapToGrid w:val="0"/>
        <w:spacing w:line="240" w:lineRule="auto"/>
        <w:ind w:firstLine="560"/>
        <w:rPr>
          <w:rFonts w:ascii="Times New Roman" w:hAnsi="Times New Roman"/>
          <w:bCs/>
          <w:szCs w:val="28"/>
        </w:rPr>
      </w:pPr>
    </w:p>
    <w:p>
      <w:pPr>
        <w:snapToGrid w:val="0"/>
        <w:spacing w:line="240" w:lineRule="auto"/>
        <w:ind w:firstLine="560"/>
        <w:rPr>
          <w:rFonts w:ascii="Times New Roman" w:hAnsi="Times New Roman"/>
          <w:bCs/>
          <w:szCs w:val="28"/>
        </w:rPr>
      </w:pPr>
    </w:p>
    <w:p>
      <w:pPr>
        <w:snapToGrid w:val="0"/>
        <w:spacing w:line="240" w:lineRule="auto"/>
        <w:ind w:firstLine="560"/>
        <w:rPr>
          <w:rFonts w:ascii="Times New Roman" w:hAnsi="Times New Roman"/>
          <w:bCs/>
          <w:szCs w:val="28"/>
        </w:rPr>
      </w:pPr>
    </w:p>
    <w:p>
      <w:pPr>
        <w:snapToGrid w:val="0"/>
        <w:spacing w:line="240" w:lineRule="auto"/>
        <w:ind w:firstLine="560"/>
        <w:rPr>
          <w:rFonts w:ascii="Times New Roman" w:hAnsi="Times New Roman"/>
          <w:bCs/>
          <w:szCs w:val="28"/>
        </w:rPr>
      </w:pPr>
    </w:p>
    <w:p>
      <w:pPr>
        <w:snapToGrid w:val="0"/>
        <w:spacing w:line="240" w:lineRule="auto"/>
        <w:ind w:firstLine="560"/>
        <w:rPr>
          <w:rFonts w:ascii="Times New Roman" w:hAnsi="Times New Roman"/>
          <w:bCs/>
          <w:szCs w:val="28"/>
        </w:rPr>
      </w:pPr>
    </w:p>
    <w:p>
      <w:pPr>
        <w:pStyle w:val="2"/>
        <w:snapToGrid w:val="0"/>
        <w:spacing w:line="360" w:lineRule="auto"/>
        <w:jc w:val="center"/>
        <w:rPr>
          <w:rFonts w:ascii="Times New Roman" w:hAnsi="Times New Roman"/>
          <w:bCs w:val="0"/>
          <w:kern w:val="2"/>
        </w:rPr>
      </w:pPr>
      <w:bookmarkStart w:id="0" w:name="_Toc350407994"/>
      <w:bookmarkEnd w:id="0"/>
      <w:bookmarkStart w:id="1" w:name="_Toc507012660"/>
      <w:bookmarkEnd w:id="1"/>
      <w:bookmarkStart w:id="2" w:name="_Toc28021900"/>
      <w:bookmarkEnd w:id="2"/>
      <w:bookmarkStart w:id="3" w:name="_Toc507012405"/>
      <w:bookmarkEnd w:id="3"/>
      <w:bookmarkStart w:id="4" w:name="_Toc507012507"/>
      <w:bookmarkEnd w:id="4"/>
      <w:bookmarkStart w:id="5" w:name="_Toc28020423"/>
      <w:bookmarkEnd w:id="5"/>
      <w:bookmarkStart w:id="6" w:name="_Toc93062899"/>
      <w:r>
        <w:rPr>
          <w:rFonts w:hint="eastAsia" w:ascii="Times New Roman" w:hAnsi="Times New Roman"/>
          <w:bCs w:val="0"/>
          <w:kern w:val="2"/>
        </w:rPr>
        <w:t>郑州欧源电气有限公司</w:t>
      </w:r>
    </w:p>
    <w:p>
      <w:pPr>
        <w:pStyle w:val="2"/>
        <w:snapToGrid w:val="0"/>
        <w:spacing w:line="360" w:lineRule="auto"/>
        <w:jc w:val="center"/>
        <w:rPr>
          <w:rFonts w:ascii="Times New Roman" w:hAnsi="Times New Roman"/>
        </w:rPr>
      </w:pPr>
      <w:r>
        <w:rPr>
          <w:rFonts w:ascii="Times New Roman" w:hAnsi="Times New Roman"/>
        </w:rPr>
        <w:t>危险废物专项应急预案</w:t>
      </w:r>
      <w:bookmarkEnd w:id="6"/>
    </w:p>
    <w:p>
      <w:pPr>
        <w:spacing w:line="240" w:lineRule="auto"/>
        <w:ind w:firstLine="0" w:firstLineChars="0"/>
        <w:jc w:val="left"/>
        <w:rPr>
          <w:rFonts w:ascii="Times New Roman" w:hAnsi="Times New Roman"/>
          <w:szCs w:val="28"/>
        </w:rPr>
      </w:pPr>
    </w:p>
    <w:p>
      <w:pPr>
        <w:spacing w:line="240" w:lineRule="auto"/>
        <w:ind w:firstLine="0" w:firstLineChars="0"/>
        <w:jc w:val="left"/>
        <w:rPr>
          <w:rFonts w:ascii="Times New Roman" w:hAnsi="Times New Roman"/>
          <w:szCs w:val="28"/>
        </w:rPr>
      </w:pPr>
    </w:p>
    <w:p>
      <w:pPr>
        <w:spacing w:line="240" w:lineRule="auto"/>
        <w:ind w:firstLine="0" w:firstLineChars="0"/>
        <w:jc w:val="left"/>
        <w:rPr>
          <w:rFonts w:ascii="Times New Roman" w:hAnsi="Times New Roman"/>
          <w:szCs w:val="28"/>
        </w:rPr>
      </w:pPr>
    </w:p>
    <w:p>
      <w:pPr>
        <w:spacing w:line="240" w:lineRule="auto"/>
        <w:ind w:firstLine="0" w:firstLineChars="0"/>
        <w:jc w:val="left"/>
        <w:rPr>
          <w:rFonts w:ascii="Times New Roman" w:hAnsi="Times New Roman"/>
          <w:szCs w:val="28"/>
        </w:rPr>
      </w:pPr>
    </w:p>
    <w:p>
      <w:pPr>
        <w:spacing w:line="240" w:lineRule="auto"/>
        <w:ind w:firstLine="0" w:firstLineChars="0"/>
        <w:jc w:val="left"/>
        <w:rPr>
          <w:rFonts w:ascii="Times New Roman" w:hAnsi="Times New Roman"/>
          <w:szCs w:val="28"/>
        </w:rPr>
      </w:pPr>
    </w:p>
    <w:p>
      <w:pPr>
        <w:spacing w:line="240" w:lineRule="auto"/>
        <w:ind w:firstLine="0" w:firstLineChars="0"/>
        <w:jc w:val="left"/>
        <w:rPr>
          <w:rFonts w:ascii="Times New Roman" w:hAnsi="Times New Roman"/>
          <w:szCs w:val="28"/>
        </w:rPr>
      </w:pPr>
    </w:p>
    <w:p>
      <w:pPr>
        <w:spacing w:line="240" w:lineRule="auto"/>
        <w:ind w:firstLine="0" w:firstLineChars="0"/>
        <w:jc w:val="left"/>
        <w:rPr>
          <w:rFonts w:ascii="Times New Roman" w:hAnsi="Times New Roman"/>
          <w:szCs w:val="28"/>
        </w:rPr>
      </w:pPr>
    </w:p>
    <w:p>
      <w:pPr>
        <w:spacing w:line="240" w:lineRule="auto"/>
        <w:ind w:firstLine="0" w:firstLineChars="0"/>
        <w:jc w:val="left"/>
        <w:rPr>
          <w:rFonts w:ascii="Times New Roman" w:hAnsi="Times New Roman"/>
          <w:szCs w:val="28"/>
        </w:rPr>
      </w:pPr>
    </w:p>
    <w:p>
      <w:pPr>
        <w:spacing w:line="240" w:lineRule="auto"/>
        <w:ind w:firstLine="0" w:firstLineChars="0"/>
        <w:jc w:val="left"/>
        <w:rPr>
          <w:rFonts w:ascii="Times New Roman" w:hAnsi="Times New Roman"/>
          <w:szCs w:val="28"/>
        </w:rPr>
      </w:pPr>
    </w:p>
    <w:p>
      <w:pPr>
        <w:spacing w:line="240" w:lineRule="auto"/>
        <w:ind w:firstLine="964" w:firstLineChars="300"/>
        <w:rPr>
          <w:rFonts w:ascii="Times New Roman" w:hAnsi="Times New Roman"/>
          <w:b/>
          <w:sz w:val="32"/>
          <w:szCs w:val="32"/>
        </w:rPr>
      </w:pPr>
      <w:r>
        <w:rPr>
          <w:rFonts w:ascii="Times New Roman" w:hAnsi="Times New Roman"/>
          <w:b/>
          <w:sz w:val="32"/>
          <w:szCs w:val="32"/>
        </w:rPr>
        <w:t>项目单位：郑州欧源电气有限公司</w:t>
      </w:r>
    </w:p>
    <w:p>
      <w:pPr>
        <w:spacing w:line="240" w:lineRule="auto"/>
        <w:ind w:firstLine="964" w:firstLineChars="300"/>
        <w:rPr>
          <w:rFonts w:ascii="Times New Roman" w:hAnsi="Times New Roman"/>
          <w:b/>
          <w:sz w:val="32"/>
          <w:szCs w:val="32"/>
        </w:rPr>
      </w:pPr>
      <w:r>
        <w:rPr>
          <w:rFonts w:ascii="Times New Roman" w:hAnsi="Times New Roman"/>
          <w:b/>
          <w:sz w:val="32"/>
          <w:szCs w:val="32"/>
        </w:rPr>
        <w:t>咨询单位：洛阳源博科技咨询有限公司</w:t>
      </w:r>
    </w:p>
    <w:p>
      <w:pPr>
        <w:spacing w:line="240" w:lineRule="auto"/>
        <w:ind w:firstLine="0" w:firstLineChars="0"/>
        <w:jc w:val="center"/>
        <w:rPr>
          <w:rFonts w:ascii="Times New Roman" w:hAnsi="Times New Roman"/>
          <w:b/>
          <w:sz w:val="32"/>
          <w:szCs w:val="32"/>
        </w:rPr>
      </w:pPr>
      <w:r>
        <w:rPr>
          <w:rFonts w:ascii="Times New Roman" w:hAnsi="Times New Roman"/>
          <w:b/>
          <w:sz w:val="32"/>
          <w:szCs w:val="32"/>
        </w:rPr>
        <w:t>二〇二</w:t>
      </w:r>
      <w:r>
        <w:rPr>
          <w:rFonts w:hint="eastAsia" w:ascii="Times New Roman" w:hAnsi="Times New Roman"/>
          <w:b/>
          <w:sz w:val="32"/>
          <w:szCs w:val="32"/>
        </w:rPr>
        <w:t>二</w:t>
      </w:r>
      <w:r>
        <w:rPr>
          <w:rFonts w:ascii="Times New Roman" w:hAnsi="Times New Roman"/>
          <w:b/>
          <w:sz w:val="32"/>
          <w:szCs w:val="32"/>
        </w:rPr>
        <w:t>年</w:t>
      </w:r>
      <w:r>
        <w:rPr>
          <w:rFonts w:hint="eastAsia" w:ascii="Times New Roman" w:hAnsi="Times New Roman"/>
          <w:b/>
          <w:sz w:val="32"/>
          <w:szCs w:val="32"/>
        </w:rPr>
        <w:t>八</w:t>
      </w:r>
      <w:r>
        <w:rPr>
          <w:rFonts w:ascii="Times New Roman" w:hAnsi="Times New Roman"/>
          <w:b/>
          <w:sz w:val="32"/>
          <w:szCs w:val="32"/>
        </w:rPr>
        <w:t>月</w:t>
      </w:r>
    </w:p>
    <w:p>
      <w:pPr>
        <w:spacing w:line="240" w:lineRule="auto"/>
        <w:ind w:firstLine="0" w:firstLineChars="0"/>
        <w:jc w:val="center"/>
        <w:rPr>
          <w:rFonts w:ascii="Times New Roman" w:hAnsi="Times New Roman"/>
          <w:b/>
          <w:sz w:val="32"/>
          <w:szCs w:val="32"/>
        </w:rPr>
      </w:pPr>
    </w:p>
    <w:p>
      <w:pPr>
        <w:spacing w:line="240" w:lineRule="auto"/>
        <w:ind w:firstLine="0" w:firstLineChars="0"/>
        <w:jc w:val="center"/>
        <w:rPr>
          <w:rFonts w:ascii="Times New Roman" w:hAnsi="Times New Roman"/>
          <w:b/>
          <w:sz w:val="32"/>
          <w:szCs w:val="32"/>
        </w:rPr>
      </w:pPr>
      <w:r>
        <w:rPr>
          <w:rFonts w:ascii="Times New Roman" w:hAnsi="Times New Roman"/>
          <w:b/>
          <w:sz w:val="32"/>
          <w:szCs w:val="32"/>
        </w:rPr>
        <w:br w:type="page"/>
      </w:r>
    </w:p>
    <w:p>
      <w:pPr>
        <w:autoSpaceDE w:val="0"/>
        <w:autoSpaceDN w:val="0"/>
        <w:snapToGrid w:val="0"/>
        <w:spacing w:line="240" w:lineRule="auto"/>
        <w:ind w:firstLine="3975" w:firstLineChars="1100"/>
        <w:outlineLvl w:val="0"/>
        <w:rPr>
          <w:rFonts w:ascii="Times New Roman" w:hAnsi="Times New Roman"/>
          <w:b/>
          <w:bCs/>
          <w:sz w:val="36"/>
          <w:szCs w:val="36"/>
        </w:rPr>
      </w:pPr>
      <w:bookmarkStart w:id="7" w:name="_Toc29312289"/>
      <w:bookmarkEnd w:id="7"/>
      <w:bookmarkStart w:id="8" w:name="_Toc29887734"/>
      <w:bookmarkEnd w:id="8"/>
      <w:bookmarkStart w:id="9" w:name="_Toc40971400"/>
      <w:bookmarkStart w:id="10" w:name="_Toc93062900"/>
      <w:r>
        <w:rPr>
          <w:rFonts w:ascii="Times New Roman" w:hAnsi="Times New Roman"/>
          <w:b/>
          <w:bCs/>
          <w:sz w:val="36"/>
          <w:szCs w:val="36"/>
        </w:rPr>
        <w:t>1</w:t>
      </w:r>
      <w:bookmarkEnd w:id="9"/>
      <w:r>
        <w:rPr>
          <w:rFonts w:ascii="Times New Roman" w:hAnsi="Times New Roman"/>
          <w:b/>
          <w:bCs/>
          <w:sz w:val="36"/>
          <w:szCs w:val="36"/>
        </w:rPr>
        <w:t>、 总则</w:t>
      </w:r>
      <w:bookmarkEnd w:id="10"/>
    </w:p>
    <w:p>
      <w:pPr>
        <w:keepNext/>
        <w:keepLines/>
        <w:snapToGrid w:val="0"/>
        <w:ind w:firstLine="0" w:firstLineChars="0"/>
        <w:jc w:val="left"/>
        <w:outlineLvl w:val="1"/>
        <w:rPr>
          <w:rFonts w:ascii="Times New Roman" w:hAnsi="Times New Roman" w:eastAsia="仿宋_GB2312"/>
          <w:b/>
          <w:bCs/>
          <w:sz w:val="32"/>
          <w:szCs w:val="32"/>
        </w:rPr>
      </w:pPr>
      <w:bookmarkStart w:id="11" w:name="_Toc29887735"/>
      <w:bookmarkEnd w:id="11"/>
      <w:bookmarkStart w:id="12" w:name="_Toc350408000"/>
      <w:bookmarkEnd w:id="12"/>
      <w:bookmarkStart w:id="13" w:name="_Toc247363898"/>
      <w:bookmarkEnd w:id="13"/>
      <w:bookmarkStart w:id="14" w:name="_Toc247337268"/>
      <w:bookmarkEnd w:id="14"/>
      <w:bookmarkStart w:id="15" w:name="_Toc489978564"/>
      <w:bookmarkEnd w:id="15"/>
      <w:bookmarkStart w:id="16" w:name="_Toc490032982"/>
      <w:bookmarkEnd w:id="16"/>
      <w:bookmarkStart w:id="17" w:name="_Toc247338092"/>
      <w:bookmarkEnd w:id="17"/>
      <w:bookmarkStart w:id="18" w:name="_Toc490033406"/>
      <w:bookmarkEnd w:id="18"/>
      <w:bookmarkStart w:id="19" w:name="_Toc248647799"/>
      <w:bookmarkEnd w:id="19"/>
      <w:bookmarkStart w:id="20" w:name="_Toc247364091"/>
      <w:bookmarkEnd w:id="20"/>
      <w:bookmarkStart w:id="21" w:name="_Toc15429"/>
      <w:bookmarkEnd w:id="21"/>
      <w:bookmarkStart w:id="22" w:name="_Toc507012413"/>
      <w:bookmarkEnd w:id="22"/>
      <w:bookmarkStart w:id="23" w:name="_Toc29312290"/>
      <w:bookmarkEnd w:id="23"/>
      <w:bookmarkStart w:id="24" w:name="_Toc40971401"/>
      <w:bookmarkEnd w:id="24"/>
      <w:bookmarkStart w:id="25" w:name="_Toc507012513"/>
      <w:bookmarkEnd w:id="25"/>
      <w:bookmarkStart w:id="26" w:name="_Toc26126"/>
      <w:bookmarkEnd w:id="26"/>
      <w:bookmarkStart w:id="27" w:name="_Toc8441"/>
      <w:bookmarkEnd w:id="27"/>
      <w:bookmarkStart w:id="28" w:name="_Toc93062901"/>
      <w:bookmarkStart w:id="29" w:name="_Toc507012666"/>
      <w:r>
        <w:rPr>
          <w:rFonts w:ascii="Times New Roman" w:hAnsi="Times New Roman" w:eastAsia="仿宋_GB2312"/>
          <w:b/>
          <w:bCs/>
          <w:sz w:val="32"/>
          <w:szCs w:val="32"/>
        </w:rPr>
        <w:t>1.1 编制背景</w:t>
      </w:r>
      <w:bookmarkEnd w:id="28"/>
    </w:p>
    <w:p>
      <w:pPr>
        <w:ind w:firstLine="560"/>
        <w:rPr>
          <w:rFonts w:ascii="Times New Roman" w:hAnsi="Times New Roman" w:eastAsia="仿宋_GB2312"/>
          <w:szCs w:val="24"/>
        </w:rPr>
      </w:pPr>
      <w:r>
        <w:rPr>
          <w:rFonts w:ascii="Times New Roman" w:hAnsi="Times New Roman" w:eastAsia="仿宋_GB2312"/>
          <w:szCs w:val="24"/>
        </w:rPr>
        <w:t>随着危险废物的管理越来越严格，因此在突发环境事件过程中，应注重危险废物污染的预防和治理工作，同时2018年国家启动建设用地土壤与地下水调查，更加促进了企业对于土壤和地下水污染的预防工作，在此背景下，本企业可能发生的突发环境事件，编制针对本企业的危险废物专项应急预案迫在眉睫。</w:t>
      </w:r>
    </w:p>
    <w:p>
      <w:pPr>
        <w:ind w:firstLine="560"/>
        <w:rPr>
          <w:rFonts w:ascii="Times New Roman" w:hAnsi="Times New Roman" w:eastAsia="仿宋_GB2312"/>
          <w:szCs w:val="24"/>
        </w:rPr>
      </w:pPr>
      <w:r>
        <w:rPr>
          <w:rFonts w:ascii="Times New Roman" w:hAnsi="Times New Roman" w:eastAsia="仿宋_GB2312"/>
          <w:szCs w:val="24"/>
        </w:rPr>
        <w:t>本预案《郑州欧源电气有限公司危险废物专项应急预案》主要针对危险废物发生突发环境事件时如何预防污染进行分析，并提出相应的预防、监控和应急措施，对于提高企业突发环境事件应急处置能力具有重要的意义。</w:t>
      </w:r>
    </w:p>
    <w:p>
      <w:pPr>
        <w:keepNext/>
        <w:keepLines/>
        <w:snapToGrid w:val="0"/>
        <w:ind w:firstLine="0" w:firstLineChars="0"/>
        <w:jc w:val="left"/>
        <w:outlineLvl w:val="1"/>
        <w:rPr>
          <w:rFonts w:ascii="Times New Roman" w:hAnsi="Times New Roman" w:eastAsia="仿宋_GB2312"/>
          <w:b/>
          <w:bCs/>
          <w:sz w:val="32"/>
          <w:szCs w:val="32"/>
        </w:rPr>
      </w:pPr>
      <w:bookmarkStart w:id="30" w:name="_Toc93062902"/>
      <w:r>
        <w:rPr>
          <w:rFonts w:ascii="Times New Roman" w:hAnsi="Times New Roman" w:eastAsia="仿宋_GB2312"/>
          <w:b/>
          <w:bCs/>
          <w:sz w:val="32"/>
          <w:szCs w:val="32"/>
        </w:rPr>
        <w:t>1.2编制目的</w:t>
      </w:r>
      <w:bookmarkEnd w:id="30"/>
    </w:p>
    <w:p>
      <w:pPr>
        <w:ind w:firstLine="560"/>
        <w:rPr>
          <w:rFonts w:ascii="Times New Roman" w:hAnsi="Times New Roman" w:eastAsia="仿宋_GB2312"/>
          <w:szCs w:val="24"/>
        </w:rPr>
      </w:pPr>
      <w:r>
        <w:rPr>
          <w:rFonts w:ascii="Times New Roman" w:hAnsi="Times New Roman" w:eastAsia="仿宋_GB2312"/>
          <w:szCs w:val="24"/>
        </w:rPr>
        <w:t>郑州欧源电气有限公司一家以电池生产为主的企业，企业的危废涉及铅</w:t>
      </w:r>
      <w:r>
        <w:rPr>
          <w:rFonts w:hint="eastAsia" w:ascii="Times New Roman" w:hAnsi="Times New Roman" w:eastAsia="仿宋_GB2312"/>
          <w:szCs w:val="24"/>
        </w:rPr>
        <w:t>渣、铅泥等</w:t>
      </w:r>
      <w:r>
        <w:rPr>
          <w:rFonts w:ascii="Times New Roman" w:hAnsi="Times New Roman" w:eastAsia="仿宋_GB2312"/>
          <w:szCs w:val="24"/>
        </w:rPr>
        <w:t>，危废一旦泄漏至外环境，会对土壤或者地表水造成污染，为了规范公司危险废物环境污染事件的应急管理工作，建立健全应急救援机制，及时有效地预防或控制公司生产活动、产品、服务过程中潜在的污染土壤环境的情况，提高快速反应能力，做出应急响应，预防和控制污染范围的扩大，最大限度地减少对土壤环境的污染，保护周边环境，特编制危险废物专项应急预案。</w:t>
      </w:r>
    </w:p>
    <w:p>
      <w:pPr>
        <w:keepNext/>
        <w:keepLines/>
        <w:snapToGrid w:val="0"/>
        <w:ind w:firstLine="0" w:firstLineChars="0"/>
        <w:jc w:val="left"/>
        <w:outlineLvl w:val="1"/>
        <w:rPr>
          <w:rFonts w:ascii="Times New Roman" w:hAnsi="Times New Roman" w:eastAsia="仿宋_GB2312"/>
          <w:b/>
          <w:bCs/>
          <w:sz w:val="32"/>
          <w:szCs w:val="32"/>
        </w:rPr>
      </w:pPr>
      <w:bookmarkStart w:id="31" w:name="_Toc93062903"/>
      <w:r>
        <w:rPr>
          <w:rFonts w:ascii="Times New Roman" w:hAnsi="Times New Roman" w:eastAsia="仿宋_GB2312"/>
          <w:b/>
          <w:bCs/>
          <w:sz w:val="32"/>
          <w:szCs w:val="32"/>
        </w:rPr>
        <w:t>1.3 编制依据</w:t>
      </w:r>
      <w:bookmarkEnd w:id="31"/>
    </w:p>
    <w:p>
      <w:pPr>
        <w:keepNext/>
        <w:keepLines/>
        <w:ind w:firstLine="0" w:firstLineChars="0"/>
        <w:outlineLvl w:val="2"/>
        <w:rPr>
          <w:rFonts w:ascii="Times New Roman" w:hAnsi="Times New Roman" w:eastAsia="仿宋_GB2312"/>
          <w:b/>
          <w:bCs/>
          <w:sz w:val="30"/>
          <w:szCs w:val="32"/>
        </w:rPr>
      </w:pPr>
      <w:r>
        <w:rPr>
          <w:rFonts w:ascii="Times New Roman" w:hAnsi="Times New Roman" w:eastAsia="仿宋_GB2312"/>
          <w:b/>
          <w:bCs/>
          <w:sz w:val="30"/>
          <w:szCs w:val="32"/>
        </w:rPr>
        <w:t>1.3.1法律法规</w:t>
      </w:r>
    </w:p>
    <w:p>
      <w:pPr>
        <w:ind w:firstLine="560"/>
        <w:rPr>
          <w:rFonts w:ascii="Times New Roman" w:hAnsi="Times New Roman" w:eastAsia="仿宋_GB2312"/>
          <w:szCs w:val="24"/>
        </w:rPr>
      </w:pPr>
      <w:r>
        <w:rPr>
          <w:rFonts w:ascii="Times New Roman" w:hAnsi="Times New Roman" w:eastAsia="仿宋_GB2312"/>
          <w:szCs w:val="24"/>
        </w:rPr>
        <w:t>除突发环境事件应急预案中的法律法规外，应执行《土壤污染防治法》（2019.01.01）</w:t>
      </w:r>
    </w:p>
    <w:p>
      <w:pPr>
        <w:keepNext/>
        <w:keepLines/>
        <w:ind w:firstLine="0" w:firstLineChars="0"/>
        <w:outlineLvl w:val="2"/>
        <w:rPr>
          <w:rFonts w:ascii="Times New Roman" w:hAnsi="Times New Roman" w:eastAsia="仿宋_GB2312"/>
          <w:b/>
          <w:bCs/>
          <w:sz w:val="30"/>
          <w:szCs w:val="32"/>
        </w:rPr>
      </w:pPr>
      <w:r>
        <w:rPr>
          <w:rFonts w:ascii="Times New Roman" w:hAnsi="Times New Roman" w:eastAsia="仿宋_GB2312"/>
          <w:b/>
          <w:bCs/>
          <w:sz w:val="30"/>
          <w:szCs w:val="32"/>
        </w:rPr>
        <w:t>1.3.2技术规范</w:t>
      </w:r>
    </w:p>
    <w:p>
      <w:pPr>
        <w:ind w:firstLine="560"/>
        <w:rPr>
          <w:rFonts w:ascii="Times New Roman" w:hAnsi="Times New Roman" w:eastAsia="仿宋_GB2312"/>
          <w:szCs w:val="24"/>
        </w:rPr>
      </w:pPr>
      <w:r>
        <w:rPr>
          <w:rFonts w:ascii="Times New Roman" w:hAnsi="Times New Roman" w:eastAsia="仿宋_GB2312"/>
          <w:szCs w:val="24"/>
        </w:rPr>
        <w:t>（1）《危险废物经营单位编制应急预案指南》2007.07.04</w:t>
      </w:r>
    </w:p>
    <w:p>
      <w:pPr>
        <w:ind w:firstLine="560"/>
        <w:rPr>
          <w:rFonts w:ascii="Times New Roman" w:hAnsi="Times New Roman" w:eastAsia="仿宋_GB2312"/>
          <w:szCs w:val="24"/>
        </w:rPr>
      </w:pPr>
      <w:r>
        <w:rPr>
          <w:rFonts w:ascii="Times New Roman" w:hAnsi="Times New Roman" w:eastAsia="仿宋_GB2312"/>
          <w:szCs w:val="24"/>
        </w:rPr>
        <w:t>（2）《危险废物规范化管理指标体系》（环办〔2015〕99号）</w:t>
      </w:r>
    </w:p>
    <w:p>
      <w:pPr>
        <w:keepNext/>
        <w:keepLines/>
        <w:ind w:firstLine="0" w:firstLineChars="0"/>
        <w:outlineLvl w:val="2"/>
        <w:rPr>
          <w:rFonts w:ascii="Times New Roman" w:hAnsi="Times New Roman" w:eastAsia="仿宋_GB2312"/>
          <w:b/>
          <w:bCs/>
          <w:sz w:val="30"/>
          <w:szCs w:val="32"/>
        </w:rPr>
      </w:pPr>
      <w:r>
        <w:rPr>
          <w:rFonts w:ascii="Times New Roman" w:hAnsi="Times New Roman" w:eastAsia="仿宋_GB2312"/>
          <w:b/>
          <w:bCs/>
          <w:sz w:val="30"/>
          <w:szCs w:val="32"/>
        </w:rPr>
        <w:t>1.3.3技术规范及相关标准</w:t>
      </w:r>
    </w:p>
    <w:p>
      <w:pPr>
        <w:ind w:firstLine="560"/>
        <w:rPr>
          <w:rFonts w:ascii="Times New Roman" w:hAnsi="Times New Roman" w:eastAsia="仿宋_GB2312"/>
          <w:szCs w:val="24"/>
        </w:rPr>
      </w:pPr>
      <w:r>
        <w:rPr>
          <w:rFonts w:ascii="Times New Roman" w:hAnsi="Times New Roman" w:eastAsia="仿宋_GB2312"/>
          <w:szCs w:val="24"/>
        </w:rPr>
        <w:t>除突发环境事件应急预案中的技术规范及相关标准外，应执行《土壤质量标准  建设用地土壤污染风险管控标准（试行）》（GB2660-2018）和《土壤监测技术规范》（HJ/T166-2004）</w:t>
      </w:r>
    </w:p>
    <w:p>
      <w:pPr>
        <w:keepNext/>
        <w:keepLines/>
        <w:snapToGrid w:val="0"/>
        <w:ind w:firstLine="0" w:firstLineChars="0"/>
        <w:jc w:val="left"/>
        <w:outlineLvl w:val="1"/>
        <w:rPr>
          <w:rFonts w:ascii="Times New Roman" w:hAnsi="Times New Roman" w:eastAsia="仿宋_GB2312"/>
          <w:b/>
          <w:bCs/>
          <w:sz w:val="32"/>
          <w:szCs w:val="32"/>
        </w:rPr>
      </w:pPr>
      <w:bookmarkStart w:id="32" w:name="_Toc93062904"/>
      <w:r>
        <w:rPr>
          <w:rFonts w:ascii="Times New Roman" w:hAnsi="Times New Roman" w:eastAsia="仿宋_GB2312"/>
          <w:b/>
          <w:bCs/>
          <w:sz w:val="32"/>
          <w:szCs w:val="32"/>
        </w:rPr>
        <w:t>1.4 适用范围</w:t>
      </w:r>
      <w:bookmarkEnd w:id="32"/>
    </w:p>
    <w:p>
      <w:pPr>
        <w:ind w:firstLine="560"/>
        <w:rPr>
          <w:rFonts w:ascii="Times New Roman" w:hAnsi="Times New Roman" w:eastAsia="仿宋_GB2312"/>
          <w:szCs w:val="24"/>
        </w:rPr>
      </w:pPr>
      <w:r>
        <w:rPr>
          <w:rFonts w:ascii="Times New Roman" w:hAnsi="Times New Roman" w:eastAsia="仿宋_GB2312"/>
          <w:szCs w:val="24"/>
        </w:rPr>
        <w:t>适用于郑州欧源电气有限公司区域内可能发生或者已经发生的危险废物泄漏导致土壤或地表水污染的事件，具体包括：危险废物处置不当导致土壤或地表水污染的突发环境事件。</w:t>
      </w:r>
    </w:p>
    <w:p>
      <w:pPr>
        <w:keepNext/>
        <w:keepLines/>
        <w:snapToGrid w:val="0"/>
        <w:ind w:firstLine="0" w:firstLineChars="0"/>
        <w:jc w:val="left"/>
        <w:outlineLvl w:val="1"/>
        <w:rPr>
          <w:rFonts w:ascii="Times New Roman" w:hAnsi="Times New Roman" w:eastAsia="仿宋_GB2312"/>
          <w:b/>
          <w:bCs/>
          <w:sz w:val="32"/>
          <w:szCs w:val="32"/>
        </w:rPr>
      </w:pPr>
      <w:bookmarkStart w:id="33" w:name="_Toc93062905"/>
      <w:r>
        <w:rPr>
          <w:rFonts w:ascii="Times New Roman" w:hAnsi="Times New Roman" w:eastAsia="仿宋_GB2312"/>
          <w:b/>
          <w:bCs/>
          <w:sz w:val="32"/>
          <w:szCs w:val="32"/>
        </w:rPr>
        <w:t>1.5工作原则</w:t>
      </w:r>
      <w:bookmarkEnd w:id="33"/>
    </w:p>
    <w:p>
      <w:pPr>
        <w:ind w:firstLine="560"/>
        <w:rPr>
          <w:rFonts w:ascii="Times New Roman" w:hAnsi="Times New Roman" w:eastAsia="仿宋_GB2312"/>
          <w:szCs w:val="24"/>
        </w:rPr>
      </w:pPr>
      <w:r>
        <w:rPr>
          <w:rFonts w:ascii="Times New Roman" w:hAnsi="Times New Roman" w:eastAsia="仿宋_GB2312"/>
          <w:szCs w:val="24"/>
        </w:rPr>
        <w:t>坚持践行科学发展观，坚持以人为本、依法处置，树立全面、协调、可持续的科学发展观。本着实事求是，切实可行的方针，切实提高企业及各级部门应对突发环境事件的能力。着重贯彻如下原则：</w:t>
      </w:r>
    </w:p>
    <w:p>
      <w:pPr>
        <w:ind w:firstLine="560"/>
        <w:rPr>
          <w:rFonts w:ascii="Times New Roman" w:hAnsi="Times New Roman" w:eastAsia="仿宋_GB2312"/>
          <w:szCs w:val="24"/>
        </w:rPr>
      </w:pPr>
      <w:r>
        <w:rPr>
          <w:rFonts w:ascii="Times New Roman" w:hAnsi="Times New Roman" w:eastAsia="仿宋_GB2312"/>
          <w:szCs w:val="24"/>
        </w:rPr>
        <w:t>（1）坚持先期处置、防止危害扩大的原则。针对突发环境事件的应急处置工作应坚持从源头进行处置，截断污染源泄漏途径，阻止突发环境事件进一步发生，防止危害扩大、影响范围变广；</w:t>
      </w:r>
    </w:p>
    <w:p>
      <w:pPr>
        <w:ind w:firstLine="560"/>
        <w:rPr>
          <w:rFonts w:ascii="Times New Roman" w:hAnsi="Times New Roman" w:eastAsia="仿宋_GB2312"/>
          <w:szCs w:val="24"/>
        </w:rPr>
      </w:pPr>
      <w:r>
        <w:rPr>
          <w:rFonts w:ascii="Times New Roman" w:hAnsi="Times New Roman" w:eastAsia="仿宋_GB2312"/>
          <w:szCs w:val="24"/>
        </w:rPr>
        <w:t>（2）快速响应、科学应对。企业应明确相应程序，加强各级响应之间的有效衔接，明确响应上报过程中的时间限制。科学应对各突发环境事件的发生。</w:t>
      </w: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p>
      <w:pPr>
        <w:snapToGrid w:val="0"/>
        <w:spacing w:line="240" w:lineRule="auto"/>
        <w:ind w:firstLine="562" w:firstLineChars="0"/>
        <w:outlineLvl w:val="1"/>
        <w:rPr>
          <w:rFonts w:ascii="Times New Roman" w:hAnsi="Times New Roman"/>
          <w:b/>
          <w:bCs/>
          <w:szCs w:val="28"/>
        </w:rPr>
      </w:pPr>
    </w:p>
    <w:bookmarkEnd w:id="29"/>
    <w:p>
      <w:pPr>
        <w:autoSpaceDE w:val="0"/>
        <w:autoSpaceDN w:val="0"/>
        <w:snapToGrid w:val="0"/>
        <w:spacing w:line="240" w:lineRule="auto"/>
        <w:ind w:firstLine="2168" w:firstLineChars="600"/>
        <w:outlineLvl w:val="0"/>
        <w:rPr>
          <w:rFonts w:ascii="Times New Roman" w:hAnsi="Times New Roman"/>
          <w:b/>
          <w:bCs/>
          <w:sz w:val="36"/>
          <w:szCs w:val="36"/>
        </w:rPr>
      </w:pPr>
      <w:bookmarkStart w:id="34" w:name="_Toc2415"/>
      <w:bookmarkEnd w:id="34"/>
      <w:bookmarkStart w:id="35" w:name="_Toc28021905"/>
      <w:bookmarkEnd w:id="35"/>
      <w:bookmarkStart w:id="36" w:name="_Toc489978565"/>
      <w:bookmarkEnd w:id="36"/>
      <w:bookmarkStart w:id="37" w:name="_Toc28020428"/>
      <w:bookmarkEnd w:id="37"/>
      <w:bookmarkStart w:id="38" w:name="_Toc490032983"/>
      <w:bookmarkEnd w:id="38"/>
      <w:bookmarkStart w:id="39" w:name="_Toc29312294"/>
      <w:bookmarkEnd w:id="39"/>
      <w:bookmarkStart w:id="40" w:name="_Toc29887736"/>
      <w:bookmarkEnd w:id="40"/>
      <w:bookmarkStart w:id="41" w:name="_Toc13161"/>
      <w:bookmarkEnd w:id="41"/>
      <w:bookmarkStart w:id="42" w:name="_Toc490033407"/>
      <w:bookmarkEnd w:id="42"/>
      <w:bookmarkStart w:id="43" w:name="_Toc29887739"/>
      <w:bookmarkEnd w:id="43"/>
      <w:bookmarkStart w:id="44" w:name="_Toc7201"/>
      <w:bookmarkEnd w:id="44"/>
      <w:bookmarkStart w:id="45" w:name="_Toc29312291"/>
      <w:bookmarkEnd w:id="45"/>
      <w:bookmarkStart w:id="46" w:name="_Toc40971405"/>
      <w:bookmarkStart w:id="47" w:name="_Toc93062906"/>
      <w:r>
        <w:rPr>
          <w:rFonts w:ascii="Times New Roman" w:hAnsi="Times New Roman"/>
          <w:b/>
          <w:bCs/>
          <w:sz w:val="36"/>
          <w:szCs w:val="36"/>
        </w:rPr>
        <w:t>2</w:t>
      </w:r>
      <w:bookmarkEnd w:id="46"/>
      <w:r>
        <w:rPr>
          <w:rFonts w:ascii="Times New Roman" w:hAnsi="Times New Roman"/>
          <w:b/>
          <w:bCs/>
          <w:sz w:val="36"/>
          <w:szCs w:val="36"/>
        </w:rPr>
        <w:t>、基本情况调查</w:t>
      </w:r>
      <w:bookmarkEnd w:id="47"/>
    </w:p>
    <w:p>
      <w:pPr>
        <w:keepNext/>
        <w:keepLines/>
        <w:snapToGrid w:val="0"/>
        <w:ind w:firstLine="0" w:firstLineChars="0"/>
        <w:jc w:val="left"/>
        <w:outlineLvl w:val="1"/>
        <w:rPr>
          <w:rFonts w:ascii="Times New Roman" w:hAnsi="Times New Roman" w:eastAsia="仿宋_GB2312"/>
          <w:b/>
          <w:bCs/>
          <w:sz w:val="32"/>
          <w:szCs w:val="32"/>
        </w:rPr>
      </w:pPr>
      <w:bookmarkStart w:id="48" w:name="_Toc28020429"/>
      <w:bookmarkEnd w:id="48"/>
      <w:bookmarkStart w:id="49" w:name="_Toc507012414"/>
      <w:bookmarkEnd w:id="49"/>
      <w:bookmarkStart w:id="50" w:name="_Toc248647800"/>
      <w:bookmarkEnd w:id="50"/>
      <w:bookmarkStart w:id="51" w:name="_Toc247363899"/>
      <w:bookmarkEnd w:id="51"/>
      <w:bookmarkStart w:id="52" w:name="_Toc29312295"/>
      <w:bookmarkEnd w:id="52"/>
      <w:bookmarkStart w:id="53" w:name="_Toc507012514"/>
      <w:bookmarkEnd w:id="53"/>
      <w:bookmarkStart w:id="54" w:name="_Toc247364092"/>
      <w:bookmarkEnd w:id="54"/>
      <w:bookmarkStart w:id="55" w:name="_Toc247338093"/>
      <w:bookmarkEnd w:id="55"/>
      <w:bookmarkStart w:id="56" w:name="_Toc247337269"/>
      <w:bookmarkEnd w:id="56"/>
      <w:bookmarkStart w:id="57" w:name="_Toc350408001"/>
      <w:bookmarkEnd w:id="57"/>
      <w:bookmarkStart w:id="58" w:name="_Toc28021906"/>
      <w:bookmarkEnd w:id="58"/>
      <w:bookmarkStart w:id="59" w:name="_Toc29887740"/>
      <w:bookmarkEnd w:id="59"/>
      <w:bookmarkStart w:id="60" w:name="_Toc507012667"/>
      <w:bookmarkEnd w:id="60"/>
      <w:bookmarkStart w:id="61" w:name="_Toc93062907"/>
      <w:r>
        <w:rPr>
          <w:rFonts w:ascii="Times New Roman" w:hAnsi="Times New Roman" w:eastAsia="仿宋_GB2312"/>
          <w:b/>
          <w:bCs/>
          <w:sz w:val="32"/>
          <w:szCs w:val="32"/>
        </w:rPr>
        <w:t>2.1企业简介</w:t>
      </w:r>
      <w:bookmarkEnd w:id="61"/>
    </w:p>
    <w:p>
      <w:pPr>
        <w:spacing w:line="480" w:lineRule="exact"/>
        <w:ind w:firstLine="560"/>
        <w:contextualSpacing/>
        <w:jc w:val="left"/>
        <w:rPr>
          <w:rFonts w:ascii="Times New Roman" w:hAnsi="Times New Roman"/>
          <w:szCs w:val="28"/>
        </w:rPr>
      </w:pPr>
      <w:bookmarkStart w:id="62" w:name="_Toc29887741"/>
      <w:bookmarkEnd w:id="62"/>
      <w:bookmarkStart w:id="63" w:name="_Toc28020430"/>
      <w:bookmarkEnd w:id="63"/>
      <w:bookmarkStart w:id="64" w:name="_Toc28021907"/>
      <w:bookmarkEnd w:id="64"/>
      <w:bookmarkStart w:id="65" w:name="_Toc507012668"/>
      <w:bookmarkEnd w:id="65"/>
      <w:bookmarkStart w:id="66" w:name="_Toc507012515"/>
      <w:bookmarkEnd w:id="66"/>
      <w:bookmarkStart w:id="67" w:name="_Toc29312296"/>
      <w:bookmarkEnd w:id="67"/>
      <w:bookmarkStart w:id="68" w:name="_Toc40971407"/>
      <w:r>
        <w:rPr>
          <w:rFonts w:hint="eastAsia" w:ascii="Times New Roman" w:hAnsi="Times New Roman"/>
          <w:szCs w:val="28"/>
        </w:rPr>
        <w:t>郑州欧源电气有限公司位于河南省巩义市经济技术开发区，是一家集电源研发，生产，销售于一体的高科技企业。专业生产各种极板、蓄电池，具有年产70万只密闭阀控铅酸蓄电池的生产能力。公司拥有固定资产1000万元，员工180人，其中专业技术人员30人。</w:t>
      </w:r>
    </w:p>
    <w:p>
      <w:pPr>
        <w:spacing w:line="480" w:lineRule="exact"/>
        <w:ind w:firstLine="560"/>
        <w:contextualSpacing/>
        <w:jc w:val="left"/>
        <w:rPr>
          <w:rFonts w:ascii="Times New Roman" w:hAnsi="Times New Roman"/>
          <w:szCs w:val="28"/>
        </w:rPr>
      </w:pPr>
      <w:r>
        <w:rPr>
          <w:rFonts w:hint="eastAsia" w:ascii="Times New Roman" w:hAnsi="Times New Roman"/>
          <w:szCs w:val="28"/>
        </w:rPr>
        <w:t>郑州欧源电气有限公司年产70万只密闭阀控铅酸蓄电池项目于2007年7月在巩义市发改委进行了备案，并委托河南省化工研究所有限责任公司编制了《建设项目环境影响报告表》；郑州市环保局组织专家于9月13日对建设项目进行了审批，批复文号为：郑环建[2007]369号。项目于2007年11月开始筹建，2009年9月基础设施、设备安装成功。于2010年4月28日由郑州市环保局对该项目进行了竣工验收，验收文号为：郑环验表[2010]48号。</w:t>
      </w:r>
    </w:p>
    <w:p>
      <w:pPr>
        <w:keepNext/>
        <w:keepLines/>
        <w:snapToGrid w:val="0"/>
        <w:ind w:firstLine="0" w:firstLineChars="0"/>
        <w:jc w:val="left"/>
        <w:outlineLvl w:val="1"/>
        <w:rPr>
          <w:rFonts w:ascii="Times New Roman" w:hAnsi="Times New Roman" w:eastAsia="仿宋_GB2312"/>
          <w:b/>
          <w:bCs/>
          <w:sz w:val="32"/>
          <w:szCs w:val="32"/>
        </w:rPr>
      </w:pPr>
      <w:bookmarkStart w:id="69" w:name="_Toc93062908"/>
      <w:r>
        <w:rPr>
          <w:rFonts w:ascii="Times New Roman" w:hAnsi="Times New Roman" w:eastAsia="仿宋_GB2312"/>
          <w:b/>
          <w:bCs/>
          <w:sz w:val="32"/>
          <w:szCs w:val="32"/>
        </w:rPr>
        <w:t>2.2企业总平面布置</w:t>
      </w:r>
      <w:bookmarkEnd w:id="68"/>
      <w:bookmarkEnd w:id="69"/>
    </w:p>
    <w:p>
      <w:pPr>
        <w:spacing w:line="480" w:lineRule="exact"/>
        <w:ind w:firstLine="560"/>
        <w:contextualSpacing/>
        <w:rPr>
          <w:rFonts w:ascii="Times New Roman" w:hAnsi="Times New Roman"/>
          <w:bCs/>
          <w:szCs w:val="28"/>
        </w:rPr>
      </w:pPr>
      <w:bookmarkStart w:id="70" w:name="_Toc28021908"/>
      <w:bookmarkEnd w:id="70"/>
      <w:bookmarkStart w:id="71" w:name="_Toc327952125"/>
      <w:bookmarkEnd w:id="71"/>
      <w:bookmarkStart w:id="72" w:name="_Toc241140358"/>
      <w:bookmarkEnd w:id="72"/>
      <w:bookmarkStart w:id="73" w:name="_Toc507012416"/>
      <w:bookmarkEnd w:id="73"/>
      <w:bookmarkStart w:id="74" w:name="_Toc28020431"/>
      <w:bookmarkEnd w:id="74"/>
      <w:bookmarkStart w:id="75" w:name="_Toc40971408"/>
      <w:bookmarkEnd w:id="75"/>
      <w:bookmarkStart w:id="76" w:name="_Toc29312297"/>
      <w:bookmarkEnd w:id="76"/>
      <w:bookmarkStart w:id="77" w:name="_Toc243217967"/>
      <w:bookmarkEnd w:id="77"/>
      <w:bookmarkStart w:id="78" w:name="_Toc507012516"/>
      <w:bookmarkEnd w:id="78"/>
      <w:bookmarkStart w:id="79" w:name="_Toc29887742"/>
      <w:r>
        <w:rPr>
          <w:rFonts w:hint="eastAsia" w:ascii="Times New Roman" w:hAnsi="Times New Roman"/>
          <w:bCs/>
          <w:szCs w:val="28"/>
        </w:rPr>
        <w:t>郑州欧源电气有限公司厂区北侧为公司办公大楼，南侧为仓库、公司污水处理站、包装车间、组装车间，东侧为铸板车间、铅粉、涂板车间、固化车间，西侧为化成车间。</w:t>
      </w:r>
    </w:p>
    <w:p>
      <w:pPr>
        <w:spacing w:line="480" w:lineRule="exact"/>
        <w:ind w:firstLine="560"/>
        <w:contextualSpacing/>
        <w:rPr>
          <w:rFonts w:ascii="Times New Roman" w:hAnsi="Times New Roman"/>
          <w:bCs/>
          <w:szCs w:val="28"/>
        </w:rPr>
      </w:pPr>
      <w:r>
        <w:rPr>
          <w:rFonts w:hint="eastAsia" w:ascii="Times New Roman" w:hAnsi="Times New Roman"/>
          <w:bCs/>
          <w:szCs w:val="28"/>
        </w:rPr>
        <w:t>企业有生产车间、仓库、办公大楼及相关生活设施组成，厂址位于河南巩义市经济技术开发区，原永安工业示范区，周边多为企业。东临恒众冶金公司，南为众淼环保公司，西为巩义市建龙净水材料公司，北临永益路，隔路为友邦供水材料公司。</w:t>
      </w:r>
    </w:p>
    <w:p>
      <w:pPr>
        <w:keepNext/>
        <w:keepLines/>
        <w:snapToGrid w:val="0"/>
        <w:ind w:firstLine="0" w:firstLineChars="0"/>
        <w:jc w:val="left"/>
        <w:outlineLvl w:val="1"/>
        <w:rPr>
          <w:rFonts w:ascii="Times New Roman" w:hAnsi="Times New Roman" w:eastAsia="仿宋_GB2312"/>
          <w:b/>
          <w:bCs/>
          <w:sz w:val="32"/>
          <w:szCs w:val="32"/>
        </w:rPr>
      </w:pPr>
      <w:bookmarkStart w:id="80" w:name="_Toc93062909"/>
      <w:r>
        <w:rPr>
          <w:rFonts w:ascii="Times New Roman" w:hAnsi="Times New Roman" w:eastAsia="仿宋_GB2312"/>
          <w:b/>
          <w:bCs/>
          <w:sz w:val="32"/>
          <w:szCs w:val="32"/>
        </w:rPr>
        <w:t>2.3企业生产现</w:t>
      </w:r>
      <w:bookmarkEnd w:id="79"/>
      <w:bookmarkStart w:id="81" w:name="_Toc327952126"/>
      <w:bookmarkEnd w:id="81"/>
      <w:bookmarkStart w:id="82" w:name="_Toc242849798"/>
      <w:bookmarkEnd w:id="82"/>
      <w:bookmarkStart w:id="83" w:name="_Toc243217969"/>
      <w:bookmarkEnd w:id="83"/>
      <w:bookmarkStart w:id="84" w:name="_Toc241052996"/>
      <w:r>
        <w:rPr>
          <w:rFonts w:ascii="Times New Roman" w:hAnsi="Times New Roman" w:eastAsia="仿宋_GB2312"/>
          <w:b/>
          <w:bCs/>
          <w:sz w:val="32"/>
          <w:szCs w:val="32"/>
        </w:rPr>
        <w:t>状</w:t>
      </w:r>
      <w:bookmarkEnd w:id="80"/>
      <w:bookmarkEnd w:id="84"/>
    </w:p>
    <w:p>
      <w:pPr>
        <w:snapToGrid w:val="0"/>
        <w:ind w:right="-372" w:rightChars="-133" w:firstLine="560"/>
        <w:jc w:val="left"/>
        <w:rPr>
          <w:rFonts w:ascii="Times New Roman" w:hAnsi="Times New Roman"/>
          <w:szCs w:val="28"/>
        </w:rPr>
      </w:pPr>
      <w:r>
        <w:rPr>
          <w:rFonts w:ascii="Times New Roman" w:hAnsi="Times New Roman"/>
          <w:szCs w:val="28"/>
        </w:rPr>
        <w:t>见突发环境事件应急预案。</w:t>
      </w:r>
    </w:p>
    <w:p>
      <w:pPr>
        <w:keepNext/>
        <w:keepLines/>
        <w:snapToGrid w:val="0"/>
        <w:ind w:firstLine="0" w:firstLineChars="0"/>
        <w:jc w:val="left"/>
        <w:outlineLvl w:val="1"/>
        <w:rPr>
          <w:rFonts w:ascii="Times New Roman" w:hAnsi="Times New Roman" w:eastAsia="仿宋_GB2312"/>
          <w:b/>
          <w:bCs/>
          <w:sz w:val="32"/>
          <w:szCs w:val="32"/>
        </w:rPr>
      </w:pPr>
      <w:bookmarkStart w:id="85" w:name="_Toc29312298"/>
      <w:bookmarkEnd w:id="85"/>
      <w:bookmarkStart w:id="86" w:name="_Toc507012422"/>
      <w:bookmarkEnd w:id="86"/>
      <w:bookmarkStart w:id="87" w:name="_Toc28021909"/>
      <w:bookmarkEnd w:id="87"/>
      <w:bookmarkStart w:id="88" w:name="_Toc28020432"/>
      <w:bookmarkEnd w:id="88"/>
      <w:bookmarkStart w:id="89" w:name="_Toc29887743"/>
      <w:bookmarkEnd w:id="89"/>
      <w:bookmarkStart w:id="90" w:name="_Toc507012517"/>
      <w:bookmarkEnd w:id="90"/>
      <w:bookmarkStart w:id="91" w:name="_Toc507012670"/>
      <w:bookmarkEnd w:id="91"/>
      <w:bookmarkStart w:id="92" w:name="_Toc40971409"/>
      <w:bookmarkStart w:id="93" w:name="_Toc93062910"/>
      <w:r>
        <w:rPr>
          <w:rFonts w:ascii="Times New Roman" w:hAnsi="Times New Roman" w:eastAsia="仿宋_GB2312"/>
          <w:b/>
          <w:bCs/>
          <w:sz w:val="32"/>
          <w:szCs w:val="32"/>
        </w:rPr>
        <w:t>2.4企业可能造成</w:t>
      </w:r>
      <w:bookmarkEnd w:id="92"/>
      <w:r>
        <w:rPr>
          <w:rFonts w:ascii="Times New Roman" w:hAnsi="Times New Roman" w:eastAsia="仿宋_GB2312"/>
          <w:b/>
          <w:bCs/>
          <w:sz w:val="32"/>
          <w:szCs w:val="32"/>
        </w:rPr>
        <w:t>危险废物环境污染事件危险源调查</w:t>
      </w:r>
      <w:bookmarkEnd w:id="93"/>
    </w:p>
    <w:p>
      <w:pPr>
        <w:snapToGrid w:val="0"/>
        <w:ind w:right="-372" w:rightChars="-133" w:firstLine="560"/>
        <w:jc w:val="left"/>
        <w:rPr>
          <w:rFonts w:ascii="Times New Roman" w:hAnsi="Times New Roman"/>
          <w:szCs w:val="28"/>
        </w:rPr>
      </w:pPr>
      <w:r>
        <w:rPr>
          <w:rFonts w:ascii="Times New Roman" w:hAnsi="Times New Roman"/>
          <w:szCs w:val="28"/>
        </w:rPr>
        <w:t>厂区危险固废主要包括：</w:t>
      </w:r>
      <w:r>
        <w:rPr>
          <w:rFonts w:hint="eastAsia" w:ascii="Times New Roman" w:hAnsi="Times New Roman"/>
          <w:szCs w:val="28"/>
        </w:rPr>
        <w:t>铅渣</w:t>
      </w:r>
      <w:r>
        <w:rPr>
          <w:rFonts w:ascii="Times New Roman" w:hAnsi="Times New Roman"/>
          <w:szCs w:val="28"/>
        </w:rPr>
        <w:t>、铅泥等具体污染物情况如下：</w:t>
      </w:r>
    </w:p>
    <w:p>
      <w:pPr>
        <w:spacing w:line="240" w:lineRule="auto"/>
        <w:ind w:firstLine="759" w:firstLineChars="270"/>
        <w:jc w:val="left"/>
        <w:rPr>
          <w:rFonts w:ascii="Times New Roman" w:hAnsi="Times New Roman"/>
          <w:b/>
          <w:szCs w:val="28"/>
        </w:rPr>
      </w:pPr>
      <w:r>
        <w:rPr>
          <w:rFonts w:ascii="Times New Roman" w:hAnsi="Times New Roman"/>
          <w:b/>
          <w:szCs w:val="28"/>
        </w:rPr>
        <w:t>表2-1  生产过程中涉及到的危险物质的产生情况</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295"/>
        <w:gridCol w:w="2228"/>
        <w:gridCol w:w="3001"/>
        <w:gridCol w:w="1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 w:hRule="atLeast"/>
          <w:jc w:val="center"/>
        </w:trPr>
        <w:tc>
          <w:tcPr>
            <w:tcW w:w="1133" w:type="pct"/>
            <w:gridSpan w:val="2"/>
            <w:vAlign w:val="center"/>
          </w:tcPr>
          <w:p>
            <w:pPr>
              <w:spacing w:line="380" w:lineRule="exact"/>
              <w:ind w:firstLine="0" w:firstLineChars="0"/>
              <w:jc w:val="center"/>
              <w:rPr>
                <w:rFonts w:ascii="仿宋" w:hAnsi="仿宋"/>
                <w:iCs/>
                <w:sz w:val="24"/>
                <w:szCs w:val="24"/>
              </w:rPr>
            </w:pPr>
            <w:r>
              <w:rPr>
                <w:rFonts w:ascii="仿宋" w:hAnsi="仿宋"/>
                <w:iCs/>
                <w:sz w:val="24"/>
                <w:szCs w:val="24"/>
              </w:rPr>
              <w:t>废物名称</w:t>
            </w:r>
          </w:p>
        </w:tc>
        <w:tc>
          <w:tcPr>
            <w:tcW w:w="1307"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产生部位</w:t>
            </w:r>
          </w:p>
        </w:tc>
        <w:tc>
          <w:tcPr>
            <w:tcW w:w="1761"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车间名称</w:t>
            </w:r>
          </w:p>
        </w:tc>
        <w:tc>
          <w:tcPr>
            <w:tcW w:w="799" w:type="pct"/>
            <w:vAlign w:val="center"/>
          </w:tcPr>
          <w:p>
            <w:pPr>
              <w:spacing w:line="380" w:lineRule="exact"/>
              <w:ind w:left="-140" w:leftChars="-50" w:right="-140" w:rightChars="-50" w:firstLine="0" w:firstLineChars="0"/>
              <w:jc w:val="center"/>
              <w:rPr>
                <w:rFonts w:ascii="仿宋" w:hAnsi="仿宋"/>
                <w:iCs/>
                <w:sz w:val="24"/>
                <w:szCs w:val="24"/>
              </w:rPr>
            </w:pPr>
            <w:r>
              <w:rPr>
                <w:rFonts w:ascii="仿宋" w:hAnsi="仿宋"/>
                <w:iCs/>
                <w:sz w:val="24"/>
                <w:szCs w:val="24"/>
              </w:rPr>
              <w:t>产生量</w:t>
            </w:r>
          </w:p>
          <w:p>
            <w:pPr>
              <w:spacing w:line="380" w:lineRule="exact"/>
              <w:ind w:left="-140" w:leftChars="-50" w:right="-140" w:rightChars="-50" w:firstLine="0" w:firstLineChars="0"/>
              <w:jc w:val="center"/>
              <w:rPr>
                <w:rFonts w:ascii="仿宋" w:hAnsi="仿宋"/>
                <w:iCs/>
                <w:sz w:val="24"/>
                <w:szCs w:val="24"/>
              </w:rPr>
            </w:pPr>
            <w:r>
              <w:rPr>
                <w:rFonts w:ascii="仿宋" w:hAnsi="仿宋"/>
                <w:iCs/>
                <w:sz w:val="24"/>
                <w:szCs w:val="24"/>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 w:hRule="atLeast"/>
          <w:jc w:val="center"/>
        </w:trPr>
        <w:tc>
          <w:tcPr>
            <w:tcW w:w="1133" w:type="pct"/>
            <w:gridSpan w:val="2"/>
            <w:vAlign w:val="center"/>
          </w:tcPr>
          <w:p>
            <w:pPr>
              <w:spacing w:line="380" w:lineRule="exact"/>
              <w:ind w:firstLine="0" w:firstLineChars="0"/>
              <w:jc w:val="center"/>
              <w:rPr>
                <w:rFonts w:ascii="仿宋" w:hAnsi="仿宋"/>
                <w:iCs/>
                <w:sz w:val="24"/>
                <w:szCs w:val="24"/>
              </w:rPr>
            </w:pPr>
            <w:r>
              <w:rPr>
                <w:rFonts w:ascii="仿宋" w:hAnsi="仿宋"/>
                <w:iCs/>
                <w:sz w:val="24"/>
                <w:szCs w:val="24"/>
              </w:rPr>
              <w:t>铅泥</w:t>
            </w:r>
          </w:p>
        </w:tc>
        <w:tc>
          <w:tcPr>
            <w:tcW w:w="1307"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铅烟净化器</w:t>
            </w:r>
          </w:p>
        </w:tc>
        <w:tc>
          <w:tcPr>
            <w:tcW w:w="1761" w:type="pc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铸粒磨粉、铸板车间</w:t>
            </w:r>
          </w:p>
        </w:tc>
        <w:tc>
          <w:tcPr>
            <w:tcW w:w="799" w:type="pc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1133" w:type="pct"/>
            <w:gridSpan w:val="2"/>
            <w:vMerge w:val="restart"/>
            <w:vAlign w:val="center"/>
          </w:tcPr>
          <w:p>
            <w:pPr>
              <w:spacing w:line="380" w:lineRule="exact"/>
              <w:ind w:left="-140" w:leftChars="-50" w:right="-140" w:rightChars="-50" w:firstLine="0" w:firstLineChars="0"/>
              <w:jc w:val="center"/>
              <w:rPr>
                <w:rFonts w:ascii="仿宋" w:hAnsi="仿宋"/>
                <w:iCs/>
                <w:sz w:val="24"/>
                <w:szCs w:val="24"/>
              </w:rPr>
            </w:pPr>
            <w:r>
              <w:rPr>
                <w:rFonts w:ascii="仿宋" w:hAnsi="仿宋"/>
                <w:iCs/>
                <w:sz w:val="24"/>
                <w:szCs w:val="24"/>
              </w:rPr>
              <w:t>铅尘</w:t>
            </w:r>
          </w:p>
        </w:tc>
        <w:tc>
          <w:tcPr>
            <w:tcW w:w="1307" w:type="pc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布袋过滤器、绝对过滤器</w:t>
            </w:r>
          </w:p>
        </w:tc>
        <w:tc>
          <w:tcPr>
            <w:tcW w:w="1761" w:type="pc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铸粒磨粉、铸板车间</w:t>
            </w:r>
          </w:p>
        </w:tc>
        <w:tc>
          <w:tcPr>
            <w:tcW w:w="799" w:type="pct"/>
            <w:vMerge w:val="restar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 w:hRule="atLeast"/>
          <w:jc w:val="center"/>
        </w:trPr>
        <w:tc>
          <w:tcPr>
            <w:tcW w:w="1133" w:type="pct"/>
            <w:gridSpan w:val="2"/>
            <w:vMerge w:val="continue"/>
            <w:vAlign w:val="center"/>
          </w:tcPr>
          <w:p>
            <w:pPr>
              <w:spacing w:line="380" w:lineRule="exact"/>
              <w:ind w:left="-140" w:leftChars="-50" w:right="-140" w:rightChars="-50" w:firstLine="0" w:firstLineChars="0"/>
              <w:jc w:val="center"/>
              <w:rPr>
                <w:rFonts w:ascii="仿宋" w:hAnsi="仿宋"/>
                <w:iCs/>
                <w:sz w:val="24"/>
                <w:szCs w:val="24"/>
              </w:rPr>
            </w:pPr>
          </w:p>
        </w:tc>
        <w:tc>
          <w:tcPr>
            <w:tcW w:w="1307" w:type="pct"/>
            <w:shd w:val="clear" w:color="auto" w:fill="auto"/>
            <w:vAlign w:val="center"/>
          </w:tcPr>
          <w:p>
            <w:pPr>
              <w:spacing w:line="380" w:lineRule="exact"/>
              <w:ind w:left="-140" w:leftChars="-50" w:right="-140" w:rightChars="-50" w:firstLine="0" w:firstLineChars="0"/>
              <w:jc w:val="center"/>
              <w:rPr>
                <w:rFonts w:ascii="仿宋" w:hAnsi="仿宋"/>
                <w:iCs/>
                <w:sz w:val="24"/>
                <w:szCs w:val="24"/>
              </w:rPr>
            </w:pPr>
            <w:r>
              <w:rPr>
                <w:rFonts w:ascii="仿宋" w:hAnsi="仿宋"/>
                <w:iCs/>
                <w:sz w:val="24"/>
                <w:szCs w:val="24"/>
              </w:rPr>
              <w:t>水冲激式除尘器</w:t>
            </w:r>
          </w:p>
        </w:tc>
        <w:tc>
          <w:tcPr>
            <w:tcW w:w="1761" w:type="pc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机涂.车间/固化车间</w:t>
            </w:r>
          </w:p>
        </w:tc>
        <w:tc>
          <w:tcPr>
            <w:tcW w:w="799" w:type="pct"/>
            <w:vMerge w:val="continue"/>
            <w:shd w:val="clear" w:color="auto" w:fill="auto"/>
            <w:vAlign w:val="center"/>
          </w:tcPr>
          <w:p>
            <w:pPr>
              <w:spacing w:line="380" w:lineRule="exact"/>
              <w:ind w:firstLine="0" w:firstLineChars="0"/>
              <w:jc w:val="center"/>
              <w:rPr>
                <w:rFonts w:ascii="仿宋" w:hAnsi="仿宋"/>
                <w:i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 w:hRule="atLeast"/>
          <w:jc w:val="center"/>
        </w:trPr>
        <w:tc>
          <w:tcPr>
            <w:tcW w:w="1133" w:type="pct"/>
            <w:gridSpan w:val="2"/>
            <w:vMerge w:val="continue"/>
            <w:vAlign w:val="center"/>
          </w:tcPr>
          <w:p>
            <w:pPr>
              <w:spacing w:line="380" w:lineRule="exact"/>
              <w:ind w:left="-140" w:leftChars="-50" w:right="-140" w:rightChars="-50" w:firstLine="0" w:firstLineChars="0"/>
              <w:jc w:val="center"/>
              <w:rPr>
                <w:rFonts w:ascii="仿宋" w:hAnsi="仿宋"/>
                <w:iCs/>
                <w:sz w:val="24"/>
                <w:szCs w:val="24"/>
              </w:rPr>
            </w:pPr>
          </w:p>
        </w:tc>
        <w:tc>
          <w:tcPr>
            <w:tcW w:w="1307" w:type="pc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布袋除尘器</w:t>
            </w:r>
          </w:p>
        </w:tc>
        <w:tc>
          <w:tcPr>
            <w:tcW w:w="1761" w:type="pc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分切包装车间</w:t>
            </w:r>
          </w:p>
        </w:tc>
        <w:tc>
          <w:tcPr>
            <w:tcW w:w="799" w:type="pct"/>
            <w:vMerge w:val="continue"/>
            <w:shd w:val="clear" w:color="auto" w:fill="auto"/>
            <w:vAlign w:val="center"/>
          </w:tcPr>
          <w:p>
            <w:pPr>
              <w:spacing w:line="380" w:lineRule="exact"/>
              <w:ind w:firstLine="0" w:firstLineChars="0"/>
              <w:jc w:val="center"/>
              <w:rPr>
                <w:rFonts w:ascii="仿宋" w:hAnsi="仿宋"/>
                <w:i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 w:hRule="atLeast"/>
          <w:jc w:val="center"/>
        </w:trPr>
        <w:tc>
          <w:tcPr>
            <w:tcW w:w="373" w:type="pct"/>
            <w:vMerge w:val="restart"/>
            <w:vAlign w:val="center"/>
          </w:tcPr>
          <w:p>
            <w:pPr>
              <w:spacing w:line="380" w:lineRule="exact"/>
              <w:ind w:firstLine="0" w:firstLineChars="0"/>
              <w:jc w:val="center"/>
              <w:rPr>
                <w:rFonts w:ascii="仿宋" w:hAnsi="仿宋"/>
                <w:iCs/>
                <w:sz w:val="24"/>
                <w:szCs w:val="24"/>
              </w:rPr>
            </w:pPr>
            <w:r>
              <w:rPr>
                <w:rFonts w:ascii="仿宋" w:hAnsi="仿宋"/>
                <w:iCs/>
                <w:sz w:val="24"/>
                <w:szCs w:val="24"/>
              </w:rPr>
              <w:t>铅渣</w:t>
            </w:r>
          </w:p>
        </w:tc>
        <w:tc>
          <w:tcPr>
            <w:tcW w:w="760" w:type="pct"/>
            <w:vAlign w:val="center"/>
          </w:tcPr>
          <w:p>
            <w:pPr>
              <w:spacing w:line="380" w:lineRule="exact"/>
              <w:ind w:left="-140" w:leftChars="-50" w:right="-140" w:rightChars="-50" w:firstLine="0" w:firstLineChars="0"/>
              <w:jc w:val="center"/>
              <w:rPr>
                <w:rFonts w:ascii="仿宋" w:hAnsi="仿宋"/>
                <w:iCs/>
                <w:sz w:val="24"/>
                <w:szCs w:val="24"/>
              </w:rPr>
            </w:pPr>
            <w:r>
              <w:rPr>
                <w:rFonts w:ascii="仿宋" w:hAnsi="仿宋"/>
                <w:iCs/>
                <w:sz w:val="24"/>
                <w:szCs w:val="24"/>
              </w:rPr>
              <w:t>废铅渣</w:t>
            </w:r>
          </w:p>
        </w:tc>
        <w:tc>
          <w:tcPr>
            <w:tcW w:w="1307" w:type="pct"/>
            <w:vAlign w:val="center"/>
          </w:tcPr>
          <w:p>
            <w:pPr>
              <w:spacing w:line="380" w:lineRule="exact"/>
              <w:ind w:left="-140" w:leftChars="-50" w:right="-140" w:rightChars="-50" w:firstLine="0" w:firstLineChars="0"/>
              <w:jc w:val="center"/>
              <w:rPr>
                <w:rFonts w:ascii="仿宋" w:hAnsi="仿宋"/>
                <w:iCs/>
                <w:sz w:val="24"/>
                <w:szCs w:val="24"/>
              </w:rPr>
            </w:pPr>
            <w:r>
              <w:rPr>
                <w:rFonts w:ascii="仿宋" w:hAnsi="仿宋"/>
                <w:iCs/>
                <w:sz w:val="24"/>
                <w:szCs w:val="24"/>
              </w:rPr>
              <w:t>铸板、铸粒工序</w:t>
            </w:r>
          </w:p>
        </w:tc>
        <w:tc>
          <w:tcPr>
            <w:tcW w:w="1761"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铸粒磨粉、铸板车间</w:t>
            </w:r>
          </w:p>
        </w:tc>
        <w:tc>
          <w:tcPr>
            <w:tcW w:w="799" w:type="pct"/>
            <w:vMerge w:val="restar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 w:hRule="atLeast"/>
          <w:jc w:val="center"/>
        </w:trPr>
        <w:tc>
          <w:tcPr>
            <w:tcW w:w="373" w:type="pct"/>
            <w:vMerge w:val="continue"/>
            <w:vAlign w:val="center"/>
          </w:tcPr>
          <w:p>
            <w:pPr>
              <w:spacing w:line="380" w:lineRule="exact"/>
              <w:ind w:firstLine="0" w:firstLineChars="0"/>
              <w:jc w:val="center"/>
              <w:rPr>
                <w:rFonts w:ascii="仿宋" w:hAnsi="仿宋"/>
                <w:iCs/>
                <w:sz w:val="24"/>
                <w:szCs w:val="24"/>
              </w:rPr>
            </w:pPr>
          </w:p>
        </w:tc>
        <w:tc>
          <w:tcPr>
            <w:tcW w:w="760"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废铅膏</w:t>
            </w:r>
          </w:p>
        </w:tc>
        <w:tc>
          <w:tcPr>
            <w:tcW w:w="1307"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涂板工序</w:t>
            </w:r>
          </w:p>
        </w:tc>
        <w:tc>
          <w:tcPr>
            <w:tcW w:w="1761"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机涂固化车间</w:t>
            </w:r>
          </w:p>
        </w:tc>
        <w:tc>
          <w:tcPr>
            <w:tcW w:w="799" w:type="pct"/>
            <w:vMerge w:val="continue"/>
            <w:shd w:val="clear" w:color="auto" w:fill="auto"/>
            <w:vAlign w:val="center"/>
          </w:tcPr>
          <w:p>
            <w:pPr>
              <w:spacing w:line="380" w:lineRule="exact"/>
              <w:ind w:firstLine="0" w:firstLineChars="0"/>
              <w:jc w:val="center"/>
              <w:rPr>
                <w:rFonts w:ascii="仿宋" w:hAnsi="仿宋"/>
                <w:i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373" w:type="pct"/>
            <w:vMerge w:val="continue"/>
            <w:vAlign w:val="center"/>
          </w:tcPr>
          <w:p>
            <w:pPr>
              <w:spacing w:line="380" w:lineRule="exact"/>
              <w:ind w:firstLine="0" w:firstLineChars="0"/>
              <w:jc w:val="center"/>
              <w:rPr>
                <w:rFonts w:ascii="仿宋" w:hAnsi="仿宋"/>
                <w:iCs/>
                <w:sz w:val="24"/>
                <w:szCs w:val="24"/>
              </w:rPr>
            </w:pPr>
          </w:p>
        </w:tc>
        <w:tc>
          <w:tcPr>
            <w:tcW w:w="760" w:type="pct"/>
            <w:vAlign w:val="center"/>
          </w:tcPr>
          <w:p>
            <w:pPr>
              <w:spacing w:line="380" w:lineRule="exact"/>
              <w:ind w:left="-140" w:leftChars="-50" w:right="-140" w:rightChars="-50" w:firstLine="0" w:firstLineChars="0"/>
              <w:jc w:val="center"/>
              <w:rPr>
                <w:rFonts w:ascii="仿宋" w:hAnsi="仿宋"/>
                <w:iCs/>
                <w:sz w:val="24"/>
                <w:szCs w:val="24"/>
              </w:rPr>
            </w:pPr>
            <w:r>
              <w:rPr>
                <w:rFonts w:ascii="仿宋" w:hAnsi="仿宋"/>
                <w:iCs/>
                <w:sz w:val="24"/>
                <w:szCs w:val="24"/>
              </w:rPr>
              <w:t>废边角料</w:t>
            </w:r>
          </w:p>
        </w:tc>
        <w:tc>
          <w:tcPr>
            <w:tcW w:w="1307"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分切、刷磨</w:t>
            </w:r>
          </w:p>
        </w:tc>
        <w:tc>
          <w:tcPr>
            <w:tcW w:w="1761"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分切包装车间</w:t>
            </w:r>
          </w:p>
        </w:tc>
        <w:tc>
          <w:tcPr>
            <w:tcW w:w="799" w:type="pct"/>
            <w:vMerge w:val="continue"/>
            <w:shd w:val="clear" w:color="auto" w:fill="auto"/>
            <w:vAlign w:val="center"/>
          </w:tcPr>
          <w:p>
            <w:pPr>
              <w:spacing w:line="380" w:lineRule="exact"/>
              <w:ind w:firstLine="0" w:firstLineChars="0"/>
              <w:jc w:val="center"/>
              <w:rPr>
                <w:rFonts w:ascii="仿宋" w:hAnsi="仿宋"/>
                <w:i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5" w:hRule="atLeast"/>
          <w:jc w:val="center"/>
        </w:trPr>
        <w:tc>
          <w:tcPr>
            <w:tcW w:w="1133" w:type="pct"/>
            <w:gridSpan w:val="2"/>
            <w:vMerge w:val="restart"/>
            <w:vAlign w:val="center"/>
          </w:tcPr>
          <w:p>
            <w:pPr>
              <w:spacing w:line="380" w:lineRule="exact"/>
              <w:ind w:firstLine="0" w:firstLineChars="0"/>
              <w:jc w:val="center"/>
              <w:rPr>
                <w:rFonts w:ascii="仿宋" w:hAnsi="仿宋"/>
                <w:iCs/>
                <w:sz w:val="24"/>
                <w:szCs w:val="24"/>
              </w:rPr>
            </w:pPr>
            <w:r>
              <w:rPr>
                <w:rFonts w:ascii="仿宋" w:hAnsi="仿宋"/>
                <w:iCs/>
                <w:sz w:val="24"/>
                <w:szCs w:val="24"/>
              </w:rPr>
              <w:t>废板、</w:t>
            </w:r>
          </w:p>
          <w:p>
            <w:pPr>
              <w:spacing w:line="380" w:lineRule="exact"/>
              <w:ind w:firstLine="0" w:firstLineChars="0"/>
              <w:jc w:val="center"/>
              <w:rPr>
                <w:rFonts w:ascii="仿宋" w:hAnsi="仿宋"/>
                <w:iCs/>
                <w:sz w:val="24"/>
                <w:szCs w:val="24"/>
              </w:rPr>
            </w:pPr>
            <w:r>
              <w:rPr>
                <w:rFonts w:ascii="仿宋" w:hAnsi="仿宋"/>
                <w:iCs/>
                <w:sz w:val="24"/>
                <w:szCs w:val="24"/>
              </w:rPr>
              <w:t>次品极板</w:t>
            </w:r>
          </w:p>
        </w:tc>
        <w:tc>
          <w:tcPr>
            <w:tcW w:w="1307"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熟极板干燥</w:t>
            </w:r>
          </w:p>
        </w:tc>
        <w:tc>
          <w:tcPr>
            <w:tcW w:w="1761" w:type="pc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化成车间</w:t>
            </w:r>
          </w:p>
        </w:tc>
        <w:tc>
          <w:tcPr>
            <w:tcW w:w="799" w:type="pct"/>
            <w:vMerge w:val="restar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19.4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5" w:hRule="atLeast"/>
          <w:jc w:val="center"/>
        </w:trPr>
        <w:tc>
          <w:tcPr>
            <w:tcW w:w="1133" w:type="pct"/>
            <w:gridSpan w:val="2"/>
            <w:vMerge w:val="continue"/>
            <w:vAlign w:val="center"/>
          </w:tcPr>
          <w:p>
            <w:pPr>
              <w:spacing w:line="380" w:lineRule="exact"/>
              <w:ind w:firstLine="0" w:firstLineChars="0"/>
              <w:jc w:val="center"/>
              <w:rPr>
                <w:rFonts w:ascii="仿宋" w:hAnsi="仿宋"/>
                <w:iCs/>
                <w:sz w:val="24"/>
                <w:szCs w:val="24"/>
              </w:rPr>
            </w:pPr>
          </w:p>
        </w:tc>
        <w:tc>
          <w:tcPr>
            <w:tcW w:w="1307"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不合格成品</w:t>
            </w:r>
          </w:p>
        </w:tc>
        <w:tc>
          <w:tcPr>
            <w:tcW w:w="1761" w:type="pc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分切包装车间</w:t>
            </w:r>
          </w:p>
        </w:tc>
        <w:tc>
          <w:tcPr>
            <w:tcW w:w="799" w:type="pct"/>
            <w:vMerge w:val="continue"/>
            <w:shd w:val="clear" w:color="auto" w:fill="auto"/>
            <w:vAlign w:val="center"/>
          </w:tcPr>
          <w:p>
            <w:pPr>
              <w:spacing w:line="380" w:lineRule="exact"/>
              <w:ind w:firstLine="0" w:firstLineChars="0"/>
              <w:jc w:val="center"/>
              <w:rPr>
                <w:rFonts w:ascii="仿宋" w:hAnsi="仿宋"/>
                <w:i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 w:hRule="atLeast"/>
          <w:jc w:val="center"/>
        </w:trPr>
        <w:tc>
          <w:tcPr>
            <w:tcW w:w="1133" w:type="pct"/>
            <w:gridSpan w:val="2"/>
            <w:vAlign w:val="center"/>
          </w:tcPr>
          <w:p>
            <w:pPr>
              <w:spacing w:line="380" w:lineRule="exact"/>
              <w:ind w:firstLine="0" w:firstLineChars="0"/>
              <w:jc w:val="center"/>
              <w:rPr>
                <w:rFonts w:ascii="仿宋" w:hAnsi="仿宋"/>
                <w:iCs/>
                <w:sz w:val="24"/>
                <w:szCs w:val="24"/>
              </w:rPr>
            </w:pPr>
            <w:r>
              <w:rPr>
                <w:rFonts w:ascii="仿宋" w:hAnsi="仿宋"/>
                <w:iCs/>
                <w:sz w:val="24"/>
                <w:szCs w:val="24"/>
              </w:rPr>
              <w:t>污泥</w:t>
            </w:r>
          </w:p>
        </w:tc>
        <w:tc>
          <w:tcPr>
            <w:tcW w:w="1307"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污水处理站</w:t>
            </w:r>
          </w:p>
        </w:tc>
        <w:tc>
          <w:tcPr>
            <w:tcW w:w="1761" w:type="pct"/>
            <w:vAlign w:val="center"/>
          </w:tcPr>
          <w:p>
            <w:pPr>
              <w:spacing w:line="380" w:lineRule="exact"/>
              <w:ind w:firstLine="0" w:firstLineChars="0"/>
              <w:jc w:val="center"/>
              <w:rPr>
                <w:rFonts w:ascii="仿宋" w:hAnsi="仿宋"/>
                <w:iCs/>
                <w:sz w:val="24"/>
                <w:szCs w:val="24"/>
              </w:rPr>
            </w:pPr>
            <w:r>
              <w:rPr>
                <w:rFonts w:ascii="仿宋" w:hAnsi="仿宋"/>
                <w:iCs/>
                <w:sz w:val="24"/>
                <w:szCs w:val="24"/>
              </w:rPr>
              <w:t>水处理系统</w:t>
            </w:r>
          </w:p>
        </w:tc>
        <w:tc>
          <w:tcPr>
            <w:tcW w:w="799" w:type="pct"/>
            <w:shd w:val="clear" w:color="auto" w:fill="auto"/>
            <w:vAlign w:val="center"/>
          </w:tcPr>
          <w:p>
            <w:pPr>
              <w:spacing w:line="380" w:lineRule="exact"/>
              <w:ind w:firstLine="0" w:firstLineChars="0"/>
              <w:jc w:val="center"/>
              <w:rPr>
                <w:rFonts w:ascii="仿宋" w:hAnsi="仿宋"/>
                <w:iCs/>
                <w:sz w:val="24"/>
                <w:szCs w:val="24"/>
              </w:rPr>
            </w:pPr>
            <w:r>
              <w:rPr>
                <w:rFonts w:ascii="仿宋" w:hAnsi="仿宋"/>
                <w:iCs/>
                <w:sz w:val="24"/>
                <w:szCs w:val="24"/>
              </w:rPr>
              <w:t>8</w:t>
            </w:r>
          </w:p>
        </w:tc>
      </w:tr>
    </w:tbl>
    <w:p>
      <w:pPr>
        <w:snapToGrid w:val="0"/>
        <w:spacing w:line="240" w:lineRule="auto"/>
        <w:ind w:firstLine="480"/>
        <w:rPr>
          <w:rFonts w:ascii="Times New Roman" w:hAnsi="Times New Roman"/>
          <w:kern w:val="0"/>
          <w:sz w:val="24"/>
          <w:szCs w:val="24"/>
        </w:rPr>
      </w:pPr>
      <w:r>
        <w:rPr>
          <w:rFonts w:ascii="Times New Roman" w:hAnsi="Times New Roman"/>
          <w:kern w:val="0"/>
          <w:sz w:val="24"/>
          <w:szCs w:val="24"/>
        </w:rPr>
        <w:t>企业的危险废物经暂存间暂存后交由有资质单位处置，危废合同见附件。</w:t>
      </w:r>
    </w:p>
    <w:p>
      <w:pPr>
        <w:keepNext/>
        <w:keepLines/>
        <w:snapToGrid w:val="0"/>
        <w:ind w:firstLine="0" w:firstLineChars="0"/>
        <w:jc w:val="left"/>
        <w:outlineLvl w:val="1"/>
        <w:rPr>
          <w:rFonts w:ascii="Times New Roman" w:hAnsi="Times New Roman" w:eastAsia="仿宋_GB2312"/>
          <w:b/>
          <w:bCs/>
          <w:sz w:val="32"/>
          <w:szCs w:val="32"/>
        </w:rPr>
      </w:pPr>
      <w:bookmarkStart w:id="94" w:name="_Toc40971411"/>
      <w:bookmarkEnd w:id="94"/>
      <w:bookmarkStart w:id="95" w:name="_Toc29887745"/>
      <w:bookmarkEnd w:id="95"/>
      <w:bookmarkStart w:id="96" w:name="_Toc29887744"/>
      <w:bookmarkEnd w:id="96"/>
      <w:bookmarkStart w:id="97" w:name="_Toc28021910"/>
      <w:bookmarkEnd w:id="97"/>
      <w:bookmarkStart w:id="98" w:name="_Toc507012675"/>
      <w:bookmarkEnd w:id="98"/>
      <w:bookmarkStart w:id="99" w:name="_Toc40971410"/>
      <w:bookmarkEnd w:id="99"/>
      <w:bookmarkStart w:id="100" w:name="_Toc28021911"/>
      <w:bookmarkEnd w:id="100"/>
      <w:bookmarkStart w:id="101" w:name="_Toc507012522"/>
      <w:bookmarkEnd w:id="101"/>
      <w:bookmarkStart w:id="102" w:name="_Toc507012436"/>
      <w:bookmarkEnd w:id="102"/>
      <w:bookmarkStart w:id="103" w:name="_Toc28020434"/>
      <w:bookmarkEnd w:id="103"/>
      <w:bookmarkStart w:id="104" w:name="_Toc507012518"/>
      <w:bookmarkEnd w:id="104"/>
      <w:bookmarkStart w:id="105" w:name="_Toc507012427"/>
      <w:bookmarkEnd w:id="105"/>
      <w:bookmarkStart w:id="106" w:name="_Toc28020433"/>
      <w:bookmarkEnd w:id="106"/>
      <w:bookmarkStart w:id="107" w:name="_Toc507012671"/>
      <w:bookmarkEnd w:id="107"/>
      <w:bookmarkStart w:id="108" w:name="_Toc29312300"/>
      <w:bookmarkStart w:id="109" w:name="_Toc93062911"/>
      <w:r>
        <w:rPr>
          <w:rFonts w:ascii="Times New Roman" w:hAnsi="Times New Roman" w:eastAsia="仿宋_GB2312"/>
          <w:b/>
          <w:bCs/>
          <w:sz w:val="32"/>
          <w:szCs w:val="32"/>
        </w:rPr>
        <w:t>2.</w:t>
      </w:r>
      <w:bookmarkEnd w:id="108"/>
      <w:r>
        <w:rPr>
          <w:rFonts w:ascii="Times New Roman" w:hAnsi="Times New Roman" w:eastAsia="仿宋_GB2312"/>
          <w:b/>
          <w:bCs/>
          <w:sz w:val="32"/>
          <w:szCs w:val="32"/>
        </w:rPr>
        <w:t>5应急预案关系说明</w:t>
      </w:r>
      <w:bookmarkEnd w:id="109"/>
    </w:p>
    <w:p>
      <w:pPr>
        <w:snapToGrid w:val="0"/>
        <w:ind w:right="-372" w:rightChars="-133" w:firstLine="560"/>
        <w:jc w:val="left"/>
        <w:rPr>
          <w:rFonts w:ascii="Times New Roman" w:hAnsi="Times New Roman"/>
          <w:szCs w:val="28"/>
        </w:rPr>
      </w:pPr>
      <w:r>
        <w:rPr>
          <w:rFonts w:ascii="Times New Roman" w:hAnsi="Times New Roman"/>
          <w:szCs w:val="28"/>
        </w:rPr>
        <w:t>郑州欧源电气有限公司危险废物专项应急预案是郑州欧源电气有限公司突发环境事件应急预案的一部分，郑州欧源电气有限公司突发环境事件应急预案是巩义市市应急预案的一个单元，同时也是巩义市区域性应急体系的有机组成部分。本企业的应急预案接受上级应急预案的的应急领导和指挥，属于上下衔接、被包含的关系。郑州欧源电气有限公司突发环境事件应急预案和突发安全事件应急预案是企业应急体的两大支柱，突发安全事件应急预案侧重于人员伤亡和救治，突发环境事件应急预案的重点在于预防和处理对外环境的影响，全面包括了厂区所有可能发生的影响周边环境的环境应急事件，危险废物专项应急预案是针对本企业生产管理过程中可能造成危险废物污染的专项应急预案，相对于突发环境应急预案得内容，该应急预案更加具有针对性，本企业的危险废物专项应急预案与上级应急预案的关系见下图2-1。</w:t>
      </w:r>
    </w:p>
    <w:p>
      <w:pPr>
        <w:snapToGrid w:val="0"/>
        <w:ind w:right="-372" w:rightChars="-133" w:firstLine="560"/>
        <w:jc w:val="left"/>
        <w:rPr>
          <w:rFonts w:ascii="Times New Roman" w:hAnsi="Times New Roman"/>
          <w:szCs w:val="28"/>
        </w:rPr>
      </w:pPr>
    </w:p>
    <w:p>
      <w:pPr>
        <w:snapToGrid w:val="0"/>
        <w:ind w:right="-372" w:rightChars="-133" w:firstLine="560"/>
        <w:jc w:val="left"/>
        <w:rPr>
          <w:rFonts w:ascii="Times New Roman" w:hAnsi="Times New Roman"/>
          <w:szCs w:val="28"/>
        </w:rPr>
      </w:pPr>
    </w:p>
    <w:p>
      <w:pPr>
        <w:snapToGrid w:val="0"/>
        <w:ind w:right="-372" w:rightChars="-133" w:firstLine="560"/>
        <w:jc w:val="left"/>
        <w:rPr>
          <w:rFonts w:ascii="Times New Roman" w:hAnsi="Times New Roman"/>
          <w:szCs w:val="28"/>
        </w:rPr>
      </w:pPr>
    </w:p>
    <w:p>
      <w:pPr>
        <w:snapToGrid w:val="0"/>
        <w:ind w:right="-372" w:rightChars="-133" w:firstLine="560"/>
        <w:jc w:val="left"/>
        <w:rPr>
          <w:rFonts w:ascii="Times New Roman" w:hAnsi="Times New Roman"/>
          <w:szCs w:val="28"/>
        </w:rPr>
      </w:pPr>
    </w:p>
    <w:p>
      <w:pPr>
        <w:spacing w:line="240" w:lineRule="auto"/>
        <w:ind w:firstLine="560"/>
        <w:rPr>
          <w:rFonts w:ascii="Times New Roman" w:hAnsi="Times New Roman"/>
          <w:szCs w:val="28"/>
        </w:rPr>
      </w:pPr>
    </w:p>
    <w:p>
      <w:pPr>
        <w:spacing w:line="240" w:lineRule="auto"/>
        <w:ind w:firstLine="560"/>
        <w:rPr>
          <w:rFonts w:ascii="Times New Roman" w:hAnsi="Times New Roman"/>
        </w:rPr>
      </w:pPr>
      <w:r>
        <mc:AlternateContent>
          <mc:Choice Requires="wps">
            <w:drawing>
              <wp:anchor distT="0" distB="0" distL="114300" distR="114300" simplePos="0" relativeHeight="251662336" behindDoc="0" locked="0" layoutInCell="1" allowOverlap="1">
                <wp:simplePos x="0" y="0"/>
                <wp:positionH relativeFrom="column">
                  <wp:posOffset>330200</wp:posOffset>
                </wp:positionH>
                <wp:positionV relativeFrom="paragraph">
                  <wp:posOffset>20320</wp:posOffset>
                </wp:positionV>
                <wp:extent cx="2249805" cy="428625"/>
                <wp:effectExtent l="0" t="0" r="17145" b="28575"/>
                <wp:wrapNone/>
                <wp:docPr id="34" name="矩形 34"/>
                <wp:cNvGraphicFramePr/>
                <a:graphic xmlns:a="http://schemas.openxmlformats.org/drawingml/2006/main">
                  <a:graphicData uri="http://schemas.microsoft.com/office/word/2010/wordprocessingShape">
                    <wps:wsp>
                      <wps:cNvSpPr>
                        <a:spLocks noChangeArrowheads="1"/>
                      </wps:cNvSpPr>
                      <wps:spPr bwMode="auto">
                        <a:xfrm>
                          <a:off x="0" y="0"/>
                          <a:ext cx="2249805" cy="428625"/>
                        </a:xfrm>
                        <a:prstGeom prst="rect">
                          <a:avLst/>
                        </a:prstGeom>
                        <a:solidFill>
                          <a:srgbClr val="FFFFFF"/>
                        </a:solidFill>
                        <a:ln w="9525">
                          <a:solidFill>
                            <a:srgbClr val="000000"/>
                          </a:solidFill>
                          <a:miter lim="800000"/>
                        </a:ln>
                      </wps:spPr>
                      <wps:txbx>
                        <w:txbxContent>
                          <w:p>
                            <w:pPr>
                              <w:ind w:firstLine="0" w:firstLineChars="0"/>
                              <w:jc w:val="center"/>
                              <w:rPr>
                                <w:sz w:val="21"/>
                                <w:szCs w:val="21"/>
                              </w:rPr>
                            </w:pPr>
                            <w:r>
                              <w:rPr>
                                <w:rFonts w:hint="eastAsia"/>
                                <w:sz w:val="21"/>
                                <w:szCs w:val="21"/>
                              </w:rPr>
                              <w:t>巩义市突发环境事件应急预案</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6pt;margin-top:1.6pt;height:33.75pt;width:177.15pt;z-index:251662336;mso-width-relative:page;mso-height-relative:page;" fillcolor="#FFFFFF" filled="t" stroked="t" coordsize="21600,21600" o:gfxdata="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xMX+btYAAAAHAQAADwAAAAAAAAABACAAAAAiAAAAZHJzL2Rvd25yZXYu&#10;eG1sUEsBAhQAFAAAAAgAh07iQO1Z9oo2AgAAfAQAAA4AAAAAAAAAAQAgAAAAJQEAAGRycy9lMm9E&#10;b2MueG1sUEsFBgAAAAAGAAYAWQEAAM0FAAAAAA==&#10;">
                <v:fill on="t" focussize="0,0"/>
                <v:stroke color="#000000" miterlimit="8" joinstyle="miter"/>
                <v:imagedata o:title=""/>
                <o:lock v:ext="edit" aspectratio="f"/>
                <v:textbox>
                  <w:txbxContent>
                    <w:p>
                      <w:pPr>
                        <w:ind w:firstLine="0" w:firstLineChars="0"/>
                        <w:jc w:val="center"/>
                        <w:rPr>
                          <w:sz w:val="21"/>
                          <w:szCs w:val="21"/>
                        </w:rPr>
                      </w:pPr>
                      <w:r>
                        <w:rPr>
                          <w:rFonts w:hint="eastAsia"/>
                          <w:sz w:val="21"/>
                          <w:szCs w:val="21"/>
                        </w:rPr>
                        <w:t>巩义市突发环境事件应急预案</w:t>
                      </w:r>
                    </w:p>
                  </w:txbxContent>
                </v:textbox>
              </v:rect>
            </w:pict>
          </mc:Fallback>
        </mc:AlternateContent>
      </w:r>
    </w:p>
    <w:p>
      <w:pPr>
        <w:spacing w:line="240" w:lineRule="auto"/>
        <w:ind w:firstLine="560"/>
        <w:rPr>
          <w:rFonts w:ascii="Times New Roman" w:hAnsi="Times New Roman"/>
        </w:rPr>
      </w:pPr>
      <w:r>
        <mc:AlternateContent>
          <mc:Choice Requires="wps">
            <w:drawing>
              <wp:anchor distT="0" distB="0" distL="114300" distR="114300" simplePos="0" relativeHeight="251666432" behindDoc="0" locked="0" layoutInCell="1" allowOverlap="1">
                <wp:simplePos x="0" y="0"/>
                <wp:positionH relativeFrom="column">
                  <wp:posOffset>1488440</wp:posOffset>
                </wp:positionH>
                <wp:positionV relativeFrom="paragraph">
                  <wp:posOffset>120015</wp:posOffset>
                </wp:positionV>
                <wp:extent cx="635" cy="350520"/>
                <wp:effectExtent l="76200" t="0" r="75565" b="49530"/>
                <wp:wrapNone/>
                <wp:docPr id="35" name="直接连接符 35"/>
                <wp:cNvGraphicFramePr/>
                <a:graphic xmlns:a="http://schemas.openxmlformats.org/drawingml/2006/main">
                  <a:graphicData uri="http://schemas.microsoft.com/office/word/2010/wordprocessingShape">
                    <wps:wsp>
                      <wps:cNvCnPr>
                        <a:cxnSpLocks noChangeShapeType="1"/>
                      </wps:cNvCnPr>
                      <wps:spPr bwMode="auto">
                        <a:xfrm>
                          <a:off x="0" y="0"/>
                          <a:ext cx="635" cy="350520"/>
                        </a:xfrm>
                        <a:prstGeom prst="line">
                          <a:avLst/>
                        </a:prstGeom>
                        <a:noFill/>
                        <a:ln w="10160">
                          <a:solidFill>
                            <a:srgbClr val="000000"/>
                          </a:solidFill>
                          <a:round/>
                          <a:tailEnd type="triangle" w="med" len="med"/>
                        </a:ln>
                      </wps:spPr>
                      <wps:bodyPr/>
                    </wps:wsp>
                  </a:graphicData>
                </a:graphic>
              </wp:anchor>
            </w:drawing>
          </mc:Choice>
          <mc:Fallback>
            <w:pict>
              <v:line id="_x0000_s1026" o:spid="_x0000_s1026" o:spt="20" style="position:absolute;left:0pt;margin-left:117.2pt;margin-top:9.45pt;height:27.6pt;width:0.05pt;z-index:251666432;mso-width-relative:page;mso-height-relative:page;" filled="f" stroked="t" coordsize="21600,21600" o:gfxdata="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yzKay2gAAAAkBAAAPAAAAAAAAAAEAIAAAACIAAABkcnMv&#10;ZG93bnJldi54bWxQSwECFAAUAAAACACHTuJA8pnZBQECAADcAwAADgAAAAAAAAABACAAAAApAQAA&#10;ZHJzL2Uyb0RvYy54bWxQSwUGAAAAAAYABgBZAQAAnAUAAAAA&#10;">
                <v:fill on="f" focussize="0,0"/>
                <v:stroke weight="0.8pt" color="#000000" joinstyle="round" endarrow="block"/>
                <v:imagedata o:title=""/>
                <o:lock v:ext="edit" aspectratio="f"/>
              </v:line>
            </w:pict>
          </mc:Fallback>
        </mc:AlternateContent>
      </w:r>
    </w:p>
    <w:p>
      <w:pPr>
        <w:spacing w:line="240" w:lineRule="auto"/>
        <w:ind w:firstLine="560"/>
        <w:rPr>
          <w:rFonts w:ascii="Times New Roman" w:hAnsi="Times New Roman"/>
          <w:bCs/>
          <w:szCs w:val="28"/>
        </w:rPr>
      </w:pPr>
      <w:r>
        <mc:AlternateContent>
          <mc:Choice Requires="wps">
            <w:drawing>
              <wp:anchor distT="0" distB="0" distL="114300" distR="114300" simplePos="0" relativeHeight="251667456" behindDoc="0" locked="0" layoutInCell="1" allowOverlap="1">
                <wp:simplePos x="0" y="0"/>
                <wp:positionH relativeFrom="column">
                  <wp:posOffset>135890</wp:posOffset>
                </wp:positionH>
                <wp:positionV relativeFrom="paragraph">
                  <wp:posOffset>140335</wp:posOffset>
                </wp:positionV>
                <wp:extent cx="2628900" cy="428625"/>
                <wp:effectExtent l="0" t="0" r="19050" b="28575"/>
                <wp:wrapNone/>
                <wp:docPr id="36" name="矩形 36"/>
                <wp:cNvGraphicFramePr/>
                <a:graphic xmlns:a="http://schemas.openxmlformats.org/drawingml/2006/main">
                  <a:graphicData uri="http://schemas.microsoft.com/office/word/2010/wordprocessingShape">
                    <wps:wsp>
                      <wps:cNvSpPr>
                        <a:spLocks noChangeArrowheads="1"/>
                      </wps:cNvSpPr>
                      <wps:spPr bwMode="auto">
                        <a:xfrm>
                          <a:off x="0" y="0"/>
                          <a:ext cx="2628900" cy="428625"/>
                        </a:xfrm>
                        <a:prstGeom prst="rect">
                          <a:avLst/>
                        </a:prstGeom>
                        <a:solidFill>
                          <a:srgbClr val="FFFFFF"/>
                        </a:solidFill>
                        <a:ln w="9525">
                          <a:solidFill>
                            <a:srgbClr val="000000"/>
                          </a:solidFill>
                          <a:miter lim="800000"/>
                        </a:ln>
                      </wps:spPr>
                      <wps:txbx>
                        <w:txbxContent>
                          <w:p>
                            <w:pPr>
                              <w:ind w:firstLine="0" w:firstLineChars="0"/>
                              <w:jc w:val="center"/>
                              <w:rPr>
                                <w:sz w:val="21"/>
                                <w:szCs w:val="21"/>
                              </w:rPr>
                            </w:pPr>
                            <w:r>
                              <w:rPr>
                                <w:rFonts w:hint="eastAsia"/>
                                <w:sz w:val="21"/>
                                <w:szCs w:val="21"/>
                              </w:rPr>
                              <w:t>园区突发环境事件应急预案</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10.7pt;margin-top:11.05pt;height:33.75pt;width:207pt;z-index:251667456;mso-width-relative:page;mso-height-relative:page;" fillcolor="#FFFFFF" filled="t" stroked="t" coordsize="21600,21600" o:gfxdata="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MmZUiDXAAAACAEAAA8AAAAAAAAAAQAgAAAAIgAAAGRycy9kb3ducmV2&#10;LnhtbFBLAQIUABQAAAAIAIdO4kB5mFtDNgIAAHwEAAAOAAAAAAAAAAEAIAAAACYBAABkcnMvZTJv&#10;RG9jLnhtbFBLBQYAAAAABgAGAFkBAADOBQAAAAA=&#10;">
                <v:fill on="t" focussize="0,0"/>
                <v:stroke color="#000000" miterlimit="8" joinstyle="miter"/>
                <v:imagedata o:title=""/>
                <o:lock v:ext="edit" aspectratio="f"/>
                <v:textbox>
                  <w:txbxContent>
                    <w:p>
                      <w:pPr>
                        <w:ind w:firstLine="0" w:firstLineChars="0"/>
                        <w:jc w:val="center"/>
                        <w:rPr>
                          <w:sz w:val="21"/>
                          <w:szCs w:val="21"/>
                        </w:rPr>
                      </w:pPr>
                      <w:r>
                        <w:rPr>
                          <w:rFonts w:hint="eastAsia"/>
                          <w:sz w:val="21"/>
                          <w:szCs w:val="21"/>
                        </w:rPr>
                        <w:t>园区突发环境事件应急预案</w:t>
                      </w:r>
                    </w:p>
                  </w:txbxContent>
                </v:textbox>
              </v:rect>
            </w:pict>
          </mc:Fallback>
        </mc:AlternateContent>
      </w:r>
    </w:p>
    <w:p>
      <w:pPr>
        <w:spacing w:line="720" w:lineRule="auto"/>
        <w:ind w:firstLine="560"/>
        <w:rPr>
          <w:rFonts w:ascii="Times New Roman" w:hAnsi="Times New Roman"/>
          <w:szCs w:val="28"/>
        </w:rPr>
      </w:pPr>
      <w:r>
        <mc:AlternateContent>
          <mc:Choice Requires="wps">
            <w:drawing>
              <wp:anchor distT="0" distB="0" distL="114300" distR="114300" simplePos="0" relativeHeight="251659264" behindDoc="0" locked="0" layoutInCell="1" allowOverlap="1">
                <wp:simplePos x="0" y="0"/>
                <wp:positionH relativeFrom="column">
                  <wp:posOffset>1704340</wp:posOffset>
                </wp:positionH>
                <wp:positionV relativeFrom="paragraph">
                  <wp:posOffset>511175</wp:posOffset>
                </wp:positionV>
                <wp:extent cx="2613025" cy="437515"/>
                <wp:effectExtent l="0" t="0" r="15875" b="19685"/>
                <wp:wrapNone/>
                <wp:docPr id="38" name="矩形 38"/>
                <wp:cNvGraphicFramePr/>
                <a:graphic xmlns:a="http://schemas.openxmlformats.org/drawingml/2006/main">
                  <a:graphicData uri="http://schemas.microsoft.com/office/word/2010/wordprocessingShape">
                    <wps:wsp>
                      <wps:cNvSpPr>
                        <a:spLocks noChangeArrowheads="1"/>
                      </wps:cNvSpPr>
                      <wps:spPr bwMode="auto">
                        <a:xfrm>
                          <a:off x="0" y="0"/>
                          <a:ext cx="2613025" cy="437515"/>
                        </a:xfrm>
                        <a:prstGeom prst="rect">
                          <a:avLst/>
                        </a:prstGeom>
                        <a:solidFill>
                          <a:srgbClr val="FFFFFF"/>
                        </a:solidFill>
                        <a:ln w="9525">
                          <a:solidFill>
                            <a:srgbClr val="000000"/>
                          </a:solidFill>
                          <a:miter lim="800000"/>
                        </a:ln>
                      </wps:spPr>
                      <wps:txbx>
                        <w:txbxContent>
                          <w:p>
                            <w:pPr>
                              <w:spacing w:line="360" w:lineRule="auto"/>
                              <w:ind w:firstLine="0" w:firstLineChars="0"/>
                              <w:jc w:val="center"/>
                              <w:rPr>
                                <w:sz w:val="21"/>
                                <w:szCs w:val="21"/>
                              </w:rPr>
                            </w:pPr>
                            <w:r>
                              <w:rPr>
                                <w:rFonts w:hint="eastAsia"/>
                                <w:sz w:val="21"/>
                                <w:szCs w:val="21"/>
                              </w:rPr>
                              <w:t>郑州欧源电气有限公司应急预案</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134.2pt;margin-top:40.25pt;height:34.45pt;width:205.75pt;z-index:251659264;mso-width-relative:page;mso-height-relative:page;" fillcolor="#FFFFFF" filled="t" stroked="t" coordsize="21600,21600" o:gfxdata="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4i1cTdkAAAAKAQAADwAAAAAAAAABACAAAAAiAAAAZHJzL2Rvd25y&#10;ZXYueG1sUEsBAhQAFAAAAAgAh07iQNz4a6o2AgAAfAQAAA4AAAAAAAAAAQAgAAAAKAEAAGRycy9l&#10;Mm9Eb2MueG1sUEsFBgAAAAAGAAYAWQEAANAFAAAAAA==&#10;">
                <v:fill on="t" focussize="0,0"/>
                <v:stroke color="#000000" miterlimit="8" joinstyle="miter"/>
                <v:imagedata o:title=""/>
                <o:lock v:ext="edit" aspectratio="f"/>
                <v:textbox>
                  <w:txbxContent>
                    <w:p>
                      <w:pPr>
                        <w:spacing w:line="360" w:lineRule="auto"/>
                        <w:ind w:firstLine="0" w:firstLineChars="0"/>
                        <w:jc w:val="center"/>
                        <w:rPr>
                          <w:sz w:val="21"/>
                          <w:szCs w:val="21"/>
                        </w:rPr>
                      </w:pPr>
                      <w:r>
                        <w:rPr>
                          <w:rFonts w:hint="eastAsia"/>
                          <w:sz w:val="21"/>
                          <w:szCs w:val="21"/>
                        </w:rPr>
                        <w:t>郑州欧源电气有限公司应急预案</w:t>
                      </w:r>
                    </w:p>
                  </w:txbxContent>
                </v:textbox>
              </v:rect>
            </w:pict>
          </mc:Fallback>
        </mc:AlternateContent>
      </w:r>
      <w:r>
        <mc:AlternateContent>
          <mc:Choice Requires="wps">
            <w:drawing>
              <wp:anchor distT="0" distB="0" distL="113665" distR="113665" simplePos="0" relativeHeight="251663360" behindDoc="0" locked="0" layoutInCell="1" allowOverlap="1">
                <wp:simplePos x="0" y="0"/>
                <wp:positionH relativeFrom="column">
                  <wp:posOffset>1482725</wp:posOffset>
                </wp:positionH>
                <wp:positionV relativeFrom="paragraph">
                  <wp:posOffset>319405</wp:posOffset>
                </wp:positionV>
                <wp:extent cx="0" cy="1828800"/>
                <wp:effectExtent l="76200" t="0" r="57150" b="57150"/>
                <wp:wrapNone/>
                <wp:docPr id="39" name="直接连接符 39"/>
                <wp:cNvGraphicFramePr/>
                <a:graphic xmlns:a="http://schemas.openxmlformats.org/drawingml/2006/main">
                  <a:graphicData uri="http://schemas.microsoft.com/office/word/2010/wordprocessingShape">
                    <wps:wsp>
                      <wps:cNvCnPr>
                        <a:cxnSpLocks noChangeShapeType="1"/>
                      </wps:cNvCnPr>
                      <wps:spPr bwMode="auto">
                        <a:xfrm>
                          <a:off x="0" y="0"/>
                          <a:ext cx="0" cy="1828800"/>
                        </a:xfrm>
                        <a:prstGeom prst="line">
                          <a:avLst/>
                        </a:prstGeom>
                        <a:noFill/>
                        <a:ln w="10160">
                          <a:solidFill>
                            <a:srgbClr val="000000"/>
                          </a:solidFill>
                          <a:round/>
                          <a:tailEnd type="triangle" w="med" len="med"/>
                        </a:ln>
                      </wps:spPr>
                      <wps:bodyPr/>
                    </wps:wsp>
                  </a:graphicData>
                </a:graphic>
              </wp:anchor>
            </w:drawing>
          </mc:Choice>
          <mc:Fallback>
            <w:pict>
              <v:line id="_x0000_s1026" o:spid="_x0000_s1026" o:spt="20" style="position:absolute;left:0pt;margin-left:116.75pt;margin-top:25.15pt;height:144pt;width:0pt;z-index:251663360;mso-width-relative:page;mso-height-relative:page;" filled="f" stroked="t" coordsize="21600,21600" o:gfxdata="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QStD22QAAAAoBAAAPAAAAAAAAAAEAIAAAACIAAABkcnMvZG93&#10;bnJldi54bWxQSwECFAAUAAAACACHTuJACAGXnP8BAADbAwAADgAAAAAAAAABACAAAAAoAQAAZHJz&#10;L2Uyb0RvYy54bWxQSwUGAAAAAAYABgBZAQAAmQUAAAAA&#10;">
                <v:fill on="f" focussize="0,0"/>
                <v:stroke weight="0.8pt" color="#000000" joinstyle="round" endarrow="block"/>
                <v:imagedata o:title=""/>
                <o:lock v:ext="edit" aspectratio="f"/>
              </v:line>
            </w:pict>
          </mc:Fallback>
        </mc:AlternateContent>
      </w:r>
    </w:p>
    <w:p>
      <w:pPr>
        <w:ind w:firstLine="560"/>
        <w:rPr>
          <w:rFonts w:ascii="Times New Roman" w:hAnsi="Times New Roman"/>
          <w:szCs w:val="28"/>
        </w:rPr>
      </w:pPr>
    </w:p>
    <w:p>
      <w:pPr>
        <w:ind w:firstLine="560"/>
        <w:rPr>
          <w:rFonts w:ascii="Times New Roman" w:hAnsi="Times New Roman"/>
          <w:szCs w:val="28"/>
        </w:rPr>
      </w:pPr>
      <w:r>
        <mc:AlternateContent>
          <mc:Choice Requires="wps">
            <w:drawing>
              <wp:anchor distT="0" distB="0" distL="114300" distR="114300" simplePos="0" relativeHeight="251668480" behindDoc="0" locked="0" layoutInCell="1" allowOverlap="1">
                <wp:simplePos x="0" y="0"/>
                <wp:positionH relativeFrom="column">
                  <wp:posOffset>2765425</wp:posOffset>
                </wp:positionH>
                <wp:positionV relativeFrom="paragraph">
                  <wp:posOffset>21590</wp:posOffset>
                </wp:positionV>
                <wp:extent cx="6985" cy="583565"/>
                <wp:effectExtent l="76200" t="0" r="69215" b="64135"/>
                <wp:wrapNone/>
                <wp:docPr id="58" name="直接连接符 58"/>
                <wp:cNvGraphicFramePr/>
                <a:graphic xmlns:a="http://schemas.openxmlformats.org/drawingml/2006/main">
                  <a:graphicData uri="http://schemas.microsoft.com/office/word/2010/wordprocessingShape">
                    <wps:wsp>
                      <wps:cNvCnPr>
                        <a:cxnSpLocks noChangeShapeType="1"/>
                      </wps:cNvCnPr>
                      <wps:spPr bwMode="auto">
                        <a:xfrm flipH="1">
                          <a:off x="0" y="0"/>
                          <a:ext cx="6985" cy="583565"/>
                        </a:xfrm>
                        <a:prstGeom prst="line">
                          <a:avLst/>
                        </a:prstGeom>
                        <a:noFill/>
                        <a:ln w="10160">
                          <a:solidFill>
                            <a:srgbClr val="000000"/>
                          </a:solidFill>
                          <a:round/>
                          <a:tailEnd type="triangle" w="med" len="med"/>
                        </a:ln>
                      </wps:spPr>
                      <wps:bodyPr/>
                    </wps:wsp>
                  </a:graphicData>
                </a:graphic>
              </wp:anchor>
            </w:drawing>
          </mc:Choice>
          <mc:Fallback>
            <w:pict>
              <v:line id="_x0000_s1026" o:spid="_x0000_s1026" o:spt="20" style="position:absolute;left:0pt;flip:x;margin-left:217.75pt;margin-top:1.7pt;height:45.95pt;width:0.55pt;z-index:251668480;mso-width-relative:page;mso-height-relative:page;" filled="f" stroked="t" coordsize="21600,21600" o:gfxdata="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MSOwdYAAAAIAQAADwAAAAAAAAABACAAAAAiAAAA&#10;ZHJzL2Rvd25yZXYueG1sUEsBAhQAFAAAAAgAh07iQIrc1gcJAgAA5wMAAA4AAAAAAAAAAQAgAAAA&#10;JQEAAGRycy9lMm9Eb2MueG1sUEsFBgAAAAAGAAYAWQEAAKAFAAAAAA==&#10;">
                <v:fill on="f" focussize="0,0"/>
                <v:stroke weight="0.8pt" color="#000000" joinstyle="round" endarrow="block"/>
                <v:imagedata o:title=""/>
                <o:lock v:ext="edit" aspectratio="f"/>
              </v:line>
            </w:pict>
          </mc:Fallback>
        </mc:AlternateContent>
      </w:r>
    </w:p>
    <w:p>
      <w:pPr>
        <w:ind w:firstLine="560"/>
        <w:rPr>
          <w:rFonts w:ascii="Times New Roman" w:hAnsi="Times New Roman"/>
          <w:szCs w:val="28"/>
        </w:rPr>
      </w:pPr>
      <w:r>
        <mc:AlternateContent>
          <mc:Choice Requires="wps">
            <w:drawing>
              <wp:anchor distT="0" distB="0" distL="114300" distR="114300" simplePos="0" relativeHeight="251664384" behindDoc="0" locked="0" layoutInCell="1" allowOverlap="1">
                <wp:simplePos x="0" y="0"/>
                <wp:positionH relativeFrom="column">
                  <wp:posOffset>1554480</wp:posOffset>
                </wp:positionH>
                <wp:positionV relativeFrom="paragraph">
                  <wp:posOffset>277495</wp:posOffset>
                </wp:positionV>
                <wp:extent cx="1118235" cy="572135"/>
                <wp:effectExtent l="76200" t="0" r="24765" b="56515"/>
                <wp:wrapNone/>
                <wp:docPr id="116" name="肘形连接符 116"/>
                <wp:cNvGraphicFramePr/>
                <a:graphic xmlns:a="http://schemas.openxmlformats.org/drawingml/2006/main">
                  <a:graphicData uri="http://schemas.microsoft.com/office/word/2010/wordprocessingShape">
                    <wps:wsp>
                      <wps:cNvCnPr>
                        <a:cxnSpLocks noChangeShapeType="1"/>
                      </wps:cNvCnPr>
                      <wps:spPr bwMode="auto">
                        <a:xfrm rot="10800000" flipV="1">
                          <a:off x="0" y="0"/>
                          <a:ext cx="1118235" cy="572135"/>
                        </a:xfrm>
                        <a:prstGeom prst="bentConnector2">
                          <a:avLst/>
                        </a:prstGeom>
                        <a:noFill/>
                        <a:ln w="12700">
                          <a:solidFill>
                            <a:srgbClr val="000000"/>
                          </a:solidFill>
                          <a:miter lim="800000"/>
                          <a:tailEnd type="triangle" w="med" len="med"/>
                        </a:ln>
                      </wps:spPr>
                      <wps:bodyPr/>
                    </wps:wsp>
                  </a:graphicData>
                </a:graphic>
              </wp:anchor>
            </w:drawing>
          </mc:Choice>
          <mc:Fallback>
            <w:pict>
              <v:shape id="_x0000_s1026" o:spid="_x0000_s1026" o:spt="33" type="#_x0000_t33" style="position:absolute;left:0pt;flip:y;margin-left:122.4pt;margin-top:21.85pt;height:45.05pt;width:88.05pt;rotation:11796480f;z-index:251664384;mso-width-relative:page;mso-height-relative:page;" filled="f" stroked="t" coordsize="21600,21600" o:gfxdata="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rss9tsAAAAKAQAADwAAAAAAAAABACAAAAAiAAAAZHJzL2Rvd25yZXYueG1sUEsBAhQAFAAA&#10;AAgAh07iQIED0HslAgAAEgQAAA4AAAAAAAAAAQAgAAAAKgEAAGRycy9lMm9Eb2MueG1sUEsFBgAA&#10;AAAGAAYAWQEAAMEFAAAAAA==&#10;">
                <v:fill on="f" focussize="0,0"/>
                <v:stroke weight="1pt" color="#000000" miterlimit="8" joinstyle="miter" endarrow="block"/>
                <v:imagedata o:title=""/>
                <o:lock v:ext="edit" aspectratio="f"/>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2672715</wp:posOffset>
                </wp:positionH>
                <wp:positionV relativeFrom="paragraph">
                  <wp:posOffset>277495</wp:posOffset>
                </wp:positionV>
                <wp:extent cx="1448435" cy="600710"/>
                <wp:effectExtent l="0" t="0" r="75565" b="46990"/>
                <wp:wrapNone/>
                <wp:docPr id="117" name="肘形连接符 117"/>
                <wp:cNvGraphicFramePr/>
                <a:graphic xmlns:a="http://schemas.openxmlformats.org/drawingml/2006/main">
                  <a:graphicData uri="http://schemas.microsoft.com/office/word/2010/wordprocessingShape">
                    <wps:wsp>
                      <wps:cNvCnPr>
                        <a:cxnSpLocks noChangeShapeType="1"/>
                      </wps:cNvCnPr>
                      <wps:spPr bwMode="auto">
                        <a:xfrm>
                          <a:off x="0" y="0"/>
                          <a:ext cx="1448435" cy="600710"/>
                        </a:xfrm>
                        <a:prstGeom prst="bentConnector2">
                          <a:avLst/>
                        </a:prstGeom>
                        <a:noFill/>
                        <a:ln w="12700">
                          <a:solidFill>
                            <a:srgbClr val="000000"/>
                          </a:solidFill>
                          <a:miter lim="800000"/>
                          <a:tailEnd type="triangle" w="med" len="med"/>
                        </a:ln>
                      </wps:spPr>
                      <wps:bodyPr/>
                    </wps:wsp>
                  </a:graphicData>
                </a:graphic>
              </wp:anchor>
            </w:drawing>
          </mc:Choice>
          <mc:Fallback>
            <w:pict>
              <v:shape id="_x0000_s1026" o:spid="_x0000_s1026" o:spt="33" type="#_x0000_t33" style="position:absolute;left:0pt;margin-left:210.45pt;margin-top:21.85pt;height:47.3pt;width:114.05pt;z-index:251665408;mso-width-relative:page;mso-height-relative:page;" filled="f" stroked="t" coordsize="21600,21600" o:gfxdata="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DfLktcAAAAKAQAADwAA&#10;AAAAAAABACAAAAAiAAAAZHJzL2Rvd25yZXYueG1sUEsBAhQAFAAAAAgAh07iQCrvQoIXAgAA+QMA&#10;AA4AAAAAAAAAAQAgAAAAJgEAAGRycy9lMm9Eb2MueG1sUEsFBgAAAAAGAAYAWQEAAK8FAAAAAA==&#10;">
                <v:fill on="f" focussize="0,0"/>
                <v:stroke weight="1pt" color="#000000" miterlimit="8" joinstyle="miter" endarrow="block"/>
                <v:imagedata o:title=""/>
                <o:lock v:ext="edit" aspectratio="f"/>
              </v:shape>
            </w:pict>
          </mc:Fallback>
        </mc:AlternateContent>
      </w:r>
    </w:p>
    <w:p>
      <w:pPr>
        <w:ind w:firstLine="560"/>
        <w:rPr>
          <w:rFonts w:ascii="Times New Roman" w:hAnsi="Times New Roman"/>
          <w:szCs w:val="28"/>
        </w:rPr>
      </w:pPr>
    </w:p>
    <w:p>
      <w:pPr>
        <w:ind w:firstLine="560"/>
        <w:rPr>
          <w:rFonts w:ascii="Times New Roman" w:hAnsi="Times New Roman"/>
          <w:szCs w:val="28"/>
        </w:rPr>
      </w:pPr>
      <w:r>
        <mc:AlternateContent>
          <mc:Choice Requires="wps">
            <w:drawing>
              <wp:anchor distT="0" distB="0" distL="114300" distR="114300" simplePos="0" relativeHeight="251661312" behindDoc="0" locked="0" layoutInCell="1" allowOverlap="1">
                <wp:simplePos x="0" y="0"/>
                <wp:positionH relativeFrom="column">
                  <wp:posOffset>3223895</wp:posOffset>
                </wp:positionH>
                <wp:positionV relativeFrom="paragraph">
                  <wp:posOffset>172720</wp:posOffset>
                </wp:positionV>
                <wp:extent cx="1762125" cy="409575"/>
                <wp:effectExtent l="0" t="0" r="28575" b="28575"/>
                <wp:wrapNone/>
                <wp:docPr id="118" name="矩形 118"/>
                <wp:cNvGraphicFramePr/>
                <a:graphic xmlns:a="http://schemas.openxmlformats.org/drawingml/2006/main">
                  <a:graphicData uri="http://schemas.microsoft.com/office/word/2010/wordprocessingShape">
                    <wps:wsp>
                      <wps:cNvSpPr>
                        <a:spLocks noChangeArrowheads="1"/>
                      </wps:cNvSpPr>
                      <wps:spPr bwMode="auto">
                        <a:xfrm>
                          <a:off x="0" y="0"/>
                          <a:ext cx="1762125" cy="409575"/>
                        </a:xfrm>
                        <a:prstGeom prst="rect">
                          <a:avLst/>
                        </a:prstGeom>
                        <a:solidFill>
                          <a:srgbClr val="FFFFFF"/>
                        </a:solidFill>
                        <a:ln w="9525">
                          <a:solidFill>
                            <a:srgbClr val="000000"/>
                          </a:solidFill>
                          <a:miter lim="800000"/>
                        </a:ln>
                      </wps:spPr>
                      <wps:txbx>
                        <w:txbxContent>
                          <w:p>
                            <w:pPr>
                              <w:ind w:firstLine="0" w:firstLineChars="0"/>
                              <w:rPr>
                                <w:sz w:val="24"/>
                              </w:rPr>
                            </w:pPr>
                            <w:r>
                              <w:rPr>
                                <w:rFonts w:hint="eastAsia"/>
                                <w:sz w:val="24"/>
                              </w:rPr>
                              <w:t>安全应急预案</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53.85pt;margin-top:13.6pt;height:32.25pt;width:138.75pt;z-index:251661312;mso-width-relative:page;mso-height-relative:page;" fillcolor="#FFFFFF" filled="t" stroked="t" coordsize="21600,21600" o:gfxdata="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fdycy2AAAAAkBAAAPAAAAAAAAAAEAIAAAACIAAABkcnMvZG93bnJl&#10;di54bWxQSwECFAAUAAAACACHTuJA+BaxAjYCAAB+BAAADgAAAAAAAAABACAAAAAnAQAAZHJzL2Uy&#10;b0RvYy54bWxQSwUGAAAAAAYABgBZAQAAzwUAAAAA&#10;">
                <v:fill on="t" focussize="0,0"/>
                <v:stroke color="#000000" miterlimit="8" joinstyle="miter"/>
                <v:imagedata o:title=""/>
                <o:lock v:ext="edit" aspectratio="f"/>
                <v:textbox>
                  <w:txbxContent>
                    <w:p>
                      <w:pPr>
                        <w:ind w:firstLine="0" w:firstLineChars="0"/>
                        <w:rPr>
                          <w:sz w:val="24"/>
                        </w:rPr>
                      </w:pPr>
                      <w:r>
                        <w:rPr>
                          <w:rFonts w:hint="eastAsia"/>
                          <w:sz w:val="24"/>
                        </w:rPr>
                        <w:t>安全应急预案</w:t>
                      </w:r>
                    </w:p>
                  </w:txbxContent>
                </v:textbox>
              </v: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671195</wp:posOffset>
                </wp:positionH>
                <wp:positionV relativeFrom="paragraph">
                  <wp:posOffset>153670</wp:posOffset>
                </wp:positionV>
                <wp:extent cx="1752600" cy="428625"/>
                <wp:effectExtent l="0" t="0" r="19050" b="28575"/>
                <wp:wrapNone/>
                <wp:docPr id="119" name="矩形 119"/>
                <wp:cNvGraphicFramePr/>
                <a:graphic xmlns:a="http://schemas.openxmlformats.org/drawingml/2006/main">
                  <a:graphicData uri="http://schemas.microsoft.com/office/word/2010/wordprocessingShape">
                    <wps:wsp>
                      <wps:cNvSpPr>
                        <a:spLocks noChangeArrowheads="1"/>
                      </wps:cNvSpPr>
                      <wps:spPr bwMode="auto">
                        <a:xfrm>
                          <a:off x="0" y="0"/>
                          <a:ext cx="1752600" cy="428625"/>
                        </a:xfrm>
                        <a:prstGeom prst="rect">
                          <a:avLst/>
                        </a:prstGeom>
                        <a:solidFill>
                          <a:srgbClr val="FFFFFF"/>
                        </a:solidFill>
                        <a:ln w="9525">
                          <a:solidFill>
                            <a:srgbClr val="000000"/>
                          </a:solidFill>
                          <a:miter lim="800000"/>
                        </a:ln>
                      </wps:spPr>
                      <wps:txbx>
                        <w:txbxContent>
                          <w:p>
                            <w:pPr>
                              <w:ind w:firstLine="0" w:firstLineChars="0"/>
                              <w:rPr>
                                <w:sz w:val="24"/>
                              </w:rPr>
                            </w:pPr>
                            <w:r>
                              <w:rPr>
                                <w:rFonts w:hint="eastAsia"/>
                                <w:sz w:val="24"/>
                              </w:rPr>
                              <w:t>突发环境事件应急预案</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52.85pt;margin-top:12.1pt;height:33.75pt;width:138pt;z-index:251660288;mso-width-relative:page;mso-height-relative:page;" fillcolor="#FFFFFF" filled="t" stroked="t" coordsize="21600,21600" o:gfxdata="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Iz0XctgAAAAJAQAADwAAAAAAAAABACAAAAAiAAAAZHJzL2Rvd25y&#10;ZXYueG1sUEsBAhQAFAAAAAgAh07iQDLgDGk3AgAAfgQAAA4AAAAAAAAAAQAgAAAAJwEAAGRycy9l&#10;Mm9Eb2MueG1sUEsFBgAAAAAGAAYAWQEAANAFAAAAAA==&#10;">
                <v:fill on="t" focussize="0,0"/>
                <v:stroke color="#000000" miterlimit="8" joinstyle="miter"/>
                <v:imagedata o:title=""/>
                <o:lock v:ext="edit" aspectratio="f"/>
                <v:textbox>
                  <w:txbxContent>
                    <w:p>
                      <w:pPr>
                        <w:ind w:firstLine="0" w:firstLineChars="0"/>
                        <w:rPr>
                          <w:sz w:val="24"/>
                        </w:rPr>
                      </w:pPr>
                      <w:r>
                        <w:rPr>
                          <w:rFonts w:hint="eastAsia"/>
                          <w:sz w:val="24"/>
                        </w:rPr>
                        <w:t>突发环境事件应急预案</w:t>
                      </w:r>
                    </w:p>
                  </w:txbxContent>
                </v:textbox>
              </v:rect>
            </w:pict>
          </mc:Fallback>
        </mc:AlternateContent>
      </w:r>
    </w:p>
    <w:p>
      <w:pPr>
        <w:snapToGrid w:val="0"/>
        <w:ind w:right="-372" w:rightChars="-133" w:firstLine="560"/>
        <w:jc w:val="left"/>
        <w:rPr>
          <w:rFonts w:ascii="Times New Roman" w:hAnsi="Times New Roman"/>
          <w:szCs w:val="28"/>
        </w:rPr>
      </w:pPr>
      <w:r>
        <mc:AlternateContent>
          <mc:Choice Requires="wps">
            <w:drawing>
              <wp:anchor distT="0" distB="0" distL="113665" distR="113665" simplePos="0" relativeHeight="251669504" behindDoc="0" locked="0" layoutInCell="1" allowOverlap="1">
                <wp:simplePos x="0" y="0"/>
                <wp:positionH relativeFrom="column">
                  <wp:posOffset>1520825</wp:posOffset>
                </wp:positionH>
                <wp:positionV relativeFrom="paragraph">
                  <wp:posOffset>251460</wp:posOffset>
                </wp:positionV>
                <wp:extent cx="0" cy="981075"/>
                <wp:effectExtent l="76200" t="0" r="76200" b="47625"/>
                <wp:wrapNone/>
                <wp:docPr id="120" name="直接连接符 120"/>
                <wp:cNvGraphicFramePr/>
                <a:graphic xmlns:a="http://schemas.openxmlformats.org/drawingml/2006/main">
                  <a:graphicData uri="http://schemas.microsoft.com/office/word/2010/wordprocessingShape">
                    <wps:wsp>
                      <wps:cNvCnPr>
                        <a:cxnSpLocks noChangeShapeType="1"/>
                      </wps:cNvCnPr>
                      <wps:spPr bwMode="auto">
                        <a:xfrm>
                          <a:off x="0" y="0"/>
                          <a:ext cx="0" cy="981075"/>
                        </a:xfrm>
                        <a:prstGeom prst="line">
                          <a:avLst/>
                        </a:prstGeom>
                        <a:noFill/>
                        <a:ln w="10160">
                          <a:solidFill>
                            <a:srgbClr val="000000"/>
                          </a:solidFill>
                          <a:round/>
                          <a:tailEnd type="triangle" w="med" len="med"/>
                        </a:ln>
                      </wps:spPr>
                      <wps:bodyPr/>
                    </wps:wsp>
                  </a:graphicData>
                </a:graphic>
              </wp:anchor>
            </w:drawing>
          </mc:Choice>
          <mc:Fallback>
            <w:pict>
              <v:line id="_x0000_s1026" o:spid="_x0000_s1026" o:spt="20" style="position:absolute;left:0pt;margin-left:119.75pt;margin-top:19.8pt;height:77.25pt;width:0pt;z-index:251669504;mso-width-relative:page;mso-height-relative:page;" filled="f" stroked="t" coordsize="21600,21600" o:gfxdata="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RZ18naAAAACgEAAA8AAAAAAAAAAQAgAAAAIgAAAGRycy9kb3du&#10;cmV2LnhtbFBLAQIUABQAAAAIAIdO4kDHREDb/QEAANwDAAAOAAAAAAAAAAEAIAAAACkBAABkcnMv&#10;ZTJvRG9jLnhtbFBLBQYAAAAABgAGAFkBAACYBQAAAAA=&#10;">
                <v:fill on="f" focussize="0,0"/>
                <v:stroke weight="0.8pt" color="#000000" joinstyle="round" endarrow="block"/>
                <v:imagedata o:title=""/>
                <o:lock v:ext="edit" aspectratio="f"/>
              </v:line>
            </w:pict>
          </mc:Fallback>
        </mc:AlternateContent>
      </w:r>
    </w:p>
    <w:p>
      <w:pPr>
        <w:snapToGrid w:val="0"/>
        <w:ind w:right="-372" w:rightChars="-133" w:firstLine="560"/>
        <w:jc w:val="left"/>
        <w:rPr>
          <w:rFonts w:ascii="Times New Roman" w:hAnsi="Times New Roman"/>
          <w:szCs w:val="28"/>
        </w:rPr>
      </w:pPr>
    </w:p>
    <w:p>
      <w:pPr>
        <w:snapToGrid w:val="0"/>
        <w:spacing w:line="240" w:lineRule="auto"/>
        <w:ind w:firstLine="560" w:firstLineChars="0"/>
        <w:rPr>
          <w:rFonts w:ascii="Times New Roman" w:hAnsi="Times New Roman"/>
          <w:kern w:val="0"/>
          <w:szCs w:val="28"/>
        </w:rPr>
      </w:pPr>
    </w:p>
    <w:p>
      <w:pPr>
        <w:snapToGrid w:val="0"/>
        <w:spacing w:line="240" w:lineRule="auto"/>
        <w:ind w:firstLine="560" w:firstLineChars="0"/>
        <w:rPr>
          <w:rFonts w:ascii="Times New Roman" w:hAnsi="Times New Roman"/>
          <w:kern w:val="0"/>
          <w:szCs w:val="28"/>
        </w:rPr>
      </w:pPr>
    </w:p>
    <w:p>
      <w:pPr>
        <w:snapToGrid w:val="0"/>
        <w:spacing w:line="240" w:lineRule="auto"/>
        <w:ind w:firstLine="560" w:firstLineChars="0"/>
        <w:rPr>
          <w:rFonts w:ascii="Times New Roman" w:hAnsi="Times New Roman"/>
          <w:kern w:val="0"/>
          <w:szCs w:val="28"/>
        </w:rPr>
      </w:pPr>
      <w:r>
        <mc:AlternateContent>
          <mc:Choice Requires="wps">
            <w:drawing>
              <wp:anchor distT="0" distB="0" distL="114300" distR="114300" simplePos="0" relativeHeight="251670528" behindDoc="0" locked="0" layoutInCell="1" allowOverlap="1">
                <wp:simplePos x="0" y="0"/>
                <wp:positionH relativeFrom="column">
                  <wp:posOffset>718820</wp:posOffset>
                </wp:positionH>
                <wp:positionV relativeFrom="paragraph">
                  <wp:posOffset>111760</wp:posOffset>
                </wp:positionV>
                <wp:extent cx="1752600" cy="428625"/>
                <wp:effectExtent l="0" t="0" r="19050" b="28575"/>
                <wp:wrapNone/>
                <wp:docPr id="121" name="矩形 121"/>
                <wp:cNvGraphicFramePr/>
                <a:graphic xmlns:a="http://schemas.openxmlformats.org/drawingml/2006/main">
                  <a:graphicData uri="http://schemas.microsoft.com/office/word/2010/wordprocessingShape">
                    <wps:wsp>
                      <wps:cNvSpPr>
                        <a:spLocks noChangeArrowheads="1"/>
                      </wps:cNvSpPr>
                      <wps:spPr bwMode="auto">
                        <a:xfrm>
                          <a:off x="0" y="0"/>
                          <a:ext cx="1752600" cy="428625"/>
                        </a:xfrm>
                        <a:prstGeom prst="rect">
                          <a:avLst/>
                        </a:prstGeom>
                        <a:solidFill>
                          <a:srgbClr val="FFFFFF"/>
                        </a:solidFill>
                        <a:ln w="9525">
                          <a:solidFill>
                            <a:srgbClr val="000000"/>
                          </a:solidFill>
                          <a:miter lim="800000"/>
                        </a:ln>
                      </wps:spPr>
                      <wps:txbx>
                        <w:txbxContent>
                          <w:p>
                            <w:pPr>
                              <w:ind w:firstLine="0" w:firstLineChars="0"/>
                              <w:rPr>
                                <w:sz w:val="24"/>
                              </w:rPr>
                            </w:pPr>
                            <w:r>
                              <w:rPr>
                                <w:rFonts w:hint="eastAsia"/>
                                <w:sz w:val="24"/>
                              </w:rPr>
                              <w:t>危险废物专项应急预案</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56.6pt;margin-top:8.8pt;height:33.75pt;width:138pt;z-index:251670528;mso-width-relative:page;mso-height-relative:page;" fillcolor="#FFFFFF" filled="t" stroked="t" coordsize="21600,21600" o:gfxdata="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YHpCR1wAAAAkBAAAPAAAAAAAAAAEAIAAAACIAAABkcnMvZG93bnJldi54&#10;bWxQSwECFAAUAAAACACHTuJAshDWGTQCAAB+BAAADgAAAAAAAAABACAAAAAmAQAAZHJzL2Uyb0Rv&#10;Yy54bWxQSwUGAAAAAAYABgBZAQAAzAUAAAAA&#10;">
                <v:fill on="t" focussize="0,0"/>
                <v:stroke color="#000000" miterlimit="8" joinstyle="miter"/>
                <v:imagedata o:title=""/>
                <o:lock v:ext="edit" aspectratio="f"/>
                <v:textbox>
                  <w:txbxContent>
                    <w:p>
                      <w:pPr>
                        <w:ind w:firstLine="0" w:firstLineChars="0"/>
                        <w:rPr>
                          <w:sz w:val="24"/>
                        </w:rPr>
                      </w:pPr>
                      <w:r>
                        <w:rPr>
                          <w:rFonts w:hint="eastAsia"/>
                          <w:sz w:val="24"/>
                        </w:rPr>
                        <w:t>危险废物专项应急预案</w:t>
                      </w:r>
                    </w:p>
                  </w:txbxContent>
                </v:textbox>
              </v:rect>
            </w:pict>
          </mc:Fallback>
        </mc:AlternateContent>
      </w:r>
    </w:p>
    <w:p>
      <w:pPr>
        <w:snapToGrid w:val="0"/>
        <w:spacing w:line="240" w:lineRule="auto"/>
        <w:ind w:firstLine="560" w:firstLineChars="0"/>
        <w:rPr>
          <w:rFonts w:ascii="Times New Roman" w:hAnsi="Times New Roman"/>
          <w:kern w:val="0"/>
          <w:szCs w:val="28"/>
        </w:rPr>
      </w:pPr>
    </w:p>
    <w:p>
      <w:pPr>
        <w:snapToGrid w:val="0"/>
        <w:spacing w:line="240" w:lineRule="auto"/>
        <w:ind w:firstLine="560" w:firstLineChars="0"/>
        <w:rPr>
          <w:rFonts w:ascii="Times New Roman" w:hAnsi="Times New Roman"/>
          <w:kern w:val="0"/>
          <w:szCs w:val="28"/>
        </w:rPr>
      </w:pPr>
    </w:p>
    <w:p>
      <w:pPr>
        <w:snapToGrid w:val="0"/>
        <w:spacing w:line="240" w:lineRule="auto"/>
        <w:ind w:firstLine="560" w:firstLineChars="0"/>
        <w:rPr>
          <w:rFonts w:ascii="Times New Roman" w:hAnsi="Times New Roman"/>
          <w:kern w:val="0"/>
          <w:szCs w:val="28"/>
        </w:rPr>
      </w:pPr>
    </w:p>
    <w:p>
      <w:pPr>
        <w:snapToGrid w:val="0"/>
        <w:spacing w:line="240" w:lineRule="auto"/>
        <w:ind w:firstLine="560" w:firstLineChars="0"/>
        <w:rPr>
          <w:rFonts w:ascii="Times New Roman" w:hAnsi="Times New Roman"/>
          <w:kern w:val="0"/>
          <w:szCs w:val="28"/>
        </w:rPr>
      </w:pPr>
    </w:p>
    <w:p>
      <w:pPr>
        <w:snapToGrid w:val="0"/>
        <w:spacing w:line="240" w:lineRule="auto"/>
        <w:ind w:firstLine="560" w:firstLineChars="0"/>
        <w:rPr>
          <w:rFonts w:ascii="Times New Roman" w:hAnsi="Times New Roman"/>
          <w:kern w:val="0"/>
          <w:szCs w:val="28"/>
        </w:rPr>
      </w:pPr>
    </w:p>
    <w:p>
      <w:pPr>
        <w:snapToGrid w:val="0"/>
        <w:spacing w:line="240" w:lineRule="auto"/>
        <w:ind w:firstLine="560" w:firstLineChars="0"/>
        <w:rPr>
          <w:rFonts w:ascii="Times New Roman" w:hAnsi="Times New Roman" w:eastAsia="宋体"/>
          <w:kern w:val="0"/>
          <w:sz w:val="21"/>
          <w:szCs w:val="21"/>
        </w:rPr>
      </w:pPr>
    </w:p>
    <w:p>
      <w:pPr>
        <w:spacing w:line="240" w:lineRule="auto"/>
        <w:ind w:firstLine="1687" w:firstLineChars="600"/>
        <w:jc w:val="left"/>
        <w:rPr>
          <w:rFonts w:ascii="Times New Roman" w:hAnsi="Times New Roman"/>
          <w:b/>
          <w:szCs w:val="28"/>
        </w:rPr>
      </w:pPr>
      <w:r>
        <w:rPr>
          <w:rFonts w:ascii="Times New Roman" w:hAnsi="Times New Roman"/>
          <w:b/>
          <w:szCs w:val="28"/>
        </w:rPr>
        <w:t>图2-2    应急预案关系</w:t>
      </w:r>
    </w:p>
    <w:p>
      <w:pPr>
        <w:snapToGrid w:val="0"/>
        <w:spacing w:line="240" w:lineRule="auto"/>
        <w:ind w:firstLine="602" w:firstLineChars="250"/>
        <w:jc w:val="center"/>
        <w:rPr>
          <w:rFonts w:ascii="Times New Roman" w:hAnsi="Times New Roman"/>
          <w:b/>
          <w:sz w:val="24"/>
          <w:szCs w:val="24"/>
        </w:rPr>
      </w:pPr>
    </w:p>
    <w:p>
      <w:pPr>
        <w:snapToGrid w:val="0"/>
        <w:spacing w:line="240" w:lineRule="auto"/>
        <w:ind w:firstLine="602" w:firstLineChars="250"/>
        <w:jc w:val="center"/>
        <w:rPr>
          <w:rFonts w:ascii="Times New Roman" w:hAnsi="Times New Roman"/>
          <w:b/>
          <w:sz w:val="24"/>
          <w:szCs w:val="24"/>
        </w:rPr>
      </w:pPr>
    </w:p>
    <w:p>
      <w:pPr>
        <w:snapToGrid w:val="0"/>
        <w:spacing w:line="240" w:lineRule="auto"/>
        <w:ind w:firstLine="602" w:firstLineChars="250"/>
        <w:jc w:val="center"/>
        <w:rPr>
          <w:rFonts w:ascii="Times New Roman" w:hAnsi="Times New Roman"/>
          <w:b/>
          <w:sz w:val="24"/>
          <w:szCs w:val="24"/>
        </w:rPr>
      </w:pPr>
    </w:p>
    <w:p>
      <w:pPr>
        <w:snapToGrid w:val="0"/>
        <w:spacing w:line="240" w:lineRule="auto"/>
        <w:ind w:firstLine="602" w:firstLineChars="250"/>
        <w:jc w:val="center"/>
        <w:rPr>
          <w:rFonts w:ascii="Times New Roman" w:hAnsi="Times New Roman"/>
          <w:b/>
          <w:sz w:val="24"/>
          <w:szCs w:val="24"/>
        </w:rPr>
      </w:pPr>
    </w:p>
    <w:p>
      <w:pPr>
        <w:snapToGrid w:val="0"/>
        <w:spacing w:line="240" w:lineRule="auto"/>
        <w:ind w:firstLine="602" w:firstLineChars="250"/>
        <w:jc w:val="center"/>
        <w:rPr>
          <w:rFonts w:ascii="Times New Roman" w:hAnsi="Times New Roman"/>
          <w:b/>
          <w:sz w:val="24"/>
          <w:szCs w:val="24"/>
        </w:rPr>
      </w:pPr>
    </w:p>
    <w:p>
      <w:pPr>
        <w:snapToGrid w:val="0"/>
        <w:spacing w:line="240" w:lineRule="auto"/>
        <w:ind w:firstLine="602" w:firstLineChars="250"/>
        <w:jc w:val="center"/>
        <w:rPr>
          <w:rFonts w:ascii="Times New Roman" w:hAnsi="Times New Roman"/>
          <w:b/>
          <w:sz w:val="24"/>
          <w:szCs w:val="24"/>
        </w:rPr>
      </w:pPr>
    </w:p>
    <w:p>
      <w:pPr>
        <w:snapToGrid w:val="0"/>
        <w:spacing w:line="240" w:lineRule="auto"/>
        <w:ind w:firstLine="602" w:firstLineChars="250"/>
        <w:jc w:val="center"/>
        <w:rPr>
          <w:rFonts w:ascii="Times New Roman" w:hAnsi="Times New Roman"/>
          <w:b/>
          <w:sz w:val="24"/>
          <w:szCs w:val="24"/>
        </w:rPr>
      </w:pPr>
    </w:p>
    <w:p>
      <w:pPr>
        <w:snapToGrid w:val="0"/>
        <w:spacing w:line="240" w:lineRule="auto"/>
        <w:ind w:firstLine="602" w:firstLineChars="250"/>
        <w:jc w:val="center"/>
        <w:rPr>
          <w:rFonts w:ascii="Times New Roman" w:hAnsi="Times New Roman"/>
          <w:b/>
          <w:sz w:val="24"/>
          <w:szCs w:val="24"/>
        </w:rPr>
      </w:pPr>
    </w:p>
    <w:p>
      <w:pPr>
        <w:snapToGrid w:val="0"/>
        <w:spacing w:line="240" w:lineRule="auto"/>
        <w:ind w:firstLine="602" w:firstLineChars="250"/>
        <w:jc w:val="center"/>
        <w:rPr>
          <w:rFonts w:ascii="Times New Roman" w:hAnsi="Times New Roman"/>
          <w:b/>
          <w:sz w:val="24"/>
          <w:szCs w:val="24"/>
        </w:rPr>
      </w:pPr>
    </w:p>
    <w:p>
      <w:pPr>
        <w:snapToGrid w:val="0"/>
        <w:spacing w:line="240" w:lineRule="auto"/>
        <w:ind w:firstLine="602" w:firstLineChars="250"/>
        <w:jc w:val="center"/>
        <w:rPr>
          <w:rFonts w:ascii="Times New Roman" w:hAnsi="Times New Roman"/>
          <w:b/>
          <w:sz w:val="24"/>
          <w:szCs w:val="24"/>
        </w:rPr>
      </w:pPr>
    </w:p>
    <w:p>
      <w:pPr>
        <w:keepNext/>
        <w:keepLines/>
        <w:spacing w:before="156" w:beforeLines="50" w:after="156" w:afterLines="50"/>
        <w:ind w:firstLine="0" w:firstLineChars="0"/>
        <w:jc w:val="center"/>
        <w:outlineLvl w:val="0"/>
        <w:rPr>
          <w:rFonts w:ascii="Times New Roman" w:hAnsi="Times New Roman" w:eastAsia="仿宋_GB2312"/>
          <w:b/>
          <w:bCs/>
          <w:kern w:val="44"/>
          <w:sz w:val="44"/>
          <w:szCs w:val="44"/>
        </w:rPr>
      </w:pPr>
      <w:bookmarkStart w:id="110" w:name="_Toc507012523"/>
      <w:bookmarkEnd w:id="110"/>
      <w:bookmarkStart w:id="111" w:name="_Toc40971412"/>
      <w:bookmarkEnd w:id="111"/>
      <w:bookmarkStart w:id="112" w:name="_Toc29887746"/>
      <w:bookmarkEnd w:id="112"/>
      <w:bookmarkStart w:id="113" w:name="_Toc28020435"/>
      <w:bookmarkEnd w:id="113"/>
      <w:bookmarkStart w:id="114" w:name="_Toc319998573"/>
      <w:bookmarkEnd w:id="114"/>
      <w:bookmarkStart w:id="115" w:name="_Toc507012437"/>
      <w:bookmarkEnd w:id="115"/>
      <w:bookmarkStart w:id="116" w:name="_Toc507012676"/>
      <w:bookmarkEnd w:id="116"/>
      <w:bookmarkStart w:id="117" w:name="_Toc29312301"/>
      <w:bookmarkEnd w:id="117"/>
      <w:bookmarkStart w:id="118" w:name="_Toc28021912"/>
      <w:bookmarkStart w:id="119" w:name="_Toc93062912"/>
      <w:r>
        <w:rPr>
          <w:rFonts w:ascii="Times New Roman" w:hAnsi="Times New Roman" w:eastAsia="仿宋_GB2312"/>
          <w:b/>
          <w:bCs/>
          <w:kern w:val="44"/>
          <w:sz w:val="44"/>
          <w:szCs w:val="44"/>
        </w:rPr>
        <w:t>3</w:t>
      </w:r>
      <w:bookmarkEnd w:id="118"/>
      <w:r>
        <w:rPr>
          <w:rFonts w:ascii="Times New Roman" w:hAnsi="Times New Roman" w:eastAsia="仿宋_GB2312"/>
          <w:b/>
          <w:bCs/>
          <w:kern w:val="44"/>
          <w:sz w:val="44"/>
          <w:szCs w:val="44"/>
        </w:rPr>
        <w:t>、</w:t>
      </w:r>
      <w:bookmarkStart w:id="120" w:name="_Toc246239552"/>
      <w:bookmarkEnd w:id="120"/>
      <w:bookmarkStart w:id="121" w:name="_Toc507012438"/>
      <w:bookmarkEnd w:id="121"/>
      <w:bookmarkStart w:id="122" w:name="_Toc246062325"/>
      <w:bookmarkEnd w:id="122"/>
      <w:bookmarkStart w:id="123" w:name="_Toc239647104"/>
      <w:bookmarkEnd w:id="123"/>
      <w:bookmarkStart w:id="124" w:name="_Toc243217975"/>
      <w:bookmarkEnd w:id="124"/>
      <w:bookmarkStart w:id="125" w:name="_Toc242849914"/>
      <w:bookmarkEnd w:id="125"/>
      <w:bookmarkStart w:id="126" w:name="_Toc507012524"/>
      <w:bookmarkEnd w:id="126"/>
      <w:bookmarkStart w:id="127" w:name="_Toc241053005"/>
      <w:bookmarkEnd w:id="127"/>
      <w:bookmarkStart w:id="128" w:name="_Toc286324560"/>
      <w:bookmarkEnd w:id="128"/>
      <w:bookmarkStart w:id="129" w:name="_Toc319998574"/>
      <w:bookmarkEnd w:id="129"/>
      <w:bookmarkStart w:id="130" w:name="_Toc507012677"/>
      <w:bookmarkEnd w:id="130"/>
      <w:bookmarkStart w:id="131" w:name="_Toc286324561"/>
      <w:r>
        <w:rPr>
          <w:rFonts w:ascii="Times New Roman" w:hAnsi="Times New Roman" w:eastAsia="仿宋_GB2312"/>
          <w:b/>
          <w:bCs/>
          <w:kern w:val="44"/>
          <w:sz w:val="44"/>
          <w:szCs w:val="44"/>
        </w:rPr>
        <w:t>危险废物环境风险源辨识</w:t>
      </w:r>
      <w:bookmarkEnd w:id="119"/>
      <w:bookmarkEnd w:id="131"/>
    </w:p>
    <w:p>
      <w:pPr>
        <w:keepNext/>
        <w:keepLines/>
        <w:snapToGrid w:val="0"/>
        <w:ind w:firstLine="0" w:firstLineChars="0"/>
        <w:jc w:val="left"/>
        <w:outlineLvl w:val="1"/>
        <w:rPr>
          <w:rFonts w:ascii="Times New Roman" w:hAnsi="Times New Roman" w:eastAsia="仿宋_GB2312"/>
          <w:b/>
          <w:bCs/>
          <w:sz w:val="32"/>
          <w:szCs w:val="32"/>
        </w:rPr>
      </w:pPr>
      <w:bookmarkStart w:id="132" w:name="_Toc93062913"/>
      <w:r>
        <w:rPr>
          <w:rFonts w:ascii="Times New Roman" w:hAnsi="Times New Roman" w:eastAsia="仿宋_GB2312"/>
          <w:b/>
          <w:bCs/>
          <w:sz w:val="32"/>
          <w:szCs w:val="32"/>
        </w:rPr>
        <w:t>3.1生产过程中涉及危险废物环境的物质及其储存情况</w:t>
      </w:r>
      <w:bookmarkEnd w:id="132"/>
    </w:p>
    <w:p>
      <w:pPr>
        <w:snapToGrid w:val="0"/>
        <w:spacing w:line="240" w:lineRule="auto"/>
        <w:ind w:firstLine="482" w:firstLineChars="0"/>
        <w:jc w:val="center"/>
        <w:rPr>
          <w:rFonts w:ascii="Times New Roman" w:hAnsi="Times New Roman"/>
          <w:b/>
          <w:kern w:val="0"/>
          <w:sz w:val="24"/>
          <w:szCs w:val="24"/>
        </w:rPr>
      </w:pPr>
      <w:r>
        <w:rPr>
          <w:rFonts w:ascii="Times New Roman" w:hAnsi="Times New Roman"/>
          <w:b/>
          <w:kern w:val="0"/>
          <w:sz w:val="24"/>
          <w:szCs w:val="24"/>
        </w:rPr>
        <w:t>表3-1  危险废物储存情况表</w:t>
      </w:r>
    </w:p>
    <w:tbl>
      <w:tblPr>
        <w:tblStyle w:val="6"/>
        <w:tblW w:w="89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8"/>
        <w:gridCol w:w="1516"/>
        <w:gridCol w:w="1602"/>
        <w:gridCol w:w="1701"/>
        <w:gridCol w:w="992"/>
        <w:gridCol w:w="1276"/>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56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序号</w:t>
            </w:r>
          </w:p>
        </w:tc>
        <w:tc>
          <w:tcPr>
            <w:tcW w:w="1516"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贮存场所名称</w:t>
            </w:r>
          </w:p>
        </w:tc>
        <w:tc>
          <w:tcPr>
            <w:tcW w:w="160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危险废</w:t>
            </w:r>
            <w:r>
              <w:rPr>
                <w:rFonts w:ascii="Times New Roman" w:hAnsi="Times New Roman"/>
                <w:spacing w:val="-102"/>
                <w:kern w:val="0"/>
                <w:sz w:val="24"/>
                <w:szCs w:val="24"/>
              </w:rPr>
              <w:t xml:space="preserve"> </w:t>
            </w:r>
            <w:r>
              <w:rPr>
                <w:rFonts w:ascii="Times New Roman" w:hAnsi="Times New Roman"/>
                <w:kern w:val="0"/>
                <w:sz w:val="24"/>
                <w:szCs w:val="24"/>
              </w:rPr>
              <w:t>物名称</w:t>
            </w:r>
          </w:p>
        </w:tc>
        <w:tc>
          <w:tcPr>
            <w:tcW w:w="1701"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危险</w:t>
            </w:r>
          </w:p>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废物</w:t>
            </w:r>
            <w:r>
              <w:rPr>
                <w:rFonts w:ascii="Times New Roman" w:hAnsi="Times New Roman"/>
                <w:spacing w:val="-103"/>
                <w:kern w:val="0"/>
                <w:sz w:val="24"/>
                <w:szCs w:val="24"/>
              </w:rPr>
              <w:t xml:space="preserve"> </w:t>
            </w:r>
            <w:r>
              <w:rPr>
                <w:rFonts w:ascii="Times New Roman" w:hAnsi="Times New Roman"/>
                <w:kern w:val="0"/>
                <w:sz w:val="24"/>
                <w:szCs w:val="24"/>
              </w:rPr>
              <w:t>代码</w:t>
            </w:r>
          </w:p>
        </w:tc>
        <w:tc>
          <w:tcPr>
            <w:tcW w:w="992"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面积</w:t>
            </w:r>
          </w:p>
        </w:tc>
        <w:tc>
          <w:tcPr>
            <w:tcW w:w="127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贮存</w:t>
            </w:r>
            <w:r>
              <w:rPr>
                <w:rFonts w:ascii="Times New Roman" w:hAnsi="Times New Roman"/>
                <w:spacing w:val="-103"/>
                <w:kern w:val="0"/>
                <w:sz w:val="24"/>
                <w:szCs w:val="24"/>
              </w:rPr>
              <w:t xml:space="preserve"> </w:t>
            </w:r>
            <w:r>
              <w:rPr>
                <w:rFonts w:ascii="Times New Roman" w:hAnsi="Times New Roman"/>
                <w:kern w:val="0"/>
                <w:sz w:val="24"/>
                <w:szCs w:val="24"/>
              </w:rPr>
              <w:t>方式</w:t>
            </w:r>
          </w:p>
        </w:tc>
        <w:tc>
          <w:tcPr>
            <w:tcW w:w="127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最大贮存量/吨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6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1</w:t>
            </w:r>
          </w:p>
        </w:tc>
        <w:tc>
          <w:tcPr>
            <w:tcW w:w="1516" w:type="dxa"/>
            <w:tcBorders>
              <w:top w:val="single" w:color="auto"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贮存间</w:t>
            </w:r>
          </w:p>
        </w:tc>
        <w:tc>
          <w:tcPr>
            <w:tcW w:w="160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hint="eastAsia" w:ascii="Times New Roman" w:hAnsi="Times New Roman"/>
                <w:kern w:val="0"/>
                <w:sz w:val="24"/>
                <w:szCs w:val="24"/>
              </w:rPr>
              <w:t>铅</w:t>
            </w:r>
            <w:r>
              <w:rPr>
                <w:rFonts w:ascii="Times New Roman" w:hAnsi="Times New Roman"/>
                <w:kern w:val="0"/>
                <w:sz w:val="24"/>
                <w:szCs w:val="24"/>
              </w:rPr>
              <w:t>尘</w:t>
            </w:r>
          </w:p>
        </w:tc>
        <w:tc>
          <w:tcPr>
            <w:tcW w:w="1701" w:type="dxa"/>
            <w:tcBorders>
              <w:top w:val="single" w:color="000000" w:sz="4" w:space="0"/>
              <w:left w:val="single" w:color="000000" w:sz="4" w:space="0"/>
              <w:bottom w:val="single" w:color="000000" w:sz="4" w:space="0"/>
              <w:right w:val="single" w:color="000000" w:sz="4" w:space="0"/>
            </w:tcBorders>
          </w:tcPr>
          <w:p>
            <w:pPr>
              <w:adjustRightInd w:val="0"/>
              <w:snapToGrid w:val="0"/>
              <w:spacing w:line="240" w:lineRule="auto"/>
              <w:ind w:firstLine="0" w:firstLineChars="0"/>
              <w:jc w:val="center"/>
              <w:rPr>
                <w:sz w:val="24"/>
                <w:szCs w:val="24"/>
              </w:rPr>
            </w:pPr>
            <w:r>
              <w:rPr>
                <w:rFonts w:ascii="Times New Roman" w:hAnsi="Times New Roman"/>
                <w:kern w:val="0"/>
                <w:sz w:val="24"/>
                <w:szCs w:val="24"/>
              </w:rPr>
              <w:t>HW</w:t>
            </w:r>
            <w:r>
              <w:rPr>
                <w:rFonts w:hint="eastAsia" w:ascii="Times New Roman" w:hAnsi="Times New Roman"/>
                <w:kern w:val="0"/>
                <w:sz w:val="24"/>
                <w:szCs w:val="24"/>
              </w:rPr>
              <w:t>31</w:t>
            </w:r>
            <w:r>
              <w:rPr>
                <w:sz w:val="24"/>
                <w:szCs w:val="24"/>
              </w:rPr>
              <w:t xml:space="preserve"> </w:t>
            </w:r>
            <w:r>
              <w:rPr>
                <w:rFonts w:ascii="Times New Roman" w:hAnsi="Times New Roman"/>
                <w:kern w:val="0"/>
                <w:sz w:val="24"/>
                <w:szCs w:val="24"/>
              </w:rPr>
              <w:t>384-004-31</w:t>
            </w:r>
          </w:p>
        </w:tc>
        <w:tc>
          <w:tcPr>
            <w:tcW w:w="992" w:type="dxa"/>
            <w:tcBorders>
              <w:top w:val="nil"/>
              <w:left w:val="single" w:color="000000" w:sz="4" w:space="0"/>
              <w:bottom w:val="single" w:color="auto"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hint="eastAsia" w:ascii="Times New Roman" w:hAnsi="Times New Roman"/>
                <w:kern w:val="0"/>
                <w:sz w:val="24"/>
                <w:szCs w:val="24"/>
                <w:lang w:val="en-US" w:eastAsia="zh-CN"/>
              </w:rPr>
              <w:t>3</w:t>
            </w:r>
            <w:r>
              <w:rPr>
                <w:rFonts w:ascii="Times New Roman" w:hAnsi="Times New Roman"/>
                <w:kern w:val="0"/>
                <w:sz w:val="24"/>
                <w:szCs w:val="24"/>
              </w:rPr>
              <w:t>m</w:t>
            </w:r>
            <w:r>
              <w:rPr>
                <w:rFonts w:ascii="Times New Roman" w:hAnsi="Times New Roman"/>
                <w:kern w:val="0"/>
                <w:position w:val="10"/>
                <w:sz w:val="24"/>
                <w:szCs w:val="24"/>
                <w:vertAlign w:val="superscript"/>
              </w:rPr>
              <w:t>2</w:t>
            </w:r>
          </w:p>
        </w:tc>
        <w:tc>
          <w:tcPr>
            <w:tcW w:w="127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袋装</w:t>
            </w:r>
          </w:p>
        </w:tc>
        <w:tc>
          <w:tcPr>
            <w:tcW w:w="127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hint="default" w:ascii="Times New Roman" w:hAnsi="Times New Roman" w:eastAsia="仿宋"/>
                <w:kern w:val="0"/>
                <w:sz w:val="24"/>
                <w:szCs w:val="24"/>
                <w:lang w:val="en-US" w:eastAsia="zh-CN"/>
              </w:rPr>
            </w:pPr>
            <w:r>
              <w:rPr>
                <w:rFonts w:hint="eastAsia" w:ascii="Times New Roman" w:hAnsi="Times New Roman"/>
                <w:kern w:val="0"/>
                <w:sz w:val="24"/>
                <w:szCs w:val="24"/>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6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2</w:t>
            </w:r>
          </w:p>
        </w:tc>
        <w:tc>
          <w:tcPr>
            <w:tcW w:w="1516" w:type="dxa"/>
            <w:tcBorders>
              <w:top w:val="single" w:color="auto" w:sz="4" w:space="0"/>
              <w:left w:val="single" w:color="000000" w:sz="4" w:space="0"/>
              <w:bottom w:val="single" w:color="auto" w:sz="4" w:space="0"/>
              <w:right w:val="single" w:color="000000" w:sz="4" w:space="0"/>
            </w:tcBorders>
            <w:vAlign w:val="center"/>
          </w:tcPr>
          <w:p>
            <w:pPr>
              <w:widowControl/>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贮存间</w:t>
            </w:r>
          </w:p>
        </w:tc>
        <w:tc>
          <w:tcPr>
            <w:tcW w:w="160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hint="eastAsia" w:ascii="Times New Roman" w:hAnsi="Times New Roman"/>
                <w:kern w:val="0"/>
                <w:sz w:val="24"/>
                <w:szCs w:val="24"/>
              </w:rPr>
              <w:t>铅</w:t>
            </w:r>
            <w:r>
              <w:rPr>
                <w:rFonts w:ascii="Times New Roman" w:hAnsi="Times New Roman"/>
                <w:kern w:val="0"/>
                <w:sz w:val="24"/>
                <w:szCs w:val="24"/>
              </w:rPr>
              <w:t>泥</w:t>
            </w:r>
          </w:p>
        </w:tc>
        <w:tc>
          <w:tcPr>
            <w:tcW w:w="1701" w:type="dxa"/>
            <w:tcBorders>
              <w:top w:val="single" w:color="000000" w:sz="4" w:space="0"/>
              <w:left w:val="single" w:color="000000" w:sz="4" w:space="0"/>
              <w:bottom w:val="single" w:color="auto" w:sz="4" w:space="0"/>
              <w:right w:val="single" w:color="000000" w:sz="4" w:space="0"/>
            </w:tcBorders>
          </w:tcPr>
          <w:p>
            <w:pPr>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HW</w:t>
            </w:r>
            <w:r>
              <w:rPr>
                <w:rFonts w:hint="eastAsia" w:ascii="Times New Roman" w:hAnsi="Times New Roman"/>
                <w:kern w:val="0"/>
                <w:sz w:val="24"/>
                <w:szCs w:val="24"/>
              </w:rPr>
              <w:t>31</w:t>
            </w:r>
          </w:p>
          <w:p>
            <w:pPr>
              <w:adjustRightInd w:val="0"/>
              <w:snapToGrid w:val="0"/>
              <w:spacing w:line="240" w:lineRule="auto"/>
              <w:ind w:firstLine="0" w:firstLineChars="0"/>
              <w:jc w:val="center"/>
              <w:rPr>
                <w:sz w:val="24"/>
                <w:szCs w:val="24"/>
              </w:rPr>
            </w:pPr>
            <w:r>
              <w:rPr>
                <w:sz w:val="24"/>
                <w:szCs w:val="24"/>
              </w:rPr>
              <w:t>384-004-31</w:t>
            </w:r>
          </w:p>
        </w:tc>
        <w:tc>
          <w:tcPr>
            <w:tcW w:w="992" w:type="dxa"/>
            <w:tcBorders>
              <w:top w:val="single" w:color="auto" w:sz="4" w:space="0"/>
              <w:left w:val="single" w:color="000000" w:sz="4" w:space="0"/>
              <w:bottom w:val="single" w:color="auto" w:sz="4" w:space="0"/>
              <w:right w:val="single" w:color="000000" w:sz="4" w:space="0"/>
            </w:tcBorders>
          </w:tcPr>
          <w:p>
            <w:pPr>
              <w:adjustRightInd w:val="0"/>
              <w:snapToGrid w:val="0"/>
              <w:spacing w:line="240" w:lineRule="auto"/>
              <w:ind w:firstLine="0" w:firstLineChars="0"/>
              <w:jc w:val="center"/>
              <w:rPr>
                <w:sz w:val="24"/>
                <w:szCs w:val="24"/>
              </w:rPr>
            </w:pPr>
            <w:r>
              <w:rPr>
                <w:rFonts w:hint="eastAsia" w:ascii="Times New Roman" w:hAnsi="Times New Roman"/>
                <w:kern w:val="0"/>
                <w:sz w:val="24"/>
                <w:szCs w:val="24"/>
                <w:lang w:val="en-US" w:eastAsia="zh-CN"/>
              </w:rPr>
              <w:t>4</w:t>
            </w:r>
            <w:r>
              <w:rPr>
                <w:rFonts w:ascii="Times New Roman" w:hAnsi="Times New Roman"/>
                <w:kern w:val="0"/>
                <w:sz w:val="24"/>
                <w:szCs w:val="24"/>
              </w:rPr>
              <w:t>m</w:t>
            </w:r>
            <w:r>
              <w:rPr>
                <w:rFonts w:ascii="Times New Roman" w:hAnsi="Times New Roman"/>
                <w:kern w:val="0"/>
                <w:position w:val="10"/>
                <w:sz w:val="24"/>
                <w:szCs w:val="24"/>
                <w:vertAlign w:val="superscript"/>
              </w:rPr>
              <w:t>2</w:t>
            </w:r>
          </w:p>
        </w:tc>
        <w:tc>
          <w:tcPr>
            <w:tcW w:w="1276"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袋装</w:t>
            </w:r>
          </w:p>
        </w:tc>
        <w:tc>
          <w:tcPr>
            <w:tcW w:w="127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hint="eastAsia" w:ascii="Times New Roman" w:hAnsi="Times New Roman" w:eastAsia="仿宋"/>
                <w:kern w:val="0"/>
                <w:sz w:val="24"/>
                <w:szCs w:val="24"/>
                <w:lang w:eastAsia="zh-CN"/>
              </w:rPr>
            </w:pPr>
            <w:r>
              <w:rPr>
                <w:rFonts w:hint="eastAsia" w:ascii="Times New Roman" w:hAnsi="Times New Roman"/>
                <w:kern w:val="0"/>
                <w:sz w:val="24"/>
                <w:szCs w:val="24"/>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6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3</w:t>
            </w:r>
          </w:p>
        </w:tc>
        <w:tc>
          <w:tcPr>
            <w:tcW w:w="1516" w:type="dxa"/>
            <w:tcBorders>
              <w:top w:val="single" w:color="auto" w:sz="4" w:space="0"/>
              <w:left w:val="single" w:color="000000" w:sz="4" w:space="0"/>
              <w:bottom w:val="single" w:color="auto" w:sz="4" w:space="0"/>
              <w:right w:val="single" w:color="000000" w:sz="4" w:space="0"/>
            </w:tcBorders>
            <w:vAlign w:val="center"/>
          </w:tcPr>
          <w:p>
            <w:pPr>
              <w:widowControl/>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贮存间</w:t>
            </w:r>
          </w:p>
        </w:tc>
        <w:tc>
          <w:tcPr>
            <w:tcW w:w="160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hint="eastAsia" w:ascii="Times New Roman" w:hAnsi="Times New Roman"/>
                <w:kern w:val="0"/>
                <w:sz w:val="24"/>
                <w:szCs w:val="24"/>
              </w:rPr>
              <w:t>铅渣</w:t>
            </w:r>
          </w:p>
        </w:tc>
        <w:tc>
          <w:tcPr>
            <w:tcW w:w="1701" w:type="dxa"/>
            <w:tcBorders>
              <w:top w:val="single" w:color="auto" w:sz="4" w:space="0"/>
              <w:left w:val="single" w:color="000000" w:sz="4" w:space="0"/>
              <w:bottom w:val="single" w:color="auto" w:sz="4" w:space="0"/>
              <w:right w:val="single" w:color="000000" w:sz="4" w:space="0"/>
            </w:tcBorders>
          </w:tcPr>
          <w:p>
            <w:pPr>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HW</w:t>
            </w:r>
            <w:r>
              <w:rPr>
                <w:rFonts w:hint="eastAsia" w:ascii="Times New Roman" w:hAnsi="Times New Roman"/>
                <w:kern w:val="0"/>
                <w:sz w:val="24"/>
                <w:szCs w:val="24"/>
              </w:rPr>
              <w:t>31</w:t>
            </w:r>
          </w:p>
          <w:p>
            <w:pPr>
              <w:adjustRightInd w:val="0"/>
              <w:snapToGrid w:val="0"/>
              <w:spacing w:line="240" w:lineRule="auto"/>
              <w:ind w:firstLine="0" w:firstLineChars="0"/>
              <w:jc w:val="center"/>
              <w:rPr>
                <w:sz w:val="24"/>
                <w:szCs w:val="24"/>
              </w:rPr>
            </w:pPr>
            <w:r>
              <w:rPr>
                <w:sz w:val="24"/>
                <w:szCs w:val="24"/>
              </w:rPr>
              <w:t>384-004-31</w:t>
            </w:r>
          </w:p>
        </w:tc>
        <w:tc>
          <w:tcPr>
            <w:tcW w:w="992" w:type="dxa"/>
            <w:tcBorders>
              <w:top w:val="single" w:color="auto" w:sz="4" w:space="0"/>
              <w:left w:val="single" w:color="000000" w:sz="4" w:space="0"/>
              <w:bottom w:val="single" w:color="auto" w:sz="4" w:space="0"/>
              <w:right w:val="single" w:color="000000" w:sz="4" w:space="0"/>
            </w:tcBorders>
          </w:tcPr>
          <w:p>
            <w:pPr>
              <w:adjustRightInd w:val="0"/>
              <w:snapToGrid w:val="0"/>
              <w:spacing w:line="240" w:lineRule="auto"/>
              <w:ind w:firstLine="0" w:firstLineChars="0"/>
              <w:jc w:val="center"/>
              <w:rPr>
                <w:sz w:val="24"/>
                <w:szCs w:val="24"/>
              </w:rPr>
            </w:pPr>
            <w:r>
              <w:rPr>
                <w:rFonts w:hint="eastAsia" w:ascii="Times New Roman" w:hAnsi="Times New Roman"/>
                <w:kern w:val="0"/>
                <w:sz w:val="24"/>
                <w:szCs w:val="24"/>
                <w:lang w:val="en-US" w:eastAsia="zh-CN"/>
              </w:rPr>
              <w:t>3</w:t>
            </w:r>
            <w:r>
              <w:rPr>
                <w:rFonts w:ascii="Times New Roman" w:hAnsi="Times New Roman"/>
                <w:kern w:val="0"/>
                <w:sz w:val="24"/>
                <w:szCs w:val="24"/>
              </w:rPr>
              <w:t>m</w:t>
            </w:r>
            <w:r>
              <w:rPr>
                <w:rFonts w:ascii="Times New Roman" w:hAnsi="Times New Roman"/>
                <w:kern w:val="0"/>
                <w:position w:val="10"/>
                <w:sz w:val="24"/>
                <w:szCs w:val="24"/>
                <w:vertAlign w:val="superscript"/>
              </w:rPr>
              <w:t>2</w:t>
            </w:r>
          </w:p>
        </w:tc>
        <w:tc>
          <w:tcPr>
            <w:tcW w:w="1276" w:type="dxa"/>
            <w:tcBorders>
              <w:top w:val="single" w:color="auto"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袋装</w:t>
            </w:r>
          </w:p>
        </w:tc>
        <w:tc>
          <w:tcPr>
            <w:tcW w:w="127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hint="default" w:ascii="Times New Roman" w:hAnsi="Times New Roman" w:eastAsia="仿宋"/>
                <w:kern w:val="0"/>
                <w:sz w:val="24"/>
                <w:szCs w:val="24"/>
                <w:lang w:val="en-US" w:eastAsia="zh-CN"/>
              </w:rPr>
            </w:pPr>
            <w:r>
              <w:rPr>
                <w:rFonts w:hint="eastAsia" w:ascii="Times New Roman" w:hAnsi="Times New Roman"/>
                <w:kern w:val="0"/>
                <w:sz w:val="24"/>
                <w:szCs w:val="24"/>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jc w:val="center"/>
        </w:trPr>
        <w:tc>
          <w:tcPr>
            <w:tcW w:w="568" w:type="dxa"/>
            <w:tcBorders>
              <w:top w:val="single" w:color="000000" w:sz="4" w:space="0"/>
              <w:left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hint="eastAsia" w:ascii="Times New Roman" w:hAnsi="Times New Roman" w:eastAsia="仿宋"/>
                <w:kern w:val="0"/>
                <w:sz w:val="24"/>
                <w:szCs w:val="24"/>
                <w:lang w:eastAsia="zh-CN"/>
              </w:rPr>
            </w:pPr>
            <w:r>
              <w:rPr>
                <w:rFonts w:hint="eastAsia" w:ascii="Times New Roman" w:hAnsi="Times New Roman"/>
                <w:kern w:val="0"/>
                <w:sz w:val="24"/>
                <w:szCs w:val="24"/>
                <w:lang w:val="en-US" w:eastAsia="zh-CN"/>
              </w:rPr>
              <w:t>4</w:t>
            </w:r>
          </w:p>
        </w:tc>
        <w:tc>
          <w:tcPr>
            <w:tcW w:w="1516" w:type="dxa"/>
            <w:tcBorders>
              <w:top w:val="single" w:color="auto" w:sz="4" w:space="0"/>
              <w:left w:val="single" w:color="000000" w:sz="4" w:space="0"/>
              <w:right w:val="single" w:color="000000" w:sz="4" w:space="0"/>
            </w:tcBorders>
            <w:vAlign w:val="center"/>
          </w:tcPr>
          <w:p>
            <w:pPr>
              <w:widowControl/>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贮存间</w:t>
            </w:r>
          </w:p>
        </w:tc>
        <w:tc>
          <w:tcPr>
            <w:tcW w:w="1602" w:type="dxa"/>
            <w:tcBorders>
              <w:top w:val="single" w:color="000000" w:sz="4" w:space="0"/>
              <w:left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hint="eastAsia" w:ascii="Times New Roman" w:hAnsi="Times New Roman"/>
                <w:kern w:val="0"/>
                <w:sz w:val="24"/>
                <w:szCs w:val="24"/>
              </w:rPr>
              <w:t>污泥</w:t>
            </w:r>
          </w:p>
        </w:tc>
        <w:tc>
          <w:tcPr>
            <w:tcW w:w="1701" w:type="dxa"/>
            <w:tcBorders>
              <w:top w:val="single" w:color="000000" w:sz="4" w:space="0"/>
              <w:left w:val="single" w:color="000000" w:sz="4" w:space="0"/>
              <w:right w:val="single" w:color="000000" w:sz="4" w:space="0"/>
            </w:tcBorders>
          </w:tcPr>
          <w:p>
            <w:pPr>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HW</w:t>
            </w:r>
            <w:r>
              <w:rPr>
                <w:rFonts w:hint="eastAsia" w:ascii="Times New Roman" w:hAnsi="Times New Roman"/>
                <w:kern w:val="0"/>
                <w:sz w:val="24"/>
                <w:szCs w:val="24"/>
              </w:rPr>
              <w:t>31</w:t>
            </w:r>
          </w:p>
          <w:p>
            <w:pPr>
              <w:adjustRightInd w:val="0"/>
              <w:snapToGrid w:val="0"/>
              <w:spacing w:line="240" w:lineRule="auto"/>
              <w:ind w:firstLine="0" w:firstLineChars="0"/>
              <w:jc w:val="center"/>
              <w:rPr>
                <w:sz w:val="24"/>
                <w:szCs w:val="24"/>
              </w:rPr>
            </w:pPr>
            <w:r>
              <w:rPr>
                <w:sz w:val="24"/>
                <w:szCs w:val="24"/>
              </w:rPr>
              <w:t>384-004-31</w:t>
            </w:r>
          </w:p>
        </w:tc>
        <w:tc>
          <w:tcPr>
            <w:tcW w:w="992" w:type="dxa"/>
            <w:tcBorders>
              <w:top w:val="single" w:color="auto" w:sz="4" w:space="0"/>
              <w:left w:val="single" w:color="000000" w:sz="4" w:space="0"/>
              <w:right w:val="single" w:color="000000" w:sz="4" w:space="0"/>
            </w:tcBorders>
          </w:tcPr>
          <w:p>
            <w:pPr>
              <w:adjustRightInd w:val="0"/>
              <w:snapToGrid w:val="0"/>
              <w:spacing w:line="240" w:lineRule="auto"/>
              <w:ind w:firstLine="0" w:firstLineChars="0"/>
              <w:jc w:val="center"/>
              <w:rPr>
                <w:sz w:val="24"/>
                <w:szCs w:val="24"/>
              </w:rPr>
            </w:pPr>
            <w:r>
              <w:rPr>
                <w:rFonts w:hint="eastAsia" w:ascii="Times New Roman" w:hAnsi="Times New Roman"/>
                <w:kern w:val="0"/>
                <w:sz w:val="24"/>
                <w:szCs w:val="24"/>
                <w:lang w:val="en-US" w:eastAsia="zh-CN"/>
              </w:rPr>
              <w:t>4</w:t>
            </w:r>
            <w:r>
              <w:rPr>
                <w:rFonts w:ascii="Times New Roman" w:hAnsi="Times New Roman"/>
                <w:kern w:val="0"/>
                <w:sz w:val="24"/>
                <w:szCs w:val="24"/>
              </w:rPr>
              <w:t>m</w:t>
            </w:r>
            <w:r>
              <w:rPr>
                <w:rFonts w:ascii="Times New Roman" w:hAnsi="Times New Roman"/>
                <w:kern w:val="0"/>
                <w:position w:val="10"/>
                <w:sz w:val="24"/>
                <w:szCs w:val="24"/>
                <w:vertAlign w:val="superscript"/>
              </w:rPr>
              <w:t>2</w:t>
            </w:r>
          </w:p>
        </w:tc>
        <w:tc>
          <w:tcPr>
            <w:tcW w:w="1276" w:type="dxa"/>
            <w:tcBorders>
              <w:top w:val="single" w:color="000000" w:sz="4" w:space="0"/>
              <w:left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ascii="Times New Roman" w:hAnsi="Times New Roman"/>
                <w:kern w:val="0"/>
                <w:sz w:val="24"/>
                <w:szCs w:val="24"/>
              </w:rPr>
            </w:pPr>
            <w:r>
              <w:rPr>
                <w:rFonts w:ascii="Times New Roman" w:hAnsi="Times New Roman"/>
                <w:kern w:val="0"/>
                <w:sz w:val="24"/>
                <w:szCs w:val="24"/>
              </w:rPr>
              <w:t>袋装</w:t>
            </w:r>
          </w:p>
        </w:tc>
        <w:tc>
          <w:tcPr>
            <w:tcW w:w="1276" w:type="dxa"/>
            <w:tcBorders>
              <w:top w:val="single" w:color="000000" w:sz="4" w:space="0"/>
              <w:left w:val="single" w:color="000000" w:sz="4" w:space="0"/>
              <w:right w:val="single" w:color="000000" w:sz="4" w:space="0"/>
            </w:tcBorders>
            <w:vAlign w:val="center"/>
          </w:tcPr>
          <w:p>
            <w:pPr>
              <w:kinsoku w:val="0"/>
              <w:overflowPunct w:val="0"/>
              <w:autoSpaceDE w:val="0"/>
              <w:autoSpaceDN w:val="0"/>
              <w:adjustRightInd w:val="0"/>
              <w:snapToGrid w:val="0"/>
              <w:spacing w:line="240" w:lineRule="auto"/>
              <w:ind w:firstLine="0" w:firstLineChars="0"/>
              <w:jc w:val="center"/>
              <w:rPr>
                <w:rFonts w:hint="eastAsia" w:ascii="Times New Roman" w:hAnsi="Times New Roman" w:eastAsia="仿宋"/>
                <w:kern w:val="0"/>
                <w:sz w:val="24"/>
                <w:szCs w:val="24"/>
                <w:lang w:eastAsia="zh-CN"/>
              </w:rPr>
            </w:pPr>
            <w:r>
              <w:rPr>
                <w:rFonts w:hint="eastAsia" w:ascii="Times New Roman" w:hAnsi="Times New Roman"/>
                <w:kern w:val="0"/>
                <w:sz w:val="24"/>
                <w:szCs w:val="24"/>
                <w:lang w:val="en-US" w:eastAsia="zh-CN"/>
              </w:rPr>
              <w:t>5</w:t>
            </w:r>
          </w:p>
        </w:tc>
      </w:tr>
    </w:tbl>
    <w:p>
      <w:pPr>
        <w:keepNext/>
        <w:keepLines/>
        <w:snapToGrid w:val="0"/>
        <w:ind w:firstLine="0" w:firstLineChars="0"/>
        <w:jc w:val="left"/>
        <w:outlineLvl w:val="1"/>
        <w:rPr>
          <w:rFonts w:ascii="Times New Roman" w:hAnsi="Times New Roman" w:eastAsia="仿宋_GB2312"/>
          <w:b/>
          <w:bCs/>
          <w:sz w:val="32"/>
          <w:szCs w:val="32"/>
        </w:rPr>
      </w:pPr>
      <w:bookmarkStart w:id="133" w:name="_Toc507012441"/>
      <w:bookmarkEnd w:id="133"/>
      <w:bookmarkStart w:id="134" w:name="_Toc93062914"/>
      <w:r>
        <w:rPr>
          <w:rFonts w:ascii="Times New Roman" w:hAnsi="Times New Roman" w:eastAsia="仿宋_GB2312"/>
          <w:b/>
          <w:bCs/>
          <w:sz w:val="32"/>
          <w:szCs w:val="32"/>
        </w:rPr>
        <w:t>3.2储运过程潜在危险性识别</w:t>
      </w:r>
      <w:bookmarkEnd w:id="134"/>
    </w:p>
    <w:p>
      <w:pPr>
        <w:snapToGrid w:val="0"/>
        <w:ind w:firstLine="560"/>
        <w:jc w:val="left"/>
        <w:rPr>
          <w:rFonts w:ascii="Times New Roman" w:hAnsi="Times New Roman"/>
          <w:kern w:val="0"/>
          <w:szCs w:val="28"/>
        </w:rPr>
      </w:pPr>
      <w:r>
        <w:rPr>
          <w:rFonts w:ascii="Times New Roman" w:hAnsi="Times New Roman"/>
          <w:kern w:val="0"/>
          <w:szCs w:val="28"/>
        </w:rPr>
        <w:t>本企业生产过程中存在的危险因素主要是有危险废物的泄漏等事件的危险因素。</w:t>
      </w:r>
    </w:p>
    <w:p>
      <w:pPr>
        <w:widowControl/>
        <w:snapToGrid w:val="0"/>
        <w:spacing w:line="480" w:lineRule="exact"/>
        <w:ind w:firstLine="560" w:firstLineChars="0"/>
        <w:jc w:val="left"/>
        <w:rPr>
          <w:rFonts w:ascii="Times New Roman" w:hAnsi="Times New Roman"/>
          <w:b/>
          <w:bCs/>
          <w:kern w:val="0"/>
          <w:szCs w:val="28"/>
        </w:rPr>
      </w:pPr>
      <w:r>
        <w:rPr>
          <w:rFonts w:ascii="Times New Roman" w:hAnsi="Times New Roman"/>
          <w:b/>
          <w:bCs/>
          <w:kern w:val="0"/>
          <w:szCs w:val="28"/>
        </w:rPr>
        <w:t>（1）泄漏风险</w:t>
      </w:r>
    </w:p>
    <w:p>
      <w:pPr>
        <w:snapToGrid w:val="0"/>
        <w:ind w:firstLine="560"/>
        <w:jc w:val="left"/>
        <w:rPr>
          <w:rFonts w:ascii="Times New Roman" w:hAnsi="Times New Roman"/>
          <w:kern w:val="0"/>
          <w:szCs w:val="28"/>
        </w:rPr>
      </w:pPr>
      <w:r>
        <w:rPr>
          <w:rFonts w:ascii="Times New Roman" w:hAnsi="Times New Roman"/>
          <w:kern w:val="0"/>
          <w:szCs w:val="28"/>
        </w:rPr>
        <w:t>生产</w:t>
      </w:r>
      <w:r>
        <w:rPr>
          <w:rFonts w:hint="eastAsia" w:ascii="Times New Roman" w:hAnsi="Times New Roman"/>
          <w:kern w:val="0"/>
          <w:szCs w:val="28"/>
        </w:rPr>
        <w:t>中</w:t>
      </w:r>
      <w:r>
        <w:rPr>
          <w:rFonts w:ascii="Times New Roman" w:hAnsi="Times New Roman"/>
          <w:kern w:val="0"/>
          <w:szCs w:val="28"/>
        </w:rPr>
        <w:t>产生的</w:t>
      </w:r>
      <w:r>
        <w:rPr>
          <w:rFonts w:hint="eastAsia" w:ascii="Times New Roman" w:hAnsi="Times New Roman"/>
          <w:kern w:val="0"/>
          <w:szCs w:val="28"/>
        </w:rPr>
        <w:t>铅尘</w:t>
      </w:r>
      <w:r>
        <w:rPr>
          <w:rFonts w:ascii="Times New Roman" w:hAnsi="Times New Roman"/>
          <w:kern w:val="0"/>
          <w:szCs w:val="28"/>
        </w:rPr>
        <w:t>、</w:t>
      </w:r>
      <w:r>
        <w:rPr>
          <w:rFonts w:hint="eastAsia" w:ascii="Times New Roman" w:hAnsi="Times New Roman"/>
          <w:kern w:val="0"/>
          <w:szCs w:val="28"/>
        </w:rPr>
        <w:t>铅</w:t>
      </w:r>
      <w:r>
        <w:rPr>
          <w:rFonts w:ascii="Times New Roman" w:hAnsi="Times New Roman"/>
          <w:kern w:val="0"/>
          <w:szCs w:val="28"/>
        </w:rPr>
        <w:t>泥等，在储运过程不当造成泄漏，导致厂区内土壤污染，甚至导致厂区周边水体污染。</w:t>
      </w:r>
    </w:p>
    <w:p>
      <w:pPr>
        <w:keepNext/>
        <w:keepLines/>
        <w:snapToGrid w:val="0"/>
        <w:ind w:firstLine="0" w:firstLineChars="0"/>
        <w:jc w:val="left"/>
        <w:outlineLvl w:val="1"/>
        <w:rPr>
          <w:rFonts w:ascii="Times New Roman" w:hAnsi="Times New Roman" w:eastAsia="仿宋_GB2312"/>
          <w:b/>
          <w:bCs/>
          <w:sz w:val="32"/>
          <w:szCs w:val="32"/>
        </w:rPr>
      </w:pPr>
      <w:bookmarkStart w:id="135" w:name="_Toc93062915"/>
      <w:r>
        <w:rPr>
          <w:rFonts w:ascii="Times New Roman" w:hAnsi="Times New Roman" w:eastAsia="仿宋_GB2312"/>
          <w:b/>
          <w:bCs/>
          <w:sz w:val="32"/>
          <w:szCs w:val="32"/>
        </w:rPr>
        <w:t>3.3 现有预防措施</w:t>
      </w:r>
      <w:bookmarkEnd w:id="135"/>
    </w:p>
    <w:p>
      <w:pPr>
        <w:snapToGrid w:val="0"/>
        <w:spacing w:line="240" w:lineRule="auto"/>
        <w:ind w:firstLine="562" w:firstLineChars="0"/>
        <w:rPr>
          <w:rFonts w:ascii="Times New Roman" w:hAnsi="Times New Roman"/>
          <w:b/>
          <w:szCs w:val="28"/>
        </w:rPr>
      </w:pPr>
      <w:r>
        <w:rPr>
          <w:rFonts w:ascii="Times New Roman" w:hAnsi="Times New Roman"/>
          <w:b/>
          <w:szCs w:val="28"/>
        </w:rPr>
        <w:t>（1）危险废物贮存设施</w:t>
      </w:r>
    </w:p>
    <w:p>
      <w:pPr>
        <w:snapToGrid w:val="0"/>
        <w:ind w:right="-372" w:rightChars="-133" w:firstLine="560"/>
        <w:jc w:val="left"/>
        <w:rPr>
          <w:rFonts w:ascii="Times New Roman" w:hAnsi="Times New Roman"/>
          <w:szCs w:val="28"/>
        </w:rPr>
      </w:pPr>
      <w:r>
        <w:rPr>
          <w:rFonts w:ascii="Times New Roman" w:hAnsi="Times New Roman"/>
          <w:szCs w:val="28"/>
        </w:rPr>
        <w:t>公司贮存的危险废物场所为危险废物仓库，危险废物按照类别分别放置在专门的收集容器和贮存设施内，进行区域划分，分类存放，能够容纳本企业产生的危险废物。危废间设置有高</w:t>
      </w:r>
      <w:r>
        <w:rPr>
          <w:rFonts w:hint="eastAsia" w:ascii="Times New Roman" w:hAnsi="Times New Roman"/>
          <w:szCs w:val="28"/>
        </w:rPr>
        <w:t>40cm的围堰</w:t>
      </w:r>
      <w:r>
        <w:rPr>
          <w:rFonts w:ascii="Times New Roman" w:hAnsi="Times New Roman"/>
          <w:szCs w:val="28"/>
        </w:rPr>
        <w:t>，可收集泄漏的危废，同时围堰进行区分。同时在危废间内设置有应急物资，在发生泄漏时可做应急使用。</w:t>
      </w:r>
    </w:p>
    <w:p>
      <w:pPr>
        <w:snapToGrid w:val="0"/>
        <w:ind w:right="-372" w:rightChars="-133" w:firstLine="560"/>
        <w:jc w:val="left"/>
        <w:rPr>
          <w:rFonts w:ascii="Times New Roman" w:hAnsi="Times New Roman"/>
          <w:szCs w:val="28"/>
        </w:rPr>
      </w:pPr>
      <w:r>
        <w:rPr>
          <w:rFonts w:ascii="Times New Roman" w:hAnsi="Times New Roman"/>
          <w:szCs w:val="28"/>
        </w:rPr>
        <w:t>危险废物仓库按照《危险废物贮存污染控制标准》GB18597-2001（2013年修订）的要求进行建设，满足选址和设计原则要求，危险废物临时储存间，各类危废储存间地面与裙角选用防渗材料制造，所用建筑材料与危险废物相容；</w:t>
      </w:r>
    </w:p>
    <w:p>
      <w:pPr>
        <w:snapToGrid w:val="0"/>
        <w:ind w:right="-372" w:rightChars="-133" w:firstLine="560"/>
        <w:jc w:val="left"/>
        <w:rPr>
          <w:rFonts w:ascii="Times New Roman" w:hAnsi="Times New Roman"/>
          <w:szCs w:val="28"/>
        </w:rPr>
      </w:pPr>
    </w:p>
    <w:p>
      <w:pPr>
        <w:snapToGrid w:val="0"/>
        <w:ind w:right="-372" w:rightChars="-133" w:firstLine="560"/>
        <w:jc w:val="left"/>
        <w:rPr>
          <w:rFonts w:ascii="Times New Roman" w:hAnsi="Times New Roman"/>
          <w:szCs w:val="28"/>
        </w:rPr>
      </w:pPr>
      <w:r>
        <w:rPr>
          <w:rFonts w:ascii="Times New Roman" w:hAnsi="Times New Roman"/>
          <w:szCs w:val="28"/>
        </w:rPr>
        <w:t>储存间地面需为耐腐蚀的硬化地面，且表面无裂痕；危废临时储存间基础采取了防渗措施，渗透系数</w:t>
      </w:r>
      <w:r>
        <w:rPr>
          <w:rFonts w:hint="eastAsia" w:ascii="宋体" w:hAnsi="宋体" w:eastAsia="宋体" w:cs="宋体"/>
          <w:szCs w:val="28"/>
        </w:rPr>
        <w:t>≦</w:t>
      </w:r>
      <w:r>
        <w:rPr>
          <w:rFonts w:ascii="Times New Roman" w:hAnsi="Times New Roman"/>
          <w:szCs w:val="28"/>
        </w:rPr>
        <w:t>10</w:t>
      </w:r>
      <w:r>
        <w:rPr>
          <w:rFonts w:ascii="Times New Roman" w:hAnsi="Times New Roman"/>
          <w:szCs w:val="28"/>
          <w:vertAlign w:val="superscript"/>
        </w:rPr>
        <w:t>-12</w:t>
      </w:r>
      <w:r>
        <w:rPr>
          <w:rFonts w:ascii="Times New Roman" w:hAnsi="Times New Roman"/>
          <w:szCs w:val="28"/>
        </w:rPr>
        <w:t>cm/s，并采取了防风、防雨、防渗漏等的措施，设置了危险废物标志，建立了台账，危险废物包装</w:t>
      </w:r>
      <w:r>
        <w:rPr>
          <w:rFonts w:hint="eastAsia" w:ascii="Times New Roman" w:hAnsi="Times New Roman"/>
          <w:szCs w:val="28"/>
          <w:lang w:val="en-US" w:eastAsia="zh-CN"/>
        </w:rPr>
        <w:t>袋</w:t>
      </w:r>
      <w:r>
        <w:rPr>
          <w:rFonts w:ascii="Times New Roman" w:hAnsi="Times New Roman"/>
          <w:szCs w:val="28"/>
        </w:rPr>
        <w:t>上粘贴了危险废物标签，确保贮存场所符合有关要求。</w:t>
      </w:r>
    </w:p>
    <w:p>
      <w:pPr>
        <w:snapToGrid w:val="0"/>
        <w:spacing w:line="240" w:lineRule="auto"/>
        <w:ind w:firstLine="562" w:firstLineChars="0"/>
        <w:rPr>
          <w:rFonts w:ascii="Times New Roman" w:hAnsi="Times New Roman"/>
          <w:b/>
          <w:bCs/>
          <w:szCs w:val="28"/>
        </w:rPr>
      </w:pPr>
      <w:r>
        <w:rPr>
          <w:rFonts w:ascii="Times New Roman" w:hAnsi="Times New Roman"/>
          <w:b/>
          <w:bCs/>
          <w:szCs w:val="28"/>
        </w:rPr>
        <w:t>（2）危险废物管理情况</w:t>
      </w:r>
    </w:p>
    <w:p>
      <w:pPr>
        <w:snapToGrid w:val="0"/>
        <w:ind w:right="-372" w:rightChars="-133" w:firstLine="560"/>
        <w:jc w:val="left"/>
        <w:rPr>
          <w:rFonts w:ascii="Times New Roman" w:hAnsi="Times New Roman"/>
          <w:szCs w:val="28"/>
        </w:rPr>
      </w:pPr>
      <w:r>
        <w:rPr>
          <w:rFonts w:ascii="Times New Roman" w:hAnsi="Times New Roman"/>
          <w:szCs w:val="28"/>
        </w:rPr>
        <w:t>企业建立了环保管理机构，副总经理作为危险废物主要负责人对危险废物实施全面负责和管理，实施对危险废物相关管理、协调、组织和安排，生产部作为危险废物的归口管理部门，负责日常危险废物的具体管理工作，并指定专人负责危险废物的贮存场所的日常管理、危险废物台账登记、以及与有资质处置单位的合同签订、危险废物转移办理等所有涉及危险废物的环节。</w:t>
      </w:r>
    </w:p>
    <w:p>
      <w:pPr>
        <w:snapToGrid w:val="0"/>
        <w:ind w:right="-372" w:rightChars="-133" w:firstLine="560"/>
        <w:jc w:val="left"/>
        <w:rPr>
          <w:rFonts w:ascii="Times New Roman" w:hAnsi="Times New Roman"/>
          <w:szCs w:val="28"/>
        </w:rPr>
      </w:pPr>
      <w:r>
        <w:rPr>
          <w:rFonts w:ascii="Times New Roman" w:hAnsi="Times New Roman"/>
          <w:szCs w:val="28"/>
        </w:rPr>
        <w:t>危险废物的转运严格按照法律法规要求进行。在危险废物的处置过程中，做好每次外运处置时的运输登记，认真填写危险废物转移联单；运输人员培训了解掌握危险废物运输的安全知识，了解其性质、危险特征、包装容器的使用特性和发生意外的应急措施。</w:t>
      </w:r>
    </w:p>
    <w:p>
      <w:pPr>
        <w:autoSpaceDE w:val="0"/>
        <w:autoSpaceDN w:val="0"/>
        <w:snapToGrid w:val="0"/>
        <w:spacing w:line="240" w:lineRule="auto"/>
        <w:ind w:firstLine="0" w:firstLineChars="0"/>
        <w:outlineLvl w:val="0"/>
        <w:rPr>
          <w:rFonts w:ascii="Times New Roman" w:hAnsi="Times New Roman"/>
          <w:b/>
          <w:bCs/>
          <w:sz w:val="36"/>
          <w:szCs w:val="36"/>
        </w:rPr>
      </w:pPr>
      <w:bookmarkStart w:id="136" w:name="_Toc327952146"/>
      <w:bookmarkEnd w:id="136"/>
      <w:bookmarkStart w:id="137" w:name="_Toc507012452"/>
      <w:bookmarkEnd w:id="137"/>
      <w:bookmarkStart w:id="138" w:name="_Toc507012528"/>
      <w:bookmarkEnd w:id="138"/>
      <w:bookmarkStart w:id="139" w:name="_Toc28021918"/>
      <w:bookmarkEnd w:id="139"/>
      <w:bookmarkStart w:id="140" w:name="_Toc29887747"/>
      <w:bookmarkEnd w:id="140"/>
      <w:bookmarkStart w:id="141" w:name="_Toc28020441"/>
      <w:bookmarkEnd w:id="141"/>
      <w:bookmarkStart w:id="142" w:name="_Toc507012681"/>
      <w:bookmarkEnd w:id="142"/>
      <w:bookmarkStart w:id="143" w:name="_Toc40971413"/>
      <w:bookmarkEnd w:id="143"/>
      <w:bookmarkStart w:id="144" w:name="_Toc29312302"/>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r>
        <w:rPr>
          <w:rFonts w:ascii="Times New Roman" w:hAnsi="Times New Roman"/>
          <w:b/>
          <w:bCs/>
          <w:sz w:val="36"/>
          <w:szCs w:val="36"/>
        </w:rPr>
        <w:br w:type="page"/>
      </w:r>
    </w:p>
    <w:p>
      <w:pPr>
        <w:autoSpaceDE w:val="0"/>
        <w:autoSpaceDN w:val="0"/>
        <w:snapToGrid w:val="0"/>
        <w:spacing w:line="240" w:lineRule="auto"/>
        <w:ind w:firstLine="0" w:firstLineChars="0"/>
        <w:outlineLvl w:val="0"/>
        <w:rPr>
          <w:rFonts w:ascii="Times New Roman" w:hAnsi="Times New Roman"/>
          <w:b/>
          <w:bCs/>
          <w:sz w:val="36"/>
          <w:szCs w:val="36"/>
        </w:rPr>
      </w:pPr>
    </w:p>
    <w:p>
      <w:pPr>
        <w:keepNext/>
        <w:keepLines/>
        <w:spacing w:before="156" w:beforeLines="50" w:after="156" w:afterLines="50"/>
        <w:ind w:firstLine="567" w:firstLineChars="0"/>
        <w:jc w:val="center"/>
        <w:outlineLvl w:val="0"/>
        <w:rPr>
          <w:rFonts w:ascii="Times New Roman" w:hAnsi="Times New Roman" w:eastAsia="仿宋_GB2312"/>
          <w:b/>
          <w:sz w:val="44"/>
          <w:szCs w:val="24"/>
        </w:rPr>
      </w:pPr>
      <w:bookmarkStart w:id="145" w:name="_Toc93062916"/>
      <w:r>
        <w:rPr>
          <w:rFonts w:ascii="Times New Roman" w:hAnsi="Times New Roman" w:eastAsia="仿宋_GB2312"/>
          <w:b/>
          <w:sz w:val="44"/>
          <w:szCs w:val="24"/>
        </w:rPr>
        <w:t>4</w:t>
      </w:r>
      <w:bookmarkEnd w:id="144"/>
      <w:r>
        <w:rPr>
          <w:rFonts w:ascii="Times New Roman" w:hAnsi="Times New Roman" w:eastAsia="仿宋_GB2312"/>
          <w:b/>
          <w:sz w:val="44"/>
          <w:szCs w:val="24"/>
        </w:rPr>
        <w:t>、环境应急组织机构与职责</w:t>
      </w:r>
      <w:bookmarkEnd w:id="145"/>
    </w:p>
    <w:p>
      <w:pPr>
        <w:spacing w:line="240" w:lineRule="auto"/>
        <w:ind w:firstLine="560"/>
        <w:rPr>
          <w:rFonts w:ascii="Times New Roman" w:hAnsi="Times New Roman"/>
          <w:bCs/>
          <w:szCs w:val="28"/>
        </w:rPr>
      </w:pPr>
      <w:bookmarkStart w:id="146" w:name="_Toc507012460"/>
      <w:bookmarkEnd w:id="146"/>
      <w:bookmarkStart w:id="147" w:name="_Toc29887748"/>
      <w:bookmarkEnd w:id="147"/>
      <w:bookmarkStart w:id="148" w:name="_Toc507012685"/>
      <w:bookmarkEnd w:id="148"/>
      <w:bookmarkStart w:id="149" w:name="_Toc241053027"/>
      <w:bookmarkEnd w:id="149"/>
      <w:bookmarkStart w:id="150" w:name="_Toc853"/>
      <w:bookmarkEnd w:id="150"/>
      <w:bookmarkStart w:id="151" w:name="_Toc327952154"/>
      <w:bookmarkEnd w:id="151"/>
      <w:bookmarkStart w:id="152" w:name="_Toc28021919"/>
      <w:bookmarkEnd w:id="152"/>
      <w:bookmarkStart w:id="153" w:name="_Toc507012532"/>
      <w:bookmarkEnd w:id="153"/>
      <w:bookmarkStart w:id="154" w:name="_Toc225668628"/>
      <w:bookmarkEnd w:id="154"/>
      <w:bookmarkStart w:id="155" w:name="_Toc242849937"/>
      <w:bookmarkEnd w:id="155"/>
      <w:bookmarkStart w:id="156" w:name="_Toc28020442"/>
      <w:bookmarkEnd w:id="156"/>
      <w:bookmarkStart w:id="157" w:name="_Toc29312303"/>
      <w:bookmarkEnd w:id="157"/>
      <w:bookmarkStart w:id="158" w:name="_Toc40971414"/>
      <w:r>
        <w:rPr>
          <w:rFonts w:ascii="Times New Roman" w:hAnsi="Times New Roman"/>
          <w:bCs/>
          <w:szCs w:val="28"/>
        </w:rPr>
        <w:t>公司成立应急指挥机构小组成员名单见下表。</w:t>
      </w:r>
    </w:p>
    <w:p>
      <w:pPr>
        <w:spacing w:line="240" w:lineRule="auto"/>
        <w:ind w:firstLine="0" w:firstLineChars="0"/>
        <w:jc w:val="center"/>
        <w:rPr>
          <w:rFonts w:ascii="Times New Roman" w:hAnsi="Times New Roman"/>
          <w:b/>
          <w:szCs w:val="28"/>
        </w:rPr>
      </w:pPr>
      <w:r>
        <w:rPr>
          <w:rFonts w:ascii="Times New Roman" w:hAnsi="Times New Roman"/>
          <w:b/>
          <w:bCs/>
          <w:szCs w:val="28"/>
        </w:rPr>
        <w:t>表4-1</w:t>
      </w:r>
      <w:r>
        <w:rPr>
          <w:rFonts w:ascii="Times New Roman" w:hAnsi="Times New Roman"/>
          <w:b/>
          <w:szCs w:val="28"/>
        </w:rPr>
        <w:t>突发环境事件应急组织领导小组及成员名单</w:t>
      </w:r>
    </w:p>
    <w:tbl>
      <w:tblPr>
        <w:tblStyle w:val="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206"/>
        <w:gridCol w:w="18"/>
        <w:gridCol w:w="117"/>
        <w:gridCol w:w="30"/>
        <w:gridCol w:w="1956"/>
        <w:gridCol w:w="399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24" w:type="dxa"/>
            <w:gridSpan w:val="2"/>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姓名</w:t>
            </w:r>
          </w:p>
        </w:tc>
        <w:tc>
          <w:tcPr>
            <w:tcW w:w="2103" w:type="dxa"/>
            <w:gridSpan w:val="3"/>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职位</w:t>
            </w:r>
          </w:p>
        </w:tc>
        <w:tc>
          <w:tcPr>
            <w:tcW w:w="3997" w:type="dxa"/>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联系电话</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324" w:type="dxa"/>
            <w:gridSpan w:val="6"/>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环境指挥部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李保红</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总指挥长</w:t>
            </w:r>
          </w:p>
        </w:tc>
        <w:tc>
          <w:tcPr>
            <w:tcW w:w="3997" w:type="dxa"/>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13903825673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吴宗辉</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副总指挥</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13633812589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左贵成</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副总指挥</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13523524388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李亚克</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13803813626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武笑</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13838552036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邵茂宗</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13503821002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尚建忠</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18238238756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王守平</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13782795930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李剑侠</w:t>
            </w:r>
          </w:p>
        </w:tc>
        <w:tc>
          <w:tcPr>
            <w:tcW w:w="2121" w:type="dxa"/>
            <w:gridSpan w:val="4"/>
            <w:tcBorders>
              <w:tl2br w:val="nil"/>
              <w:tr2bl w:val="nil"/>
            </w:tcBorders>
          </w:tcPr>
          <w:p>
            <w:pPr>
              <w:ind w:firstLine="480"/>
              <w:jc w:val="center"/>
              <w:rPr>
                <w:rFonts w:ascii="Times New Roman" w:hAnsi="Times New Roman"/>
                <w:sz w:val="24"/>
                <w:szCs w:val="24"/>
              </w:rPr>
            </w:pPr>
            <w:r>
              <w:rPr>
                <w:rFonts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13700855376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孙章权</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18739155856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李许鹏</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15890141087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杨以亮</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18119590510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李明</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18153073900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刘永富</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13601660426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324" w:type="dxa"/>
            <w:gridSpan w:val="6"/>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抢险组（</w:t>
            </w:r>
            <w:r>
              <w:rPr>
                <w:rFonts w:hint="eastAsia" w:ascii="Times New Roman" w:hAnsi="Times New Roman"/>
                <w:sz w:val="24"/>
                <w:szCs w:val="24"/>
              </w:rPr>
              <w:t>6</w:t>
            </w:r>
            <w:r>
              <w:rPr>
                <w:rFonts w:ascii="Times New Roman" w:hAnsi="Times New Roman"/>
                <w:sz w:val="24"/>
                <w:szCs w:val="24"/>
              </w:rPr>
              <w:t>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刘宝灿</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组长</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13837987581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赵电</w:t>
            </w:r>
            <w:r>
              <w:rPr>
                <w:rFonts w:hint="eastAsia" w:ascii="Times New Roman" w:hAnsi="Times New Roman"/>
                <w:sz w:val="24"/>
                <w:szCs w:val="24"/>
              </w:rPr>
              <w:t>召</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15515973769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尚  超</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13783669149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徐军红</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15617688582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刘保民</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13271595920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220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白建龙</w:t>
            </w:r>
          </w:p>
        </w:tc>
        <w:tc>
          <w:tcPr>
            <w:tcW w:w="2121" w:type="dxa"/>
            <w:gridSpan w:val="4"/>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13939943996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324" w:type="dxa"/>
            <w:gridSpan w:val="6"/>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疏散组（</w:t>
            </w:r>
            <w:r>
              <w:rPr>
                <w:rFonts w:hint="eastAsia" w:ascii="Times New Roman" w:hAnsi="Times New Roman"/>
                <w:sz w:val="24"/>
                <w:szCs w:val="24"/>
              </w:rPr>
              <w:t>3</w:t>
            </w:r>
            <w:r>
              <w:rPr>
                <w:rFonts w:ascii="Times New Roman" w:hAnsi="Times New Roman"/>
                <w:sz w:val="24"/>
                <w:szCs w:val="24"/>
              </w:rPr>
              <w:t>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371" w:type="dxa"/>
            <w:gridSpan w:val="4"/>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武笑</w:t>
            </w:r>
          </w:p>
        </w:tc>
        <w:tc>
          <w:tcPr>
            <w:tcW w:w="1956" w:type="dxa"/>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组长</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13838552036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371" w:type="dxa"/>
            <w:gridSpan w:val="4"/>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孙章权</w:t>
            </w:r>
          </w:p>
        </w:tc>
        <w:tc>
          <w:tcPr>
            <w:tcW w:w="195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18739155856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371" w:type="dxa"/>
            <w:gridSpan w:val="4"/>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邵莉君</w:t>
            </w:r>
          </w:p>
        </w:tc>
        <w:tc>
          <w:tcPr>
            <w:tcW w:w="1956"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13703907883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324" w:type="dxa"/>
            <w:gridSpan w:val="6"/>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物资保障组（</w:t>
            </w:r>
            <w:r>
              <w:rPr>
                <w:rFonts w:hint="eastAsia" w:ascii="Times New Roman" w:hAnsi="Times New Roman"/>
                <w:sz w:val="24"/>
                <w:szCs w:val="24"/>
              </w:rPr>
              <w:t>3</w:t>
            </w:r>
            <w:r>
              <w:rPr>
                <w:rFonts w:ascii="Times New Roman" w:hAnsi="Times New Roman"/>
                <w:sz w:val="24"/>
                <w:szCs w:val="24"/>
              </w:rPr>
              <w:t>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341" w:type="dxa"/>
            <w:gridSpan w:val="3"/>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左贵明</w:t>
            </w:r>
          </w:p>
        </w:tc>
        <w:tc>
          <w:tcPr>
            <w:tcW w:w="1986" w:type="dxa"/>
            <w:gridSpan w:val="2"/>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组长</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18736085733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341" w:type="dxa"/>
            <w:gridSpan w:val="3"/>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王永发</w:t>
            </w:r>
          </w:p>
        </w:tc>
        <w:tc>
          <w:tcPr>
            <w:tcW w:w="1986" w:type="dxa"/>
            <w:gridSpan w:val="2"/>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13383715718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341" w:type="dxa"/>
            <w:gridSpan w:val="3"/>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刘会丽</w:t>
            </w:r>
          </w:p>
        </w:tc>
        <w:tc>
          <w:tcPr>
            <w:tcW w:w="1986" w:type="dxa"/>
            <w:gridSpan w:val="2"/>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组员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15514522258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324" w:type="dxa"/>
            <w:gridSpan w:val="6"/>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环保组（</w:t>
            </w:r>
            <w:r>
              <w:rPr>
                <w:rFonts w:hint="eastAsia" w:ascii="Times New Roman" w:hAnsi="Times New Roman"/>
                <w:sz w:val="24"/>
                <w:szCs w:val="24"/>
              </w:rPr>
              <w:t>3</w:t>
            </w:r>
            <w:r>
              <w:rPr>
                <w:rFonts w:ascii="Times New Roman" w:hAnsi="Times New Roman"/>
                <w:sz w:val="24"/>
                <w:szCs w:val="24"/>
              </w:rPr>
              <w:t>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341" w:type="dxa"/>
            <w:gridSpan w:val="3"/>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邵</w:t>
            </w:r>
            <w:r>
              <w:rPr>
                <w:rFonts w:ascii="Times New Roman" w:hAnsi="Times New Roman"/>
                <w:sz w:val="24"/>
                <w:szCs w:val="24"/>
              </w:rPr>
              <w:t>茂宗</w:t>
            </w:r>
          </w:p>
        </w:tc>
        <w:tc>
          <w:tcPr>
            <w:tcW w:w="1986" w:type="dxa"/>
            <w:gridSpan w:val="2"/>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组长</w:t>
            </w:r>
          </w:p>
        </w:tc>
        <w:tc>
          <w:tcPr>
            <w:tcW w:w="3997" w:type="dxa"/>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13503821002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341" w:type="dxa"/>
            <w:gridSpan w:val="3"/>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李剑侠</w:t>
            </w:r>
          </w:p>
        </w:tc>
        <w:tc>
          <w:tcPr>
            <w:tcW w:w="1986" w:type="dxa"/>
            <w:gridSpan w:val="2"/>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13700855376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341" w:type="dxa"/>
            <w:gridSpan w:val="3"/>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何新晓</w:t>
            </w:r>
          </w:p>
        </w:tc>
        <w:tc>
          <w:tcPr>
            <w:tcW w:w="1986" w:type="dxa"/>
            <w:gridSpan w:val="2"/>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成员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13838002418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4" w:hRule="exact"/>
          <w:jc w:val="center"/>
        </w:trPr>
        <w:tc>
          <w:tcPr>
            <w:tcW w:w="8324" w:type="dxa"/>
            <w:gridSpan w:val="6"/>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医疗救护组（3人）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341" w:type="dxa"/>
            <w:gridSpan w:val="3"/>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李亚克</w:t>
            </w:r>
          </w:p>
        </w:tc>
        <w:tc>
          <w:tcPr>
            <w:tcW w:w="1986" w:type="dxa"/>
            <w:gridSpan w:val="2"/>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组长</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13803813626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341" w:type="dxa"/>
            <w:gridSpan w:val="3"/>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李  豪</w:t>
            </w:r>
          </w:p>
        </w:tc>
        <w:tc>
          <w:tcPr>
            <w:tcW w:w="1986" w:type="dxa"/>
            <w:gridSpan w:val="2"/>
            <w:tcBorders>
              <w:tl2br w:val="nil"/>
              <w:tr2bl w:val="nil"/>
            </w:tcBorders>
            <w:vAlign w:val="center"/>
          </w:tcPr>
          <w:p>
            <w:pPr>
              <w:ind w:firstLine="480"/>
              <w:jc w:val="center"/>
              <w:rPr>
                <w:rFonts w:ascii="Times New Roman" w:hAnsi="Times New Roman"/>
                <w:sz w:val="24"/>
                <w:szCs w:val="24"/>
              </w:rPr>
            </w:pPr>
            <w:r>
              <w:rPr>
                <w:rFonts w:ascii="Times New Roman" w:hAnsi="Times New Roman"/>
                <w:sz w:val="24"/>
                <w:szCs w:val="24"/>
              </w:rPr>
              <w:t>组员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18538286086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341" w:type="dxa"/>
            <w:gridSpan w:val="3"/>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王永胜</w:t>
            </w:r>
          </w:p>
        </w:tc>
        <w:tc>
          <w:tcPr>
            <w:tcW w:w="1986" w:type="dxa"/>
            <w:gridSpan w:val="2"/>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组员</w:t>
            </w:r>
          </w:p>
        </w:tc>
        <w:tc>
          <w:tcPr>
            <w:tcW w:w="3997" w:type="dxa"/>
            <w:tcBorders>
              <w:tl2br w:val="nil"/>
              <w:tr2bl w:val="nil"/>
            </w:tcBorders>
            <w:vAlign w:val="center"/>
          </w:tcPr>
          <w:p>
            <w:pPr>
              <w:ind w:firstLine="480"/>
              <w:jc w:val="center"/>
              <w:rPr>
                <w:rFonts w:ascii="Times New Roman" w:hAnsi="Times New Roman"/>
                <w:sz w:val="24"/>
                <w:szCs w:val="24"/>
              </w:rPr>
            </w:pPr>
            <w:r>
              <w:rPr>
                <w:rFonts w:hint="eastAsia" w:ascii="Times New Roman" w:hAnsi="Times New Roman"/>
                <w:sz w:val="24"/>
                <w:szCs w:val="24"/>
              </w:rPr>
              <w:t>15503998196</w:t>
            </w:r>
          </w:p>
        </w:tc>
      </w:tr>
    </w:tbl>
    <w:p>
      <w:pPr>
        <w:ind w:firstLine="560"/>
        <w:rPr>
          <w:rFonts w:ascii="Times New Roman" w:hAnsi="Times New Roman"/>
        </w:rPr>
      </w:pPr>
      <w:r>
        <w:rPr>
          <w:rFonts w:ascii="Times New Roman" w:hAnsi="Times New Roman"/>
        </w:rPr>
        <w:t>具体职责见突发环境事件应急预案部分。</w:t>
      </w:r>
    </w:p>
    <w:p>
      <w:pPr>
        <w:ind w:firstLine="560"/>
        <w:rPr>
          <w:rFonts w:ascii="Times New Roman" w:hAnsi="Times New Roman"/>
        </w:rPr>
      </w:pPr>
      <w:r>
        <w:rPr>
          <w:rFonts w:ascii="Times New Roman" w:hAnsi="Times New Roman"/>
        </w:rPr>
        <w:br w:type="page"/>
      </w:r>
    </w:p>
    <w:p>
      <w:pPr>
        <w:ind w:firstLine="560"/>
        <w:rPr>
          <w:rFonts w:ascii="Times New Roman" w:hAnsi="Times New Roman"/>
          <w:highlight w:val="yellow"/>
        </w:rPr>
      </w:pPr>
    </w:p>
    <w:p>
      <w:pPr>
        <w:keepNext/>
        <w:keepLines/>
        <w:spacing w:before="156" w:beforeLines="50" w:after="156" w:afterLines="50"/>
        <w:ind w:firstLine="567" w:firstLineChars="0"/>
        <w:jc w:val="center"/>
        <w:outlineLvl w:val="0"/>
        <w:rPr>
          <w:rFonts w:ascii="Times New Roman" w:hAnsi="Times New Roman" w:eastAsia="仿宋_GB2312"/>
          <w:b/>
          <w:sz w:val="44"/>
          <w:szCs w:val="24"/>
        </w:rPr>
      </w:pPr>
      <w:bookmarkStart w:id="159" w:name="_Toc93062917"/>
      <w:r>
        <w:rPr>
          <w:rFonts w:ascii="Times New Roman" w:hAnsi="Times New Roman" w:eastAsia="仿宋_GB2312"/>
          <w:b/>
          <w:sz w:val="44"/>
          <w:szCs w:val="24"/>
        </w:rPr>
        <w:t>5</w:t>
      </w:r>
      <w:bookmarkEnd w:id="158"/>
      <w:r>
        <w:rPr>
          <w:rFonts w:ascii="Times New Roman" w:hAnsi="Times New Roman" w:eastAsia="仿宋_GB2312"/>
          <w:b/>
          <w:sz w:val="44"/>
          <w:szCs w:val="24"/>
        </w:rPr>
        <w:t>、预防和预警</w:t>
      </w:r>
      <w:bookmarkEnd w:id="159"/>
    </w:p>
    <w:p>
      <w:pPr>
        <w:keepNext/>
        <w:keepLines/>
        <w:snapToGrid w:val="0"/>
        <w:ind w:firstLine="0" w:firstLineChars="0"/>
        <w:jc w:val="left"/>
        <w:outlineLvl w:val="1"/>
        <w:rPr>
          <w:rFonts w:ascii="Times New Roman" w:hAnsi="Times New Roman" w:eastAsia="仿宋_GB2312"/>
          <w:b/>
          <w:bCs/>
          <w:sz w:val="32"/>
          <w:szCs w:val="32"/>
        </w:rPr>
      </w:pPr>
      <w:bookmarkStart w:id="160" w:name="_Toc507012686"/>
      <w:bookmarkEnd w:id="160"/>
      <w:bookmarkStart w:id="161" w:name="_Toc243217998"/>
      <w:bookmarkEnd w:id="161"/>
      <w:bookmarkStart w:id="162" w:name="_Toc241053028"/>
      <w:bookmarkEnd w:id="162"/>
      <w:bookmarkStart w:id="163" w:name="_Toc40971415"/>
      <w:bookmarkEnd w:id="163"/>
      <w:bookmarkStart w:id="164" w:name="_Toc28021920"/>
      <w:bookmarkEnd w:id="164"/>
      <w:bookmarkStart w:id="165" w:name="_Toc242849938"/>
      <w:bookmarkEnd w:id="165"/>
      <w:bookmarkStart w:id="166" w:name="_Toc28020443"/>
      <w:bookmarkEnd w:id="166"/>
      <w:bookmarkStart w:id="167" w:name="_Toc17836"/>
      <w:bookmarkEnd w:id="167"/>
      <w:bookmarkStart w:id="168" w:name="_Toc29312304"/>
      <w:bookmarkEnd w:id="168"/>
      <w:bookmarkStart w:id="169" w:name="_Toc225668629"/>
      <w:bookmarkEnd w:id="169"/>
      <w:bookmarkStart w:id="170" w:name="_Toc507012533"/>
      <w:bookmarkEnd w:id="170"/>
      <w:bookmarkStart w:id="171" w:name="_Toc327952155"/>
      <w:bookmarkEnd w:id="171"/>
      <w:bookmarkStart w:id="172" w:name="_Toc507012461"/>
      <w:bookmarkEnd w:id="172"/>
      <w:bookmarkStart w:id="173" w:name="_Toc93062918"/>
      <w:bookmarkStart w:id="174" w:name="_Toc29887749"/>
      <w:r>
        <w:rPr>
          <w:rFonts w:ascii="Times New Roman" w:hAnsi="Times New Roman" w:eastAsia="仿宋_GB2312"/>
          <w:b/>
          <w:bCs/>
          <w:sz w:val="32"/>
          <w:szCs w:val="32"/>
        </w:rPr>
        <w:t>5.1危险预防</w:t>
      </w:r>
      <w:bookmarkEnd w:id="173"/>
      <w:bookmarkEnd w:id="174"/>
    </w:p>
    <w:p>
      <w:pPr>
        <w:snapToGrid w:val="0"/>
        <w:spacing w:line="360" w:lineRule="auto"/>
        <w:ind w:firstLine="561" w:firstLineChars="0"/>
        <w:outlineLvl w:val="2"/>
        <w:rPr>
          <w:rFonts w:ascii="Times New Roman" w:hAnsi="Times New Roman"/>
          <w:b/>
          <w:bCs/>
          <w:szCs w:val="28"/>
        </w:rPr>
      </w:pPr>
      <w:bookmarkStart w:id="175" w:name="_Toc243217999"/>
      <w:bookmarkEnd w:id="175"/>
      <w:bookmarkStart w:id="176" w:name="_Toc327952156"/>
      <w:bookmarkEnd w:id="176"/>
      <w:bookmarkStart w:id="177" w:name="_Toc225668630"/>
      <w:bookmarkEnd w:id="177"/>
      <w:bookmarkStart w:id="178" w:name="_Toc241053029"/>
      <w:bookmarkEnd w:id="178"/>
      <w:bookmarkStart w:id="179" w:name="_Toc242849939"/>
      <w:bookmarkEnd w:id="179"/>
      <w:bookmarkStart w:id="180" w:name="_Toc9746"/>
      <w:bookmarkEnd w:id="180"/>
      <w:bookmarkStart w:id="181" w:name="_Toc507012462"/>
      <w:r>
        <w:rPr>
          <w:rFonts w:ascii="Times New Roman" w:hAnsi="Times New Roman"/>
          <w:b/>
          <w:szCs w:val="28"/>
        </w:rPr>
        <w:t>5.1.1环境危险源监</w:t>
      </w:r>
      <w:bookmarkEnd w:id="181"/>
      <w:r>
        <w:rPr>
          <w:rFonts w:ascii="Times New Roman" w:hAnsi="Times New Roman"/>
          <w:b/>
          <w:bCs/>
          <w:szCs w:val="28"/>
        </w:rPr>
        <w:t>控</w:t>
      </w:r>
    </w:p>
    <w:p>
      <w:pPr>
        <w:snapToGrid w:val="0"/>
        <w:spacing w:line="360" w:lineRule="auto"/>
        <w:ind w:firstLine="561" w:firstLineChars="0"/>
        <w:rPr>
          <w:rFonts w:ascii="Times New Roman" w:hAnsi="Times New Roman" w:eastAsia="宋体"/>
          <w:sz w:val="21"/>
          <w:szCs w:val="21"/>
        </w:rPr>
      </w:pPr>
      <w:r>
        <w:rPr>
          <w:rFonts w:ascii="Times New Roman" w:hAnsi="Times New Roman"/>
          <w:b/>
          <w:szCs w:val="28"/>
        </w:rPr>
        <w:t>各个危险源的监控措施有：</w:t>
      </w:r>
    </w:p>
    <w:p>
      <w:pPr>
        <w:snapToGrid w:val="0"/>
        <w:ind w:right="-372" w:rightChars="-133" w:firstLine="560"/>
        <w:jc w:val="left"/>
        <w:rPr>
          <w:rFonts w:ascii="Times New Roman" w:hAnsi="Times New Roman"/>
          <w:szCs w:val="28"/>
        </w:rPr>
      </w:pPr>
      <w:r>
        <w:rPr>
          <w:rFonts w:ascii="Times New Roman" w:hAnsi="Times New Roman"/>
          <w:szCs w:val="28"/>
        </w:rPr>
        <w:t>1.危废储存和转运设置专人监控，正常情况下，两小时巡检1次，巡检内容主要为设备设施、储存容器等的完好情况。</w:t>
      </w:r>
    </w:p>
    <w:p>
      <w:pPr>
        <w:snapToGrid w:val="0"/>
        <w:ind w:right="-372" w:rightChars="-133" w:firstLine="560"/>
        <w:jc w:val="left"/>
        <w:rPr>
          <w:rFonts w:ascii="Times New Roman" w:hAnsi="Times New Roman"/>
          <w:szCs w:val="28"/>
        </w:rPr>
      </w:pPr>
      <w:r>
        <w:rPr>
          <w:rFonts w:ascii="Times New Roman" w:hAnsi="Times New Roman"/>
          <w:szCs w:val="28"/>
        </w:rPr>
        <w:t>2．危险废物从产生到处理处置，建立严格的联单制度，设置专人负责。</w:t>
      </w:r>
    </w:p>
    <w:p>
      <w:pPr>
        <w:snapToGrid w:val="0"/>
        <w:spacing w:line="240" w:lineRule="auto"/>
        <w:ind w:firstLine="843" w:firstLineChars="300"/>
        <w:jc w:val="left"/>
        <w:outlineLvl w:val="2"/>
        <w:rPr>
          <w:rFonts w:ascii="Times New Roman" w:hAnsi="Times New Roman"/>
          <w:b/>
          <w:szCs w:val="28"/>
        </w:rPr>
      </w:pPr>
      <w:bookmarkStart w:id="182" w:name="_Toc242849941"/>
      <w:bookmarkEnd w:id="182"/>
      <w:bookmarkStart w:id="183" w:name="_Toc225668632"/>
      <w:bookmarkEnd w:id="183"/>
      <w:bookmarkStart w:id="184" w:name="_Toc241053030"/>
      <w:bookmarkEnd w:id="184"/>
      <w:bookmarkStart w:id="185" w:name="_Toc243218001"/>
      <w:bookmarkEnd w:id="185"/>
      <w:bookmarkStart w:id="186" w:name="_Toc7312"/>
      <w:bookmarkEnd w:id="186"/>
      <w:bookmarkStart w:id="187" w:name="_Toc327952157"/>
      <w:bookmarkEnd w:id="187"/>
      <w:bookmarkStart w:id="188" w:name="_Toc241053031"/>
      <w:bookmarkEnd w:id="188"/>
      <w:bookmarkStart w:id="189" w:name="_Toc2101"/>
      <w:bookmarkEnd w:id="189"/>
      <w:bookmarkStart w:id="190" w:name="_Toc507012463"/>
      <w:bookmarkEnd w:id="190"/>
      <w:bookmarkStart w:id="191" w:name="_Toc507012534"/>
      <w:bookmarkEnd w:id="191"/>
      <w:bookmarkStart w:id="192" w:name="_Toc243218000"/>
      <w:bookmarkEnd w:id="192"/>
      <w:bookmarkStart w:id="193" w:name="_Toc242849940"/>
      <w:bookmarkEnd w:id="193"/>
      <w:bookmarkStart w:id="194" w:name="_Toc507012464"/>
      <w:bookmarkEnd w:id="194"/>
      <w:bookmarkStart w:id="195" w:name="_Toc507012687"/>
      <w:bookmarkEnd w:id="195"/>
      <w:bookmarkStart w:id="196" w:name="_Toc327952158"/>
      <w:r>
        <w:rPr>
          <w:rFonts w:ascii="Times New Roman" w:hAnsi="Times New Roman"/>
          <w:b/>
          <w:szCs w:val="28"/>
        </w:rPr>
        <w:t>5.1.2预防措施</w:t>
      </w:r>
      <w:bookmarkEnd w:id="196"/>
    </w:p>
    <w:p>
      <w:pPr>
        <w:snapToGrid w:val="0"/>
        <w:ind w:right="-372" w:rightChars="-133" w:firstLine="560"/>
        <w:jc w:val="left"/>
        <w:rPr>
          <w:rFonts w:ascii="Times New Roman" w:hAnsi="Times New Roman"/>
          <w:szCs w:val="28"/>
        </w:rPr>
      </w:pPr>
      <w:r>
        <w:rPr>
          <w:rFonts w:ascii="Times New Roman" w:hAnsi="Times New Roman"/>
          <w:szCs w:val="28"/>
        </w:rPr>
        <w:t>（1）设置专人负责危险废物的收集、转移及处置，建立严格的危险废物联单制度，定期检查联单制度的运行情况。</w:t>
      </w:r>
    </w:p>
    <w:p>
      <w:pPr>
        <w:snapToGrid w:val="0"/>
        <w:ind w:right="-372" w:rightChars="-133" w:firstLine="560"/>
        <w:jc w:val="left"/>
        <w:rPr>
          <w:rFonts w:ascii="Times New Roman" w:hAnsi="Times New Roman"/>
          <w:szCs w:val="28"/>
        </w:rPr>
      </w:pPr>
      <w:r>
        <w:rPr>
          <w:rFonts w:ascii="Times New Roman" w:hAnsi="Times New Roman"/>
          <w:szCs w:val="28"/>
        </w:rPr>
        <w:t>（2）危险废物储存区域地面进行防渗。</w:t>
      </w:r>
    </w:p>
    <w:p>
      <w:pPr>
        <w:keepNext/>
        <w:keepLines/>
        <w:snapToGrid w:val="0"/>
        <w:ind w:firstLine="0" w:firstLineChars="0"/>
        <w:jc w:val="left"/>
        <w:outlineLvl w:val="1"/>
        <w:rPr>
          <w:rFonts w:ascii="Times New Roman" w:hAnsi="Times New Roman" w:eastAsia="仿宋_GB2312"/>
          <w:b/>
          <w:bCs/>
          <w:sz w:val="32"/>
          <w:szCs w:val="32"/>
        </w:rPr>
      </w:pPr>
      <w:bookmarkStart w:id="197" w:name="_Toc28021921"/>
      <w:bookmarkEnd w:id="197"/>
      <w:bookmarkStart w:id="198" w:name="_Toc29887750"/>
      <w:bookmarkEnd w:id="198"/>
      <w:bookmarkStart w:id="199" w:name="_Toc29312305"/>
      <w:bookmarkEnd w:id="199"/>
      <w:bookmarkStart w:id="200" w:name="_Toc40971416"/>
      <w:bookmarkEnd w:id="200"/>
      <w:bookmarkStart w:id="201" w:name="_Toc28020444"/>
      <w:bookmarkStart w:id="202" w:name="_Toc93062919"/>
      <w:r>
        <w:rPr>
          <w:rFonts w:ascii="Times New Roman" w:hAnsi="Times New Roman" w:eastAsia="仿宋_GB2312"/>
          <w:b/>
          <w:bCs/>
          <w:sz w:val="32"/>
          <w:szCs w:val="32"/>
        </w:rPr>
        <w:t>5.2 危险预警</w:t>
      </w:r>
      <w:bookmarkEnd w:id="201"/>
      <w:bookmarkEnd w:id="202"/>
      <w:bookmarkStart w:id="359" w:name="_GoBack"/>
      <w:bookmarkEnd w:id="359"/>
    </w:p>
    <w:p>
      <w:pPr>
        <w:ind w:firstLine="562"/>
        <w:rPr>
          <w:rFonts w:ascii="Times New Roman" w:hAnsi="Times New Roman"/>
          <w:b/>
          <w:bCs/>
          <w:szCs w:val="28"/>
        </w:rPr>
      </w:pPr>
      <w:r>
        <w:rPr>
          <w:rFonts w:ascii="Times New Roman" w:hAnsi="Times New Roman"/>
          <w:b/>
          <w:bCs/>
          <w:szCs w:val="28"/>
        </w:rPr>
        <w:t>预警发布</w:t>
      </w:r>
    </w:p>
    <w:p>
      <w:pPr>
        <w:ind w:firstLine="560"/>
        <w:rPr>
          <w:rFonts w:ascii="Times New Roman" w:hAnsi="Times New Roman"/>
          <w:bCs/>
          <w:szCs w:val="28"/>
        </w:rPr>
      </w:pPr>
      <w:r>
        <w:rPr>
          <w:rFonts w:ascii="Times New Roman" w:hAnsi="Times New Roman"/>
          <w:bCs/>
          <w:szCs w:val="28"/>
        </w:rPr>
        <w:t>根据预警级别，蓝色预警由车间级负责人发布，黄色预警由副总指挥长发布，橙色预警由应急指挥部指挥长发布。</w:t>
      </w:r>
    </w:p>
    <w:p>
      <w:pPr>
        <w:ind w:firstLine="562"/>
        <w:rPr>
          <w:rFonts w:ascii="Times New Roman" w:hAnsi="Times New Roman"/>
          <w:b/>
          <w:bCs/>
          <w:szCs w:val="28"/>
        </w:rPr>
      </w:pPr>
      <w:r>
        <w:rPr>
          <w:rFonts w:ascii="Times New Roman" w:hAnsi="Times New Roman"/>
          <w:b/>
          <w:bCs/>
          <w:szCs w:val="28"/>
        </w:rPr>
        <w:t>预警解除</w:t>
      </w:r>
    </w:p>
    <w:p>
      <w:pPr>
        <w:ind w:firstLine="560"/>
        <w:rPr>
          <w:rFonts w:ascii="Times New Roman" w:hAnsi="Times New Roman"/>
          <w:bCs/>
          <w:szCs w:val="28"/>
        </w:rPr>
      </w:pPr>
      <w:r>
        <w:rPr>
          <w:rFonts w:ascii="Times New Roman" w:hAnsi="Times New Roman"/>
          <w:bCs/>
          <w:szCs w:val="28"/>
        </w:rPr>
        <w:t>当各预警信息得到有效处置、各突发环境事件应急措施实施完毕后，由各相应预警发布人解除相关预警信息，并同时上报给企业应急指挥部进行备案。</w:t>
      </w:r>
    </w:p>
    <w:p>
      <w:pPr>
        <w:pStyle w:val="3"/>
      </w:pPr>
      <w:r>
        <w:t>5.1.5预警程序及措施</w:t>
      </w:r>
    </w:p>
    <w:p>
      <w:pPr>
        <w:ind w:firstLine="560"/>
        <w:rPr>
          <w:rFonts w:ascii="Times New Roman" w:hAnsi="Times New Roman"/>
          <w:bCs/>
          <w:szCs w:val="28"/>
        </w:rPr>
      </w:pPr>
      <w:r>
        <w:rPr>
          <w:rFonts w:ascii="Times New Roman" w:hAnsi="Times New Roman"/>
          <w:bCs/>
          <w:szCs w:val="28"/>
        </w:rPr>
        <w:t>进入预警状态后，责任人根据可能发生或者已经发生的突发环境事件的危害程度，及时上报给企业应急指挥部。具体预警程序信息如下：</w:t>
      </w:r>
    </w:p>
    <w:p>
      <w:pPr>
        <w:snapToGrid w:val="0"/>
        <w:spacing w:before="62" w:beforeLines="20" w:line="240" w:lineRule="auto"/>
        <w:ind w:firstLine="0" w:firstLineChars="0"/>
        <w:jc w:val="center"/>
        <w:rPr>
          <w:rFonts w:ascii="Times New Roman" w:hAnsi="Times New Roman"/>
          <w:b/>
          <w:bCs/>
          <w:szCs w:val="28"/>
        </w:rPr>
      </w:pPr>
      <w:r>
        <w:rPr>
          <w:rFonts w:ascii="Times New Roman" w:hAnsi="Times New Roman"/>
          <w:b/>
          <w:bCs/>
          <w:szCs w:val="28"/>
        </w:rPr>
        <w:t>表5-1   企业预警程序一览表</w:t>
      </w:r>
    </w:p>
    <w:tbl>
      <w:tblPr>
        <w:tblStyle w:val="6"/>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215"/>
        <w:gridCol w:w="1332"/>
        <w:gridCol w:w="3968"/>
        <w:gridCol w:w="894"/>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215"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预警等级</w:t>
            </w:r>
          </w:p>
        </w:tc>
        <w:tc>
          <w:tcPr>
            <w:tcW w:w="1332"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发布人</w:t>
            </w:r>
          </w:p>
        </w:tc>
        <w:tc>
          <w:tcPr>
            <w:tcW w:w="3968"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发布程序</w:t>
            </w:r>
          </w:p>
        </w:tc>
        <w:tc>
          <w:tcPr>
            <w:tcW w:w="894"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上报方式</w:t>
            </w:r>
          </w:p>
        </w:tc>
        <w:tc>
          <w:tcPr>
            <w:tcW w:w="1380"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时限要求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215"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蓝色</w:t>
            </w:r>
          </w:p>
        </w:tc>
        <w:tc>
          <w:tcPr>
            <w:tcW w:w="1332"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车间负责人</w:t>
            </w:r>
          </w:p>
        </w:tc>
        <w:tc>
          <w:tcPr>
            <w:tcW w:w="3968"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事故发现人上报车间负责人，车间负责人组织人员处置</w:t>
            </w:r>
          </w:p>
        </w:tc>
        <w:tc>
          <w:tcPr>
            <w:tcW w:w="894"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电话传递</w:t>
            </w:r>
          </w:p>
        </w:tc>
        <w:tc>
          <w:tcPr>
            <w:tcW w:w="1380" w:type="dxa"/>
            <w:vMerge w:val="restart"/>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各级上报时间不得超过10分钟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215"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黄色</w:t>
            </w:r>
          </w:p>
        </w:tc>
        <w:tc>
          <w:tcPr>
            <w:tcW w:w="1332"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应急指挥部副总指挥长</w:t>
            </w:r>
          </w:p>
        </w:tc>
        <w:tc>
          <w:tcPr>
            <w:tcW w:w="3968"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事故发现人上报车间负责人，车间负责人上报企业副总指挥长，企业副总指挥长组织人员处置</w:t>
            </w:r>
          </w:p>
        </w:tc>
        <w:tc>
          <w:tcPr>
            <w:tcW w:w="894" w:type="dxa"/>
            <w:vAlign w:val="center"/>
          </w:tcPr>
          <w:p>
            <w:pPr>
              <w:pStyle w:val="13"/>
              <w:snapToGrid w:val="0"/>
              <w:spacing w:before="31" w:beforeLines="10" w:after="31" w:afterLines="10" w:line="240" w:lineRule="auto"/>
              <w:rPr>
                <w:rFonts w:ascii="Times New Roman" w:hAnsi="Times New Roman"/>
              </w:rPr>
            </w:pPr>
            <w:r>
              <w:rPr>
                <w:rFonts w:ascii="Times New Roman" w:hAnsi="Times New Roman"/>
              </w:rPr>
              <w:t>电话传递</w:t>
            </w:r>
          </w:p>
        </w:tc>
        <w:tc>
          <w:tcPr>
            <w:tcW w:w="1380" w:type="dxa"/>
            <w:vMerge w:val="continue"/>
            <w:vAlign w:val="center"/>
          </w:tcPr>
          <w:p>
            <w:pPr>
              <w:pStyle w:val="13"/>
              <w:snapToGrid w:val="0"/>
              <w:spacing w:before="31" w:beforeLines="10" w:after="31" w:afterLines="10" w:line="240" w:lineRule="auto"/>
              <w:rPr>
                <w:rFonts w:ascii="Times New Roman" w:hAnsi="Times New Roman"/>
              </w:rPr>
            </w:pPr>
          </w:p>
        </w:tc>
      </w:tr>
    </w:tbl>
    <w:p>
      <w:pPr>
        <w:ind w:firstLine="560"/>
        <w:rPr>
          <w:rFonts w:ascii="Times New Roman" w:hAnsi="Times New Roman"/>
          <w:bCs/>
          <w:szCs w:val="28"/>
        </w:rPr>
      </w:pPr>
      <w:r>
        <w:rPr>
          <w:rFonts w:ascii="Times New Roman" w:hAnsi="Times New Roman"/>
          <w:bCs/>
          <w:szCs w:val="28"/>
        </w:rPr>
        <w:t>各级单位在上报的过程中要详细说明事件的类别、可能涉及的范围、可能危害的程度、可能延续时间等。</w:t>
      </w:r>
    </w:p>
    <w:p>
      <w:pPr>
        <w:ind w:firstLine="562"/>
        <w:rPr>
          <w:rFonts w:ascii="Times New Roman" w:hAnsi="Times New Roman"/>
          <w:b/>
          <w:bCs/>
          <w:szCs w:val="28"/>
        </w:rPr>
      </w:pPr>
      <w:r>
        <w:rPr>
          <w:rFonts w:ascii="Times New Roman" w:hAnsi="Times New Roman"/>
          <w:b/>
          <w:bCs/>
          <w:szCs w:val="28"/>
        </w:rPr>
        <w:t>（3）预警措施</w:t>
      </w:r>
    </w:p>
    <w:p>
      <w:pPr>
        <w:ind w:firstLine="560"/>
        <w:rPr>
          <w:rFonts w:ascii="Times New Roman" w:hAnsi="Times New Roman"/>
          <w:bCs/>
          <w:szCs w:val="28"/>
        </w:rPr>
      </w:pPr>
      <w:r>
        <w:rPr>
          <w:rFonts w:ascii="Times New Roman" w:hAnsi="Times New Roman"/>
          <w:bCs/>
          <w:szCs w:val="28"/>
        </w:rPr>
        <w:t>企业各部门接到相关预警信息时，应当迅速采取以下措施：</w:t>
      </w:r>
    </w:p>
    <w:p>
      <w:pPr>
        <w:ind w:firstLine="560"/>
        <w:rPr>
          <w:rFonts w:ascii="Times New Roman" w:hAnsi="Times New Roman"/>
          <w:bCs/>
          <w:szCs w:val="28"/>
        </w:rPr>
      </w:pPr>
      <w:r>
        <w:rPr>
          <w:rFonts w:hint="eastAsia" w:ascii="宋体" w:hAnsi="宋体" w:eastAsia="宋体" w:cs="宋体"/>
          <w:bCs/>
          <w:szCs w:val="28"/>
        </w:rPr>
        <w:t>①</w:t>
      </w:r>
      <w:r>
        <w:rPr>
          <w:rFonts w:ascii="Times New Roman" w:hAnsi="Times New Roman"/>
          <w:bCs/>
          <w:szCs w:val="28"/>
        </w:rPr>
        <w:t>立即启动相关应急预案；</w:t>
      </w:r>
    </w:p>
    <w:p>
      <w:pPr>
        <w:ind w:firstLine="560"/>
        <w:rPr>
          <w:rFonts w:ascii="Times New Roman" w:hAnsi="Times New Roman"/>
          <w:bCs/>
          <w:szCs w:val="28"/>
        </w:rPr>
      </w:pPr>
      <w:r>
        <w:rPr>
          <w:rFonts w:hint="eastAsia" w:ascii="宋体" w:hAnsi="宋体" w:eastAsia="宋体" w:cs="宋体"/>
          <w:bCs/>
          <w:szCs w:val="28"/>
        </w:rPr>
        <w:t>②</w:t>
      </w:r>
      <w:r>
        <w:rPr>
          <w:rFonts w:ascii="Times New Roman" w:hAnsi="Times New Roman"/>
          <w:bCs/>
          <w:szCs w:val="28"/>
        </w:rPr>
        <w:t>发布预警公告：事故发生的可能性增大后首先按照指挥部的命令通过电话、警报器或广播通知全厂人员，根据危险等级由对应的部门发布相应的预警通知：</w:t>
      </w:r>
    </w:p>
    <w:p>
      <w:pPr>
        <w:ind w:firstLine="560"/>
        <w:rPr>
          <w:rFonts w:ascii="Times New Roman" w:hAnsi="Times New Roman"/>
          <w:bCs/>
          <w:szCs w:val="28"/>
        </w:rPr>
      </w:pPr>
      <w:r>
        <w:rPr>
          <w:rFonts w:ascii="Times New Roman" w:hAnsi="Times New Roman"/>
          <w:bCs/>
          <w:szCs w:val="28"/>
        </w:rPr>
        <w:t>蓝色预警：车间负责人立即组织相关维修人员，对故障设施设备进行维修；</w:t>
      </w:r>
    </w:p>
    <w:p>
      <w:pPr>
        <w:ind w:firstLine="560"/>
        <w:rPr>
          <w:rFonts w:ascii="Times New Roman" w:hAnsi="Times New Roman"/>
          <w:bCs/>
          <w:szCs w:val="28"/>
        </w:rPr>
      </w:pPr>
      <w:r>
        <w:rPr>
          <w:rFonts w:ascii="Times New Roman" w:hAnsi="Times New Roman"/>
          <w:bCs/>
          <w:szCs w:val="28"/>
        </w:rPr>
        <w:t>黄色预警：应急指挥部副总指挥长立即组织各应急小组待命，各应急物资及设施准备到位，便于后期采取相关应急工作；</w:t>
      </w:r>
    </w:p>
    <w:p>
      <w:pPr>
        <w:ind w:firstLine="560"/>
        <w:rPr>
          <w:rFonts w:ascii="Times New Roman" w:hAnsi="Times New Roman"/>
          <w:bCs/>
          <w:szCs w:val="28"/>
        </w:rPr>
      </w:pPr>
      <w:r>
        <w:rPr>
          <w:rFonts w:hint="eastAsia" w:ascii="宋体" w:hAnsi="宋体" w:eastAsia="宋体" w:cs="宋体"/>
          <w:bCs/>
          <w:szCs w:val="28"/>
        </w:rPr>
        <w:t>③</w:t>
      </w:r>
      <w:r>
        <w:rPr>
          <w:rFonts w:ascii="Times New Roman" w:hAnsi="Times New Roman"/>
          <w:bCs/>
          <w:szCs w:val="28"/>
        </w:rPr>
        <w:t>抢险组及应急救援队伍应立即进入应急状态，现场负责人及监测人员根据事故变化动态和发展情况、监测结果，及时向指挥部领导报告现场情况；</w:t>
      </w:r>
    </w:p>
    <w:p>
      <w:pPr>
        <w:ind w:firstLine="560"/>
        <w:rPr>
          <w:rFonts w:ascii="Times New Roman" w:hAnsi="Times New Roman"/>
          <w:bCs/>
          <w:szCs w:val="28"/>
        </w:rPr>
      </w:pPr>
      <w:r>
        <w:rPr>
          <w:rFonts w:hint="eastAsia" w:ascii="宋体" w:hAnsi="宋体" w:eastAsia="宋体" w:cs="宋体"/>
          <w:bCs/>
          <w:szCs w:val="28"/>
        </w:rPr>
        <w:t>④</w:t>
      </w:r>
      <w:r>
        <w:rPr>
          <w:rFonts w:ascii="Times New Roman" w:hAnsi="Times New Roman"/>
          <w:bCs/>
          <w:szCs w:val="28"/>
        </w:rPr>
        <w:t>在事故发生一定范围内根据需要迅速设立危险警示牌（或设置隔离带），禁止无关人员进入，以免造成不必要的危害；</w:t>
      </w:r>
    </w:p>
    <w:p>
      <w:pPr>
        <w:ind w:firstLine="560"/>
        <w:rPr>
          <w:rFonts w:ascii="Times New Roman" w:hAnsi="Times New Roman"/>
          <w:bCs/>
          <w:szCs w:val="28"/>
        </w:rPr>
      </w:pPr>
      <w:r>
        <w:rPr>
          <w:rFonts w:hint="eastAsia" w:ascii="宋体" w:hAnsi="宋体" w:eastAsia="宋体" w:cs="宋体"/>
          <w:bCs/>
          <w:szCs w:val="28"/>
        </w:rPr>
        <w:t>⑤</w:t>
      </w:r>
      <w:r>
        <w:rPr>
          <w:rFonts w:ascii="Times New Roman" w:hAnsi="Times New Roman"/>
          <w:bCs/>
          <w:szCs w:val="28"/>
        </w:rPr>
        <w:t>及时调集突发环境事件应急所需物资和设备，确保应急物资运输保障工作。</w:t>
      </w:r>
    </w:p>
    <w:p>
      <w:pPr>
        <w:spacing w:line="240" w:lineRule="auto"/>
        <w:ind w:firstLine="560"/>
        <w:rPr>
          <w:rFonts w:ascii="Times New Roman" w:hAnsi="Times New Roman"/>
          <w:bCs/>
          <w:szCs w:val="28"/>
        </w:rPr>
      </w:pPr>
    </w:p>
    <w:p>
      <w:pPr>
        <w:snapToGrid w:val="0"/>
        <w:ind w:right="-372" w:rightChars="-133" w:firstLine="560"/>
        <w:jc w:val="left"/>
        <w:rPr>
          <w:rFonts w:ascii="Times New Roman" w:hAnsi="Times New Roman"/>
          <w:szCs w:val="28"/>
        </w:rPr>
      </w:pPr>
      <w:r>
        <w:rPr>
          <w:rFonts w:ascii="Times New Roman" w:hAnsi="Times New Roman"/>
          <w:szCs w:val="28"/>
        </w:rPr>
        <w:br w:type="page"/>
      </w:r>
    </w:p>
    <w:p>
      <w:pPr>
        <w:keepNext/>
        <w:keepLines/>
        <w:spacing w:before="156" w:beforeLines="50" w:after="156" w:afterLines="50"/>
        <w:ind w:firstLine="567" w:firstLineChars="0"/>
        <w:jc w:val="center"/>
        <w:outlineLvl w:val="0"/>
        <w:rPr>
          <w:rFonts w:ascii="Times New Roman" w:hAnsi="Times New Roman" w:eastAsia="仿宋_GB2312"/>
          <w:b/>
          <w:sz w:val="44"/>
          <w:szCs w:val="24"/>
        </w:rPr>
      </w:pPr>
      <w:bookmarkStart w:id="203" w:name="_Toc29312306"/>
      <w:bookmarkEnd w:id="203"/>
      <w:bookmarkStart w:id="204" w:name="_Toc28020445"/>
      <w:bookmarkEnd w:id="204"/>
      <w:bookmarkStart w:id="205" w:name="_Toc28021922"/>
      <w:bookmarkEnd w:id="205"/>
      <w:bookmarkStart w:id="206" w:name="_Toc327952162"/>
      <w:bookmarkEnd w:id="206"/>
      <w:bookmarkStart w:id="207" w:name="_Toc507012537"/>
      <w:bookmarkEnd w:id="207"/>
      <w:bookmarkStart w:id="208" w:name="_Toc507012469"/>
      <w:bookmarkEnd w:id="208"/>
      <w:bookmarkStart w:id="209" w:name="_Toc40971417"/>
      <w:bookmarkEnd w:id="209"/>
      <w:bookmarkStart w:id="210" w:name="_Toc29887751"/>
      <w:bookmarkEnd w:id="210"/>
      <w:bookmarkStart w:id="211" w:name="_Toc507012690"/>
      <w:bookmarkStart w:id="212" w:name="_Toc93062920"/>
      <w:r>
        <w:rPr>
          <w:rFonts w:ascii="Times New Roman" w:hAnsi="Times New Roman" w:eastAsia="仿宋_GB2312"/>
          <w:b/>
          <w:sz w:val="44"/>
          <w:szCs w:val="24"/>
        </w:rPr>
        <w:t>6</w:t>
      </w:r>
      <w:bookmarkEnd w:id="211"/>
      <w:r>
        <w:rPr>
          <w:rFonts w:ascii="Times New Roman" w:hAnsi="Times New Roman" w:eastAsia="仿宋_GB2312"/>
          <w:b/>
          <w:sz w:val="44"/>
          <w:szCs w:val="24"/>
        </w:rPr>
        <w:t>、应急响应</w:t>
      </w:r>
      <w:bookmarkEnd w:id="212"/>
      <w:bookmarkStart w:id="213" w:name="_Toc225668641"/>
      <w:bookmarkEnd w:id="213"/>
      <w:bookmarkStart w:id="214" w:name="_Toc242849950"/>
      <w:bookmarkEnd w:id="214"/>
      <w:bookmarkStart w:id="215" w:name="_Toc327952163"/>
      <w:bookmarkEnd w:id="215"/>
      <w:bookmarkStart w:id="216" w:name="_Toc241053040"/>
      <w:bookmarkEnd w:id="216"/>
      <w:bookmarkStart w:id="217" w:name="_Toc243218010"/>
      <w:bookmarkEnd w:id="217"/>
      <w:bookmarkStart w:id="218" w:name="_Toc7502"/>
      <w:bookmarkEnd w:id="218"/>
    </w:p>
    <w:p>
      <w:pPr>
        <w:keepNext/>
        <w:keepLines/>
        <w:snapToGrid w:val="0"/>
        <w:ind w:firstLine="0" w:firstLineChars="0"/>
        <w:jc w:val="left"/>
        <w:outlineLvl w:val="1"/>
        <w:rPr>
          <w:rFonts w:ascii="Times New Roman" w:hAnsi="Times New Roman" w:eastAsia="仿宋_GB2312"/>
          <w:b/>
          <w:bCs/>
          <w:sz w:val="32"/>
          <w:szCs w:val="32"/>
        </w:rPr>
      </w:pPr>
      <w:bookmarkStart w:id="219" w:name="_Toc507012538"/>
      <w:bookmarkEnd w:id="219"/>
      <w:bookmarkStart w:id="220" w:name="_Toc29312307"/>
      <w:bookmarkEnd w:id="220"/>
      <w:bookmarkStart w:id="221" w:name="_Toc29887752"/>
      <w:bookmarkEnd w:id="221"/>
      <w:bookmarkStart w:id="222" w:name="_Toc28021923"/>
      <w:bookmarkEnd w:id="222"/>
      <w:bookmarkStart w:id="223" w:name="_Toc507012470"/>
      <w:bookmarkEnd w:id="223"/>
      <w:bookmarkStart w:id="224" w:name="_Toc507012691"/>
      <w:bookmarkEnd w:id="224"/>
      <w:bookmarkStart w:id="225" w:name="_Toc28020446"/>
      <w:bookmarkEnd w:id="225"/>
      <w:bookmarkStart w:id="226" w:name="_Toc40971418"/>
      <w:bookmarkStart w:id="227" w:name="_Toc93062921"/>
      <w:r>
        <w:rPr>
          <w:rFonts w:ascii="Times New Roman" w:hAnsi="Times New Roman" w:eastAsia="仿宋_GB2312"/>
          <w:b/>
          <w:bCs/>
          <w:sz w:val="32"/>
          <w:szCs w:val="32"/>
        </w:rPr>
        <w:t>6.1响应分级</w:t>
      </w:r>
      <w:bookmarkEnd w:id="226"/>
      <w:bookmarkEnd w:id="227"/>
    </w:p>
    <w:p>
      <w:pPr>
        <w:snapToGrid w:val="0"/>
        <w:ind w:right="-372" w:rightChars="-133" w:firstLine="560"/>
        <w:jc w:val="left"/>
        <w:rPr>
          <w:rFonts w:ascii="Times New Roman" w:hAnsi="Times New Roman"/>
          <w:szCs w:val="28"/>
        </w:rPr>
      </w:pPr>
      <w:r>
        <w:rPr>
          <w:rFonts w:ascii="Times New Roman" w:hAnsi="Times New Roman"/>
          <w:szCs w:val="28"/>
        </w:rPr>
        <w:t>按企业突发环境事件的可控性、严重程度和影响范围，参考企业危险事件分级情况将该企业突发环境事件的应急响应分三级，分别为区域级响应、公司级响应和车间级响应，针对危废环境应急特点，企业可能发生的环境污染事故进行分级如下：</w:t>
      </w:r>
    </w:p>
    <w:p>
      <w:pPr>
        <w:snapToGrid w:val="0"/>
        <w:ind w:right="-372" w:rightChars="-133" w:firstLine="560"/>
        <w:jc w:val="left"/>
        <w:rPr>
          <w:rFonts w:ascii="Times New Roman" w:hAnsi="Times New Roman"/>
          <w:szCs w:val="28"/>
        </w:rPr>
      </w:pPr>
      <w:r>
        <w:rPr>
          <w:rFonts w:ascii="Times New Roman" w:hAnsi="Times New Roman"/>
          <w:szCs w:val="28"/>
        </w:rPr>
        <w:t>区域级响应：主要是厂区的危险物质发生火灾等，造成厂区外环境污染，污染事件发生后生产车间应及时向厂区领导报告，由应急指挥部应急总指挥启动相应的应急方案；</w:t>
      </w:r>
    </w:p>
    <w:p>
      <w:pPr>
        <w:snapToGrid w:val="0"/>
        <w:ind w:right="-372" w:rightChars="-133" w:firstLine="560"/>
        <w:jc w:val="left"/>
        <w:rPr>
          <w:rFonts w:ascii="Times New Roman" w:hAnsi="Times New Roman"/>
          <w:szCs w:val="28"/>
        </w:rPr>
      </w:pPr>
      <w:r>
        <w:rPr>
          <w:rFonts w:ascii="Times New Roman" w:hAnsi="Times New Roman"/>
          <w:szCs w:val="28"/>
        </w:rPr>
        <w:t>公司级响应：车间不能有效控制，需要企业内部人员撤离的较大环境事件时启动，该厂负责人应在2分钟之内上报企业领导，由厂区负责人启动相应的应急方案；</w:t>
      </w:r>
    </w:p>
    <w:p>
      <w:pPr>
        <w:snapToGrid w:val="0"/>
        <w:ind w:right="-372" w:rightChars="-133" w:firstLine="560"/>
        <w:jc w:val="left"/>
        <w:rPr>
          <w:rFonts w:ascii="Times New Roman" w:hAnsi="Times New Roman"/>
          <w:szCs w:val="28"/>
        </w:rPr>
      </w:pPr>
      <w:r>
        <w:rPr>
          <w:rFonts w:ascii="Times New Roman" w:hAnsi="Times New Roman"/>
          <w:szCs w:val="28"/>
        </w:rPr>
        <w:t>车间级响应：当发危险废物少量泄漏的一般性环境危险事件时启动，由事件发现人在2分钟内上报到车间负责人，车间负责人启动相应的应急方案；</w:t>
      </w:r>
    </w:p>
    <w:p>
      <w:pPr>
        <w:snapToGrid w:val="0"/>
        <w:ind w:right="-372" w:rightChars="-133" w:firstLine="560"/>
        <w:jc w:val="left"/>
        <w:rPr>
          <w:rFonts w:ascii="Times New Roman" w:hAnsi="Times New Roman"/>
          <w:szCs w:val="28"/>
        </w:rPr>
      </w:pPr>
      <w:r>
        <w:rPr>
          <w:rFonts w:ascii="Times New Roman" w:hAnsi="Times New Roman"/>
          <w:szCs w:val="28"/>
        </w:rPr>
        <w:t>根据事态发展，一旦事件超出本级应急处置能力时，应及时请求上一级应急救援指挥机构启动上一级应急预案。</w:t>
      </w:r>
    </w:p>
    <w:p>
      <w:pPr>
        <w:keepNext/>
        <w:keepLines/>
        <w:snapToGrid w:val="0"/>
        <w:ind w:firstLine="0" w:firstLineChars="0"/>
        <w:jc w:val="left"/>
        <w:outlineLvl w:val="1"/>
        <w:rPr>
          <w:rFonts w:ascii="Times New Roman" w:hAnsi="Times New Roman" w:eastAsia="仿宋_GB2312"/>
          <w:b/>
          <w:bCs/>
          <w:sz w:val="32"/>
          <w:szCs w:val="32"/>
        </w:rPr>
      </w:pPr>
      <w:bookmarkStart w:id="228" w:name="_Toc241053041"/>
      <w:bookmarkEnd w:id="228"/>
      <w:bookmarkStart w:id="229" w:name="_Toc28021924"/>
      <w:bookmarkEnd w:id="229"/>
      <w:bookmarkStart w:id="230" w:name="_Toc28730"/>
      <w:bookmarkEnd w:id="230"/>
      <w:bookmarkStart w:id="231" w:name="_Toc507012471"/>
      <w:bookmarkEnd w:id="231"/>
      <w:bookmarkStart w:id="232" w:name="_Toc40971419"/>
      <w:bookmarkEnd w:id="232"/>
      <w:bookmarkStart w:id="233" w:name="_Toc243218011"/>
      <w:bookmarkEnd w:id="233"/>
      <w:bookmarkStart w:id="234" w:name="_Toc28020447"/>
      <w:bookmarkEnd w:id="234"/>
      <w:bookmarkStart w:id="235" w:name="_Toc507012692"/>
      <w:bookmarkEnd w:id="235"/>
      <w:bookmarkStart w:id="236" w:name="_Toc225668642"/>
      <w:bookmarkEnd w:id="236"/>
      <w:bookmarkStart w:id="237" w:name="_Toc29887753"/>
      <w:bookmarkEnd w:id="237"/>
      <w:bookmarkStart w:id="238" w:name="_Toc327952164"/>
      <w:bookmarkEnd w:id="238"/>
      <w:bookmarkStart w:id="239" w:name="_Toc242849951"/>
      <w:bookmarkEnd w:id="239"/>
      <w:bookmarkStart w:id="240" w:name="_Toc29312308"/>
      <w:bookmarkEnd w:id="240"/>
      <w:bookmarkStart w:id="241" w:name="_Toc507012539"/>
      <w:bookmarkStart w:id="242" w:name="_Toc93062922"/>
      <w:r>
        <w:rPr>
          <w:rFonts w:ascii="Times New Roman" w:hAnsi="Times New Roman" w:eastAsia="仿宋_GB2312"/>
          <w:b/>
          <w:bCs/>
          <w:sz w:val="32"/>
          <w:szCs w:val="32"/>
        </w:rPr>
        <w:t>6.2应急程序</w:t>
      </w:r>
      <w:bookmarkEnd w:id="241"/>
      <w:bookmarkEnd w:id="242"/>
    </w:p>
    <w:p>
      <w:pPr>
        <w:spacing w:line="240" w:lineRule="auto"/>
        <w:ind w:firstLine="560"/>
        <w:rPr>
          <w:rFonts w:ascii="Times New Roman" w:hAnsi="Times New Roman"/>
          <w:bCs/>
          <w:szCs w:val="28"/>
        </w:rPr>
      </w:pPr>
      <w:bookmarkStart w:id="243" w:name="_Toc28021925"/>
      <w:bookmarkEnd w:id="243"/>
      <w:bookmarkStart w:id="244" w:name="_Toc225668643"/>
      <w:bookmarkEnd w:id="244"/>
      <w:bookmarkStart w:id="245" w:name="_Toc242849952"/>
      <w:bookmarkEnd w:id="245"/>
      <w:bookmarkStart w:id="246" w:name="_Toc241053042"/>
      <w:bookmarkEnd w:id="246"/>
      <w:bookmarkStart w:id="247" w:name="_Toc29887754"/>
      <w:bookmarkEnd w:id="247"/>
      <w:bookmarkStart w:id="248" w:name="_Toc40971420"/>
      <w:bookmarkEnd w:id="248"/>
      <w:bookmarkStart w:id="249" w:name="_Toc507012693"/>
      <w:bookmarkEnd w:id="249"/>
      <w:bookmarkStart w:id="250" w:name="_Toc327952167"/>
      <w:bookmarkEnd w:id="250"/>
      <w:bookmarkStart w:id="251" w:name="_Toc29312309"/>
      <w:bookmarkEnd w:id="251"/>
      <w:bookmarkStart w:id="252" w:name="_Toc507012540"/>
      <w:bookmarkEnd w:id="252"/>
      <w:bookmarkStart w:id="253" w:name="_Toc507012474"/>
      <w:bookmarkEnd w:id="253"/>
      <w:bookmarkStart w:id="254" w:name="_Toc243218012"/>
      <w:bookmarkEnd w:id="254"/>
      <w:bookmarkStart w:id="255" w:name="_Toc24816"/>
      <w:r>
        <w:rPr>
          <w:rFonts w:ascii="Times New Roman" w:hAnsi="Times New Roman"/>
          <w:bCs/>
          <w:szCs w:val="28"/>
        </w:rPr>
        <w:t>（1）内部响应程序</w:t>
      </w:r>
    </w:p>
    <w:p>
      <w:pPr>
        <w:spacing w:line="240" w:lineRule="auto"/>
        <w:ind w:firstLine="560"/>
        <w:rPr>
          <w:rFonts w:ascii="Times New Roman" w:hAnsi="Times New Roman"/>
          <w:bCs/>
          <w:szCs w:val="28"/>
        </w:rPr>
      </w:pPr>
      <w:r>
        <w:rPr>
          <w:rFonts w:ascii="Times New Roman" w:hAnsi="Times New Roman"/>
          <w:bCs/>
          <w:szCs w:val="28"/>
        </w:rPr>
        <w:t>车间级响应：事故发现人员→车间负责人，由车间负责人组织力量进行应急处置；</w:t>
      </w:r>
    </w:p>
    <w:p>
      <w:pPr>
        <w:spacing w:line="240" w:lineRule="auto"/>
        <w:ind w:firstLine="560"/>
        <w:rPr>
          <w:rFonts w:ascii="Times New Roman" w:hAnsi="Times New Roman"/>
          <w:bCs/>
          <w:szCs w:val="28"/>
        </w:rPr>
      </w:pPr>
      <w:r>
        <w:rPr>
          <w:rFonts w:ascii="Times New Roman" w:hAnsi="Times New Roman"/>
          <w:bCs/>
          <w:szCs w:val="28"/>
        </w:rPr>
        <w:t>厂区级响应：事故发现人员→应急指挥部副总指挥长，由副指挥长组织力量进行应急处置；</w:t>
      </w:r>
    </w:p>
    <w:p>
      <w:pPr>
        <w:spacing w:line="240" w:lineRule="auto"/>
        <w:ind w:firstLine="560"/>
        <w:rPr>
          <w:rFonts w:ascii="Times New Roman" w:hAnsi="Times New Roman"/>
          <w:bCs/>
          <w:szCs w:val="28"/>
        </w:rPr>
      </w:pPr>
      <w:r>
        <w:rPr>
          <w:rFonts w:ascii="Times New Roman" w:hAnsi="Times New Roman"/>
          <w:bCs/>
          <w:szCs w:val="28"/>
        </w:rPr>
        <w:t>区域级响应：事故发现人员→应急指挥部指挥长，由指挥长组织力量进行应急处置，若超出企业应急能力，指挥部指挥长应立即上报巩义市人民政府或郑州市生态环境局巩义分局请求给予支持。</w:t>
      </w:r>
    </w:p>
    <w:p>
      <w:pPr>
        <w:keepNext/>
        <w:keepLines/>
        <w:snapToGrid w:val="0"/>
        <w:ind w:firstLine="0" w:firstLineChars="0"/>
        <w:jc w:val="left"/>
        <w:outlineLvl w:val="1"/>
        <w:rPr>
          <w:rFonts w:ascii="Times New Roman" w:hAnsi="Times New Roman" w:eastAsia="仿宋_GB2312"/>
          <w:b/>
          <w:bCs/>
          <w:sz w:val="32"/>
          <w:szCs w:val="32"/>
        </w:rPr>
      </w:pPr>
      <w:bookmarkStart w:id="256" w:name="_Toc93062923"/>
      <w:r>
        <w:rPr>
          <w:rFonts w:ascii="Times New Roman" w:hAnsi="Times New Roman" w:eastAsia="仿宋_GB2312"/>
          <w:b/>
          <w:bCs/>
          <w:sz w:val="32"/>
          <w:szCs w:val="32"/>
        </w:rPr>
        <w:t>6.3应急救援</w:t>
      </w:r>
      <w:bookmarkEnd w:id="255"/>
      <w:bookmarkEnd w:id="256"/>
    </w:p>
    <w:p>
      <w:pPr>
        <w:snapToGrid w:val="0"/>
        <w:spacing w:line="360" w:lineRule="auto"/>
        <w:ind w:firstLine="561" w:firstLineChars="0"/>
        <w:rPr>
          <w:rFonts w:ascii="Times New Roman" w:hAnsi="Times New Roman"/>
          <w:b/>
          <w:bCs/>
          <w:kern w:val="0"/>
          <w:szCs w:val="28"/>
        </w:rPr>
      </w:pPr>
      <w:r>
        <w:rPr>
          <w:rFonts w:ascii="Times New Roman" w:hAnsi="Times New Roman"/>
          <w:b/>
          <w:bCs/>
          <w:kern w:val="0"/>
          <w:szCs w:val="28"/>
        </w:rPr>
        <w:t>6.3.1厂内应急措施</w:t>
      </w:r>
    </w:p>
    <w:p>
      <w:pPr>
        <w:snapToGrid w:val="0"/>
        <w:ind w:right="-372" w:rightChars="-133" w:firstLine="560"/>
        <w:jc w:val="left"/>
        <w:rPr>
          <w:rFonts w:ascii="Times New Roman" w:hAnsi="Times New Roman"/>
          <w:szCs w:val="28"/>
        </w:rPr>
      </w:pPr>
      <w:r>
        <w:rPr>
          <w:rFonts w:ascii="Times New Roman" w:hAnsi="Times New Roman"/>
          <w:szCs w:val="28"/>
        </w:rPr>
        <w:t>（1）泄漏应急措施</w:t>
      </w:r>
    </w:p>
    <w:p>
      <w:pPr>
        <w:snapToGrid w:val="0"/>
        <w:ind w:right="-372" w:rightChars="-133" w:firstLine="560"/>
        <w:jc w:val="left"/>
        <w:rPr>
          <w:rFonts w:ascii="Times New Roman" w:hAnsi="Times New Roman"/>
          <w:szCs w:val="28"/>
        </w:rPr>
      </w:pPr>
      <w:r>
        <w:rPr>
          <w:rFonts w:ascii="Times New Roman" w:hAnsi="Times New Roman"/>
          <w:szCs w:val="28"/>
        </w:rPr>
        <w:t>迅速撤离泄漏污染区人员至安全区，并进行隔离，严格限制出入。切断火源，建议应急处理人员尽可能切断泄漏源。固态及粉状危废泄漏及时进行清扫，粉状危废泄漏影响不大。不能清扫的部分，地面的危废用沙土处理干净，处理后的沙土交由危废单位处理。</w:t>
      </w:r>
    </w:p>
    <w:p>
      <w:pPr>
        <w:snapToGrid w:val="0"/>
        <w:ind w:right="-372" w:rightChars="-133" w:firstLine="560"/>
        <w:jc w:val="left"/>
        <w:rPr>
          <w:rFonts w:ascii="Times New Roman" w:hAnsi="Times New Roman"/>
          <w:szCs w:val="28"/>
        </w:rPr>
      </w:pPr>
      <w:r>
        <w:rPr>
          <w:rFonts w:ascii="Times New Roman" w:hAnsi="Times New Roman"/>
          <w:szCs w:val="28"/>
        </w:rPr>
        <w:t>（2）消防应急措施</w:t>
      </w:r>
    </w:p>
    <w:p>
      <w:pPr>
        <w:snapToGrid w:val="0"/>
        <w:ind w:right="-372" w:rightChars="-133" w:firstLine="560"/>
        <w:jc w:val="left"/>
        <w:rPr>
          <w:rFonts w:ascii="Times New Roman" w:hAnsi="Times New Roman"/>
          <w:szCs w:val="28"/>
        </w:rPr>
      </w:pPr>
      <w:r>
        <w:rPr>
          <w:rFonts w:ascii="Times New Roman" w:hAnsi="Times New Roman"/>
          <w:szCs w:val="28"/>
        </w:rPr>
        <w:t>灭火方法：消防人员必须佩戴过滤式防毒面具、全面罩、穿全身防火防毒服，在上风向灭火。尽可能将容器从火场移至空旷处。喷水或干粉剂保持火场容器冷却，直至灭火结束。处在火场院中的容器若已变色或从安全泄压装置中产生杂音，必须马上撤离。用沙袋堵住企业的雨水口管道进口及雨水口，防止事故废水沿雨水口流出厂外，使产生的事故废水导入厂区事故池，待事故结束后进行处理。</w:t>
      </w:r>
    </w:p>
    <w:p>
      <w:pPr>
        <w:snapToGrid w:val="0"/>
        <w:spacing w:line="360" w:lineRule="auto"/>
        <w:ind w:firstLine="561" w:firstLineChars="0"/>
        <w:rPr>
          <w:rFonts w:ascii="Times New Roman" w:hAnsi="Times New Roman"/>
          <w:b/>
          <w:szCs w:val="28"/>
        </w:rPr>
      </w:pPr>
      <w:r>
        <w:rPr>
          <w:rFonts w:ascii="Times New Roman" w:hAnsi="Times New Roman"/>
          <w:b/>
          <w:szCs w:val="28"/>
        </w:rPr>
        <w:t>6.3.2突发环境事件厂区外应急措施</w:t>
      </w:r>
    </w:p>
    <w:p>
      <w:pPr>
        <w:snapToGrid w:val="0"/>
        <w:ind w:right="-372" w:rightChars="-133" w:firstLine="560"/>
        <w:jc w:val="left"/>
        <w:rPr>
          <w:rFonts w:ascii="Times New Roman" w:hAnsi="Times New Roman"/>
          <w:szCs w:val="28"/>
        </w:rPr>
      </w:pPr>
      <w:r>
        <w:rPr>
          <w:rFonts w:ascii="Times New Roman" w:hAnsi="Times New Roman"/>
          <w:szCs w:val="28"/>
        </w:rPr>
        <w:t>当企业发生的突发环境事件在企业应急指挥部控制范围之外时，企业应立即向巩义市国土、安监、环保及工业园区、市政府请求支援，并对发生的突发环境事件进行详细的阐述。</w:t>
      </w:r>
    </w:p>
    <w:p>
      <w:pPr>
        <w:snapToGrid w:val="0"/>
        <w:ind w:right="-372" w:rightChars="-133" w:firstLine="560"/>
        <w:jc w:val="left"/>
        <w:rPr>
          <w:rFonts w:ascii="Times New Roman" w:hAnsi="Times New Roman"/>
          <w:szCs w:val="28"/>
        </w:rPr>
      </w:pPr>
      <w:r>
        <w:rPr>
          <w:rFonts w:ascii="Times New Roman" w:hAnsi="Times New Roman"/>
          <w:szCs w:val="28"/>
        </w:rPr>
        <w:t>对于火灾产生的空气污染针对对企业下风向敏感点进行检测，通知下游敏感点进行撤离，关闭门窗，待事故结束后返回。</w:t>
      </w:r>
    </w:p>
    <w:p>
      <w:pPr>
        <w:snapToGrid w:val="0"/>
        <w:ind w:right="-372" w:rightChars="-133" w:firstLine="560"/>
        <w:jc w:val="left"/>
        <w:rPr>
          <w:rFonts w:ascii="Times New Roman" w:hAnsi="Times New Roman"/>
          <w:szCs w:val="28"/>
        </w:rPr>
      </w:pPr>
      <w:r>
        <w:rPr>
          <w:rFonts w:ascii="Times New Roman" w:hAnsi="Times New Roman"/>
          <w:szCs w:val="28"/>
        </w:rPr>
        <w:t>当发生泄漏或者火灾，导致可能造成土壤环境污染的物质进入厂区外土壤环境后，处理进行消防灭火和堵漏工作外，厂区应派专人对泄漏进入土壤环境的点位和范围进行标记，以便后续确定土壤环境污染的范围和后期对土壤环境的监测和修复。</w:t>
      </w:r>
    </w:p>
    <w:p>
      <w:pPr>
        <w:keepNext/>
        <w:keepLines/>
        <w:snapToGrid w:val="0"/>
        <w:ind w:firstLine="0" w:firstLineChars="0"/>
        <w:jc w:val="left"/>
        <w:outlineLvl w:val="1"/>
        <w:rPr>
          <w:rFonts w:ascii="Times New Roman" w:hAnsi="Times New Roman" w:eastAsia="仿宋_GB2312"/>
          <w:b/>
          <w:bCs/>
          <w:sz w:val="32"/>
          <w:szCs w:val="32"/>
        </w:rPr>
      </w:pPr>
      <w:bookmarkStart w:id="257" w:name="_Toc507012475"/>
      <w:bookmarkEnd w:id="257"/>
      <w:bookmarkStart w:id="258" w:name="_Toc29312310"/>
      <w:bookmarkEnd w:id="258"/>
      <w:bookmarkStart w:id="259" w:name="_Toc507012541"/>
      <w:bookmarkEnd w:id="259"/>
      <w:bookmarkStart w:id="260" w:name="_Toc28021926"/>
      <w:bookmarkEnd w:id="260"/>
      <w:bookmarkStart w:id="261" w:name="_Toc28020448"/>
      <w:bookmarkEnd w:id="261"/>
      <w:bookmarkStart w:id="262" w:name="_Toc29887755"/>
      <w:bookmarkEnd w:id="262"/>
      <w:bookmarkStart w:id="263" w:name="_Toc40971421"/>
      <w:bookmarkEnd w:id="263"/>
      <w:bookmarkStart w:id="264" w:name="_Toc507012694"/>
      <w:bookmarkStart w:id="265" w:name="_Toc93062924"/>
      <w:r>
        <w:rPr>
          <w:rFonts w:ascii="Times New Roman" w:hAnsi="Times New Roman" w:eastAsia="仿宋_GB2312"/>
          <w:b/>
          <w:bCs/>
          <w:sz w:val="32"/>
          <w:szCs w:val="32"/>
        </w:rPr>
        <w:t>6.</w:t>
      </w:r>
      <w:bookmarkEnd w:id="264"/>
      <w:r>
        <w:rPr>
          <w:rFonts w:ascii="Times New Roman" w:hAnsi="Times New Roman" w:eastAsia="仿宋_GB2312"/>
          <w:b/>
          <w:bCs/>
          <w:sz w:val="32"/>
          <w:szCs w:val="32"/>
        </w:rPr>
        <w:t>4应急监测</w:t>
      </w:r>
      <w:bookmarkEnd w:id="265"/>
    </w:p>
    <w:p>
      <w:pPr>
        <w:snapToGrid w:val="0"/>
        <w:ind w:right="-372" w:rightChars="-133" w:firstLine="560"/>
        <w:jc w:val="left"/>
        <w:rPr>
          <w:rFonts w:ascii="Times New Roman" w:hAnsi="Times New Roman"/>
          <w:szCs w:val="28"/>
        </w:rPr>
      </w:pPr>
      <w:r>
        <w:rPr>
          <w:rFonts w:ascii="Times New Roman" w:hAnsi="Times New Roman"/>
          <w:szCs w:val="28"/>
        </w:rPr>
        <w:t>在区域级事故状态下，应进行环境监测，以防出现废气、废水外环境污染事故，由应急办公室通知环境监测站或委托第三方机构对公司总排口及附近居民区进行环境监测。</w:t>
      </w:r>
    </w:p>
    <w:tbl>
      <w:tblPr>
        <w:tblStyle w:val="6"/>
        <w:tblW w:w="99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253"/>
        <w:gridCol w:w="1015"/>
        <w:gridCol w:w="2977"/>
        <w:gridCol w:w="1842"/>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b/>
                <w:bCs/>
                <w:kern w:val="0"/>
                <w:sz w:val="20"/>
              </w:rPr>
            </w:pPr>
            <w:bookmarkStart w:id="266" w:name="_Toc507012478"/>
            <w:r>
              <w:rPr>
                <w:rFonts w:ascii="Times New Roman" w:hAnsi="Times New Roman"/>
                <w:b/>
                <w:bCs/>
                <w:kern w:val="0"/>
                <w:sz w:val="21"/>
                <w:szCs w:val="21"/>
              </w:rPr>
              <w:t>序号</w:t>
            </w:r>
            <w:bookmarkEnd w:id="266"/>
          </w:p>
        </w:tc>
        <w:tc>
          <w:tcPr>
            <w:tcW w:w="12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b/>
                <w:bCs/>
                <w:kern w:val="0"/>
                <w:sz w:val="20"/>
              </w:rPr>
            </w:pPr>
            <w:r>
              <w:rPr>
                <w:rFonts w:ascii="Times New Roman" w:hAnsi="Times New Roman"/>
                <w:b/>
                <w:bCs/>
                <w:kern w:val="0"/>
                <w:sz w:val="21"/>
                <w:szCs w:val="21"/>
              </w:rPr>
              <w:t>可能发生事故</w:t>
            </w:r>
          </w:p>
        </w:tc>
        <w:tc>
          <w:tcPr>
            <w:tcW w:w="10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b/>
                <w:bCs/>
                <w:kern w:val="0"/>
                <w:sz w:val="20"/>
              </w:rPr>
            </w:pPr>
            <w:r>
              <w:rPr>
                <w:rFonts w:ascii="Times New Roman" w:hAnsi="Times New Roman"/>
                <w:b/>
                <w:bCs/>
                <w:kern w:val="0"/>
                <w:sz w:val="21"/>
                <w:szCs w:val="21"/>
              </w:rPr>
              <w:t>污染途径</w:t>
            </w:r>
          </w:p>
        </w:tc>
        <w:tc>
          <w:tcPr>
            <w:tcW w:w="297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b/>
                <w:bCs/>
                <w:kern w:val="0"/>
                <w:sz w:val="20"/>
              </w:rPr>
            </w:pPr>
            <w:r>
              <w:rPr>
                <w:rFonts w:ascii="Times New Roman" w:hAnsi="Times New Roman"/>
                <w:b/>
                <w:bCs/>
                <w:kern w:val="0"/>
                <w:sz w:val="21"/>
                <w:szCs w:val="21"/>
              </w:rPr>
              <w:t>监测因子</w:t>
            </w:r>
          </w:p>
        </w:tc>
        <w:tc>
          <w:tcPr>
            <w:tcW w:w="184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b/>
                <w:bCs/>
                <w:kern w:val="0"/>
                <w:sz w:val="20"/>
              </w:rPr>
            </w:pPr>
            <w:r>
              <w:rPr>
                <w:rFonts w:ascii="Times New Roman" w:hAnsi="Times New Roman"/>
                <w:b/>
                <w:bCs/>
                <w:kern w:val="0"/>
                <w:sz w:val="21"/>
                <w:szCs w:val="21"/>
              </w:rPr>
              <w:t>监测布点</w:t>
            </w:r>
          </w:p>
        </w:tc>
        <w:tc>
          <w:tcPr>
            <w:tcW w:w="1842" w:type="dxa"/>
            <w:tcBorders>
              <w:top w:val="single" w:color="auto" w:sz="4" w:space="0"/>
              <w:left w:val="single" w:color="auto" w:sz="4" w:space="0"/>
              <w:bottom w:val="single" w:color="auto" w:sz="4" w:space="0"/>
              <w:right w:val="single" w:color="auto" w:sz="4" w:space="0"/>
            </w:tcBorders>
          </w:tcPr>
          <w:p>
            <w:pPr>
              <w:adjustRightInd w:val="0"/>
              <w:snapToGrid w:val="0"/>
              <w:spacing w:line="240" w:lineRule="atLeast"/>
              <w:ind w:firstLine="0" w:firstLineChars="0"/>
              <w:jc w:val="center"/>
              <w:rPr>
                <w:rFonts w:ascii="Times New Roman" w:hAnsi="Times New Roman"/>
                <w:b/>
                <w:bCs/>
                <w:kern w:val="0"/>
                <w:sz w:val="21"/>
                <w:szCs w:val="21"/>
              </w:rPr>
            </w:pPr>
            <w:r>
              <w:rPr>
                <w:rFonts w:ascii="Times New Roman" w:hAnsi="Times New Roman"/>
                <w:b/>
                <w:bCs/>
                <w:kern w:val="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1</w:t>
            </w:r>
          </w:p>
        </w:tc>
        <w:tc>
          <w:tcPr>
            <w:tcW w:w="1253" w:type="dxa"/>
            <w:vMerge w:val="restart"/>
            <w:tcBorders>
              <w:top w:val="nil"/>
              <w:left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泄漏</w:t>
            </w:r>
          </w:p>
        </w:tc>
        <w:tc>
          <w:tcPr>
            <w:tcW w:w="1015" w:type="dxa"/>
            <w:vMerge w:val="restart"/>
            <w:tcBorders>
              <w:top w:val="nil"/>
              <w:left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土壤</w:t>
            </w:r>
          </w:p>
        </w:tc>
        <w:tc>
          <w:tcPr>
            <w:tcW w:w="297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SS</w:t>
            </w:r>
          </w:p>
        </w:tc>
        <w:tc>
          <w:tcPr>
            <w:tcW w:w="1842" w:type="dxa"/>
            <w:vMerge w:val="restart"/>
            <w:tcBorders>
              <w:top w:val="nil"/>
              <w:left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厂区</w:t>
            </w:r>
          </w:p>
          <w:p>
            <w:pPr>
              <w:adjustRightInd w:val="0"/>
              <w:snapToGrid w:val="0"/>
              <w:spacing w:line="240" w:lineRule="atLeast"/>
              <w:ind w:firstLine="0" w:firstLineChars="0"/>
              <w:jc w:val="center"/>
              <w:rPr>
                <w:rFonts w:ascii="Times New Roman" w:hAnsi="Times New Roman"/>
                <w:kern w:val="0"/>
                <w:sz w:val="20"/>
              </w:rPr>
            </w:pPr>
          </w:p>
        </w:tc>
        <w:tc>
          <w:tcPr>
            <w:tcW w:w="1842" w:type="dxa"/>
            <w:vMerge w:val="restart"/>
            <w:tcBorders>
              <w:top w:val="nil"/>
              <w:left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1"/>
                <w:szCs w:val="21"/>
              </w:rPr>
            </w:pPr>
            <w:r>
              <w:rPr>
                <w:rFonts w:ascii="Times New Roman" w:hAnsi="Times New Roman"/>
                <w:kern w:val="0"/>
                <w:sz w:val="24"/>
                <w:szCs w:val="24"/>
              </w:rPr>
              <w:t>2次/天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2</w:t>
            </w:r>
          </w:p>
        </w:tc>
        <w:tc>
          <w:tcPr>
            <w:tcW w:w="1253" w:type="dxa"/>
            <w:vMerge w:val="continue"/>
            <w:tcBorders>
              <w:left w:val="single" w:color="auto" w:sz="4" w:space="0"/>
              <w:right w:val="single" w:color="auto" w:sz="4" w:space="0"/>
            </w:tcBorders>
            <w:vAlign w:val="center"/>
          </w:tcPr>
          <w:p>
            <w:pPr>
              <w:widowControl/>
              <w:spacing w:line="240" w:lineRule="auto"/>
              <w:ind w:firstLine="0" w:firstLineChars="0"/>
              <w:jc w:val="left"/>
              <w:rPr>
                <w:rFonts w:ascii="Times New Roman" w:hAnsi="Times New Roman"/>
                <w:kern w:val="0"/>
                <w:sz w:val="20"/>
              </w:rPr>
            </w:pPr>
          </w:p>
        </w:tc>
        <w:tc>
          <w:tcPr>
            <w:tcW w:w="1015" w:type="dxa"/>
            <w:vMerge w:val="continue"/>
            <w:tcBorders>
              <w:left w:val="single" w:color="auto" w:sz="4" w:space="0"/>
              <w:right w:val="single" w:color="auto" w:sz="4" w:space="0"/>
            </w:tcBorders>
            <w:vAlign w:val="center"/>
          </w:tcPr>
          <w:p>
            <w:pPr>
              <w:widowControl/>
              <w:spacing w:line="240" w:lineRule="auto"/>
              <w:ind w:firstLine="0" w:firstLineChars="0"/>
              <w:jc w:val="left"/>
              <w:rPr>
                <w:rFonts w:ascii="Times New Roman" w:hAnsi="Times New Roman"/>
                <w:kern w:val="0"/>
                <w:sz w:val="20"/>
              </w:rPr>
            </w:pPr>
          </w:p>
        </w:tc>
        <w:tc>
          <w:tcPr>
            <w:tcW w:w="297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COD</w:t>
            </w:r>
          </w:p>
        </w:tc>
        <w:tc>
          <w:tcPr>
            <w:tcW w:w="1842" w:type="dxa"/>
            <w:vMerge w:val="continue"/>
            <w:tcBorders>
              <w:left w:val="single" w:color="auto" w:sz="4" w:space="0"/>
              <w:right w:val="single" w:color="auto" w:sz="4" w:space="0"/>
            </w:tcBorders>
            <w:vAlign w:val="center"/>
          </w:tcPr>
          <w:p>
            <w:pPr>
              <w:widowControl/>
              <w:spacing w:line="240" w:lineRule="auto"/>
              <w:ind w:firstLine="0" w:firstLineChars="0"/>
              <w:jc w:val="left"/>
              <w:rPr>
                <w:rFonts w:ascii="Times New Roman" w:hAnsi="Times New Roman"/>
                <w:kern w:val="0"/>
                <w:sz w:val="20"/>
              </w:rPr>
            </w:pPr>
          </w:p>
        </w:tc>
        <w:tc>
          <w:tcPr>
            <w:tcW w:w="1842" w:type="dxa"/>
            <w:vMerge w:val="continue"/>
            <w:tcBorders>
              <w:left w:val="single" w:color="auto" w:sz="4" w:space="0"/>
              <w:right w:val="single" w:color="auto" w:sz="4" w:space="0"/>
            </w:tcBorders>
          </w:tcPr>
          <w:p>
            <w:pPr>
              <w:widowControl/>
              <w:spacing w:line="240" w:lineRule="auto"/>
              <w:ind w:firstLine="0" w:firstLineChars="0"/>
              <w:jc w:val="left"/>
              <w:rPr>
                <w:rFonts w:ascii="Times New Roman" w:hAnsi="Times New Roman"/>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3</w:t>
            </w:r>
          </w:p>
        </w:tc>
        <w:tc>
          <w:tcPr>
            <w:tcW w:w="1253" w:type="dxa"/>
            <w:vMerge w:val="continue"/>
            <w:tcBorders>
              <w:left w:val="single" w:color="auto" w:sz="4" w:space="0"/>
              <w:right w:val="single" w:color="auto" w:sz="4" w:space="0"/>
            </w:tcBorders>
            <w:vAlign w:val="center"/>
          </w:tcPr>
          <w:p>
            <w:pPr>
              <w:widowControl/>
              <w:spacing w:line="240" w:lineRule="auto"/>
              <w:ind w:firstLine="0" w:firstLineChars="0"/>
              <w:jc w:val="left"/>
              <w:rPr>
                <w:rFonts w:ascii="Times New Roman" w:hAnsi="Times New Roman"/>
                <w:kern w:val="0"/>
                <w:sz w:val="20"/>
              </w:rPr>
            </w:pPr>
          </w:p>
        </w:tc>
        <w:tc>
          <w:tcPr>
            <w:tcW w:w="1015" w:type="dxa"/>
            <w:vMerge w:val="continue"/>
            <w:tcBorders>
              <w:left w:val="single" w:color="auto" w:sz="4" w:space="0"/>
              <w:right w:val="single" w:color="auto" w:sz="4" w:space="0"/>
            </w:tcBorders>
            <w:vAlign w:val="center"/>
          </w:tcPr>
          <w:p>
            <w:pPr>
              <w:widowControl/>
              <w:spacing w:line="240" w:lineRule="auto"/>
              <w:ind w:firstLine="0" w:firstLineChars="0"/>
              <w:jc w:val="left"/>
              <w:rPr>
                <w:rFonts w:ascii="Times New Roman" w:hAnsi="Times New Roman"/>
                <w:kern w:val="0"/>
                <w:sz w:val="20"/>
              </w:rPr>
            </w:pPr>
          </w:p>
        </w:tc>
        <w:tc>
          <w:tcPr>
            <w:tcW w:w="297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石油类</w:t>
            </w:r>
          </w:p>
        </w:tc>
        <w:tc>
          <w:tcPr>
            <w:tcW w:w="1842" w:type="dxa"/>
            <w:vMerge w:val="continue"/>
            <w:tcBorders>
              <w:left w:val="single" w:color="auto" w:sz="4" w:space="0"/>
              <w:right w:val="single" w:color="auto" w:sz="4" w:space="0"/>
            </w:tcBorders>
            <w:vAlign w:val="center"/>
          </w:tcPr>
          <w:p>
            <w:pPr>
              <w:widowControl/>
              <w:spacing w:line="240" w:lineRule="auto"/>
              <w:ind w:firstLine="0" w:firstLineChars="0"/>
              <w:jc w:val="left"/>
              <w:rPr>
                <w:rFonts w:ascii="Times New Roman" w:hAnsi="Times New Roman"/>
                <w:kern w:val="0"/>
                <w:sz w:val="20"/>
              </w:rPr>
            </w:pPr>
          </w:p>
        </w:tc>
        <w:tc>
          <w:tcPr>
            <w:tcW w:w="1842" w:type="dxa"/>
            <w:vMerge w:val="continue"/>
            <w:tcBorders>
              <w:left w:val="single" w:color="auto" w:sz="4" w:space="0"/>
              <w:right w:val="single" w:color="auto" w:sz="4" w:space="0"/>
            </w:tcBorders>
          </w:tcPr>
          <w:p>
            <w:pPr>
              <w:widowControl/>
              <w:spacing w:line="240" w:lineRule="auto"/>
              <w:ind w:firstLine="0" w:firstLineChars="0"/>
              <w:jc w:val="left"/>
              <w:rPr>
                <w:rFonts w:ascii="Times New Roman" w:hAnsi="Times New Roman"/>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1"/>
                <w:szCs w:val="21"/>
              </w:rPr>
            </w:pPr>
            <w:r>
              <w:rPr>
                <w:rFonts w:ascii="Times New Roman" w:hAnsi="Times New Roman"/>
                <w:kern w:val="0"/>
                <w:sz w:val="21"/>
                <w:szCs w:val="21"/>
              </w:rPr>
              <w:t>4</w:t>
            </w:r>
          </w:p>
        </w:tc>
        <w:tc>
          <w:tcPr>
            <w:tcW w:w="1253" w:type="dxa"/>
            <w:vMerge w:val="continue"/>
            <w:tcBorders>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Times New Roman" w:hAnsi="Times New Roman"/>
                <w:kern w:val="0"/>
                <w:sz w:val="20"/>
              </w:rPr>
            </w:pPr>
          </w:p>
        </w:tc>
        <w:tc>
          <w:tcPr>
            <w:tcW w:w="1015" w:type="dxa"/>
            <w:vMerge w:val="continue"/>
            <w:tcBorders>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Times New Roman" w:hAnsi="Times New Roman"/>
                <w:kern w:val="0"/>
                <w:sz w:val="20"/>
              </w:rPr>
            </w:pPr>
          </w:p>
        </w:tc>
        <w:tc>
          <w:tcPr>
            <w:tcW w:w="297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1"/>
                <w:szCs w:val="21"/>
              </w:rPr>
            </w:pPr>
            <w:r>
              <w:rPr>
                <w:rFonts w:hint="eastAsia" w:ascii="Times New Roman" w:hAnsi="Times New Roman"/>
                <w:kern w:val="0"/>
                <w:sz w:val="21"/>
                <w:szCs w:val="21"/>
              </w:rPr>
              <w:t>铅</w:t>
            </w:r>
          </w:p>
        </w:tc>
        <w:tc>
          <w:tcPr>
            <w:tcW w:w="1842" w:type="dxa"/>
            <w:vMerge w:val="continue"/>
            <w:tcBorders>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Times New Roman" w:hAnsi="Times New Roman"/>
                <w:kern w:val="0"/>
                <w:sz w:val="20"/>
              </w:rPr>
            </w:pPr>
          </w:p>
        </w:tc>
        <w:tc>
          <w:tcPr>
            <w:tcW w:w="1842" w:type="dxa"/>
            <w:vMerge w:val="continue"/>
            <w:tcBorders>
              <w:left w:val="single" w:color="auto" w:sz="4" w:space="0"/>
              <w:bottom w:val="single" w:color="auto" w:sz="4" w:space="0"/>
              <w:right w:val="single" w:color="auto" w:sz="4" w:space="0"/>
            </w:tcBorders>
          </w:tcPr>
          <w:p>
            <w:pPr>
              <w:widowControl/>
              <w:spacing w:line="240" w:lineRule="auto"/>
              <w:ind w:firstLine="0" w:firstLineChars="0"/>
              <w:jc w:val="left"/>
              <w:rPr>
                <w:rFonts w:ascii="Times New Roman" w:hAnsi="Times New Roman"/>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4</w:t>
            </w:r>
          </w:p>
        </w:tc>
        <w:tc>
          <w:tcPr>
            <w:tcW w:w="12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火灾</w:t>
            </w:r>
          </w:p>
        </w:tc>
        <w:tc>
          <w:tcPr>
            <w:tcW w:w="10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消防废水</w:t>
            </w:r>
          </w:p>
        </w:tc>
        <w:tc>
          <w:tcPr>
            <w:tcW w:w="297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SS、COD、石油类、</w:t>
            </w:r>
            <w:r>
              <w:rPr>
                <w:rFonts w:hint="eastAsia" w:ascii="Times New Roman" w:hAnsi="Times New Roman"/>
                <w:kern w:val="0"/>
                <w:sz w:val="21"/>
                <w:szCs w:val="21"/>
              </w:rPr>
              <w:t>铅</w:t>
            </w:r>
          </w:p>
        </w:tc>
        <w:tc>
          <w:tcPr>
            <w:tcW w:w="1842" w:type="dxa"/>
            <w:tcBorders>
              <w:top w:val="nil"/>
              <w:left w:val="single" w:color="auto" w:sz="4" w:space="0"/>
              <w:bottom w:val="single" w:color="auto" w:sz="4" w:space="0"/>
              <w:right w:val="single" w:color="auto" w:sz="4" w:space="0"/>
            </w:tcBorders>
            <w:vAlign w:val="center"/>
          </w:tcPr>
          <w:p>
            <w:pPr>
              <w:adjustRightInd w:val="0"/>
              <w:snapToGrid w:val="0"/>
              <w:spacing w:line="240" w:lineRule="atLeast"/>
              <w:ind w:firstLine="0" w:firstLineChars="0"/>
              <w:jc w:val="center"/>
              <w:rPr>
                <w:rFonts w:ascii="Times New Roman" w:hAnsi="Times New Roman"/>
                <w:kern w:val="0"/>
                <w:sz w:val="20"/>
              </w:rPr>
            </w:pPr>
            <w:r>
              <w:rPr>
                <w:rFonts w:ascii="Times New Roman" w:hAnsi="Times New Roman"/>
                <w:kern w:val="0"/>
                <w:sz w:val="21"/>
                <w:szCs w:val="21"/>
              </w:rPr>
              <w:t>厂区总排口</w:t>
            </w:r>
          </w:p>
        </w:tc>
        <w:tc>
          <w:tcPr>
            <w:tcW w:w="1842" w:type="dxa"/>
            <w:tcBorders>
              <w:top w:val="nil"/>
              <w:left w:val="single" w:color="auto" w:sz="4" w:space="0"/>
              <w:bottom w:val="single" w:color="auto" w:sz="4" w:space="0"/>
              <w:right w:val="single" w:color="auto" w:sz="4" w:space="0"/>
            </w:tcBorders>
          </w:tcPr>
          <w:p>
            <w:pPr>
              <w:adjustRightInd w:val="0"/>
              <w:snapToGrid w:val="0"/>
              <w:spacing w:line="240" w:lineRule="atLeast"/>
              <w:ind w:firstLine="0" w:firstLineChars="0"/>
              <w:jc w:val="center"/>
              <w:rPr>
                <w:rFonts w:ascii="Times New Roman" w:hAnsi="Times New Roman"/>
                <w:kern w:val="0"/>
                <w:sz w:val="21"/>
                <w:szCs w:val="21"/>
              </w:rPr>
            </w:pPr>
            <w:r>
              <w:rPr>
                <w:rFonts w:ascii="Times New Roman" w:hAnsi="Times New Roman"/>
                <w:bCs/>
                <w:sz w:val="24"/>
                <w:szCs w:val="24"/>
              </w:rPr>
              <w:t>初始加密（15min/次）监测，随着事故控制减弱，适当减少监测频次</w:t>
            </w:r>
          </w:p>
        </w:tc>
      </w:tr>
    </w:tbl>
    <w:p>
      <w:pPr>
        <w:keepNext/>
        <w:keepLines/>
        <w:snapToGrid w:val="0"/>
        <w:ind w:firstLine="0" w:firstLineChars="0"/>
        <w:jc w:val="left"/>
        <w:outlineLvl w:val="1"/>
        <w:rPr>
          <w:rFonts w:ascii="Times New Roman" w:hAnsi="Times New Roman" w:eastAsia="仿宋_GB2312"/>
          <w:b/>
          <w:bCs/>
          <w:sz w:val="32"/>
          <w:szCs w:val="32"/>
        </w:rPr>
      </w:pPr>
      <w:bookmarkStart w:id="267" w:name="_Toc29887756"/>
      <w:bookmarkEnd w:id="267"/>
      <w:bookmarkStart w:id="268" w:name="_Toc507012695"/>
      <w:bookmarkEnd w:id="268"/>
      <w:bookmarkStart w:id="269" w:name="_Toc28021927"/>
      <w:bookmarkEnd w:id="269"/>
      <w:bookmarkStart w:id="270" w:name="_Toc507012482"/>
      <w:bookmarkEnd w:id="270"/>
      <w:bookmarkStart w:id="271" w:name="_Toc507012542"/>
      <w:bookmarkEnd w:id="271"/>
      <w:bookmarkStart w:id="272" w:name="_Toc28020449"/>
      <w:bookmarkEnd w:id="272"/>
      <w:bookmarkStart w:id="273" w:name="_Toc29312311"/>
      <w:bookmarkEnd w:id="273"/>
      <w:bookmarkStart w:id="274" w:name="_Toc93062925"/>
      <w:bookmarkStart w:id="275" w:name="_Toc40971422"/>
      <w:r>
        <w:rPr>
          <w:rFonts w:ascii="Times New Roman" w:hAnsi="Times New Roman" w:eastAsia="仿宋_GB2312"/>
          <w:b/>
          <w:bCs/>
          <w:sz w:val="32"/>
          <w:szCs w:val="32"/>
        </w:rPr>
        <w:t>6.5信息报告</w:t>
      </w:r>
      <w:bookmarkEnd w:id="274"/>
      <w:bookmarkEnd w:id="275"/>
    </w:p>
    <w:p>
      <w:pPr>
        <w:snapToGrid w:val="0"/>
        <w:ind w:right="-372" w:rightChars="-133" w:firstLine="560"/>
        <w:jc w:val="left"/>
        <w:rPr>
          <w:rFonts w:ascii="Times New Roman" w:hAnsi="Times New Roman"/>
          <w:szCs w:val="28"/>
        </w:rPr>
      </w:pPr>
      <w:bookmarkStart w:id="276" w:name="_Toc507012543"/>
      <w:bookmarkEnd w:id="276"/>
      <w:bookmarkStart w:id="277" w:name="_Toc327952178"/>
      <w:bookmarkEnd w:id="277"/>
      <w:bookmarkStart w:id="278" w:name="_Toc507012483"/>
      <w:bookmarkEnd w:id="278"/>
      <w:bookmarkStart w:id="279" w:name="_Toc507012696"/>
      <w:r>
        <w:rPr>
          <w:rFonts w:ascii="Times New Roman" w:hAnsi="Times New Roman"/>
          <w:szCs w:val="28"/>
        </w:rPr>
        <w:t>见突发环境事件应急预案。</w:t>
      </w:r>
      <w:bookmarkEnd w:id="279"/>
    </w:p>
    <w:p>
      <w:pPr>
        <w:keepNext/>
        <w:keepLines/>
        <w:snapToGrid w:val="0"/>
        <w:ind w:firstLine="0" w:firstLineChars="0"/>
        <w:jc w:val="left"/>
        <w:outlineLvl w:val="1"/>
        <w:rPr>
          <w:rFonts w:ascii="Times New Roman" w:hAnsi="Times New Roman" w:eastAsia="仿宋_GB2312"/>
          <w:b/>
          <w:bCs/>
          <w:sz w:val="32"/>
          <w:szCs w:val="32"/>
        </w:rPr>
      </w:pPr>
      <w:bookmarkStart w:id="280" w:name="_Toc28021928"/>
      <w:bookmarkEnd w:id="280"/>
      <w:bookmarkStart w:id="281" w:name="_Toc29312312"/>
      <w:bookmarkEnd w:id="281"/>
      <w:bookmarkStart w:id="282" w:name="_Toc28020450"/>
      <w:bookmarkEnd w:id="282"/>
      <w:bookmarkStart w:id="283" w:name="_Toc29887757"/>
      <w:bookmarkEnd w:id="283"/>
      <w:bookmarkStart w:id="284" w:name="_Toc40971423"/>
      <w:bookmarkStart w:id="285" w:name="_Toc93062926"/>
      <w:r>
        <w:rPr>
          <w:rFonts w:ascii="Times New Roman" w:hAnsi="Times New Roman" w:eastAsia="仿宋_GB2312"/>
          <w:b/>
          <w:bCs/>
          <w:sz w:val="32"/>
          <w:szCs w:val="32"/>
        </w:rPr>
        <w:t>6.6应急结束</w:t>
      </w:r>
      <w:bookmarkEnd w:id="284"/>
      <w:bookmarkEnd w:id="285"/>
    </w:p>
    <w:p>
      <w:pPr>
        <w:keepNext/>
        <w:keepLines/>
        <w:snapToGrid w:val="0"/>
        <w:ind w:firstLine="0" w:firstLineChars="0"/>
        <w:jc w:val="left"/>
        <w:outlineLvl w:val="1"/>
        <w:rPr>
          <w:rFonts w:ascii="Times New Roman" w:hAnsi="Times New Roman" w:eastAsia="仿宋_GB2312"/>
          <w:b/>
          <w:bCs/>
          <w:szCs w:val="28"/>
        </w:rPr>
      </w:pPr>
      <w:bookmarkStart w:id="286" w:name="_Toc507012487"/>
      <w:bookmarkEnd w:id="286"/>
      <w:bookmarkStart w:id="287" w:name="_Toc507012697"/>
      <w:bookmarkEnd w:id="287"/>
      <w:bookmarkStart w:id="288" w:name="_Toc40971424"/>
      <w:bookmarkEnd w:id="288"/>
      <w:bookmarkStart w:id="289" w:name="_Toc29887758"/>
      <w:bookmarkEnd w:id="289"/>
      <w:bookmarkStart w:id="290" w:name="_Toc28021929"/>
      <w:bookmarkEnd w:id="290"/>
      <w:bookmarkStart w:id="291" w:name="_Toc507012544"/>
      <w:bookmarkEnd w:id="291"/>
      <w:bookmarkStart w:id="292" w:name="_Toc6791"/>
      <w:bookmarkEnd w:id="292"/>
      <w:bookmarkStart w:id="293" w:name="_Toc29312313"/>
      <w:bookmarkEnd w:id="293"/>
      <w:bookmarkStart w:id="294" w:name="_Toc243218024"/>
      <w:bookmarkEnd w:id="294"/>
      <w:bookmarkStart w:id="295" w:name="_Toc28020451"/>
      <w:bookmarkEnd w:id="295"/>
      <w:bookmarkStart w:id="296" w:name="_Toc241053054"/>
      <w:bookmarkEnd w:id="296"/>
      <w:bookmarkStart w:id="297" w:name="_Toc93062927"/>
      <w:bookmarkStart w:id="298" w:name="_Toc242849964"/>
      <w:r>
        <w:rPr>
          <w:rFonts w:ascii="Times New Roman" w:hAnsi="Times New Roman" w:eastAsia="仿宋_GB2312"/>
          <w:b/>
          <w:bCs/>
          <w:szCs w:val="28"/>
        </w:rPr>
        <w:t>6.6.1应急终止条件</w:t>
      </w:r>
      <w:bookmarkEnd w:id="297"/>
    </w:p>
    <w:p>
      <w:pPr>
        <w:ind w:firstLine="560"/>
        <w:rPr>
          <w:rFonts w:ascii="Times New Roman" w:hAnsi="Times New Roman" w:eastAsia="仿宋_GB2312"/>
          <w:szCs w:val="24"/>
        </w:rPr>
      </w:pPr>
      <w:r>
        <w:rPr>
          <w:rFonts w:ascii="Times New Roman" w:hAnsi="Times New Roman" w:eastAsia="仿宋_GB2312"/>
          <w:szCs w:val="24"/>
        </w:rPr>
        <w:t>当对发生事件进行一系列处理后，符合下列条件之一的，即满足应急终止条件：</w:t>
      </w:r>
    </w:p>
    <w:p>
      <w:pPr>
        <w:ind w:firstLine="560"/>
        <w:rPr>
          <w:rFonts w:ascii="Times New Roman" w:hAnsi="Times New Roman" w:eastAsia="仿宋_GB2312"/>
          <w:szCs w:val="24"/>
        </w:rPr>
      </w:pPr>
      <w:r>
        <w:rPr>
          <w:rFonts w:ascii="Times New Roman" w:hAnsi="Times New Roman" w:eastAsia="仿宋_GB2312"/>
          <w:szCs w:val="24"/>
        </w:rPr>
        <w:t>（1）事件现场得到控制，事件条件已经消除；</w:t>
      </w:r>
    </w:p>
    <w:p>
      <w:pPr>
        <w:ind w:firstLine="560"/>
        <w:rPr>
          <w:rFonts w:ascii="Times New Roman" w:hAnsi="Times New Roman" w:eastAsia="仿宋_GB2312"/>
          <w:szCs w:val="24"/>
        </w:rPr>
      </w:pPr>
      <w:r>
        <w:rPr>
          <w:rFonts w:ascii="Times New Roman" w:hAnsi="Times New Roman" w:eastAsia="仿宋_GB2312"/>
          <w:szCs w:val="24"/>
        </w:rPr>
        <w:t>（2）风险源的泄漏或释放已降至规定限值以内；</w:t>
      </w:r>
    </w:p>
    <w:p>
      <w:pPr>
        <w:ind w:firstLine="560"/>
        <w:rPr>
          <w:rFonts w:ascii="Times New Roman" w:hAnsi="Times New Roman" w:eastAsia="仿宋_GB2312"/>
          <w:szCs w:val="24"/>
        </w:rPr>
      </w:pPr>
      <w:r>
        <w:rPr>
          <w:rFonts w:ascii="Times New Roman" w:hAnsi="Times New Roman" w:eastAsia="仿宋_GB2312"/>
          <w:szCs w:val="24"/>
        </w:rPr>
        <w:t>（3）事件所造成的危害已经被彻底消除，无继发可能；</w:t>
      </w:r>
    </w:p>
    <w:p>
      <w:pPr>
        <w:ind w:firstLine="560"/>
        <w:rPr>
          <w:rFonts w:ascii="Times New Roman" w:hAnsi="Times New Roman" w:eastAsia="仿宋_GB2312"/>
          <w:szCs w:val="24"/>
        </w:rPr>
      </w:pPr>
      <w:r>
        <w:rPr>
          <w:rFonts w:ascii="Times New Roman" w:hAnsi="Times New Roman" w:eastAsia="仿宋_GB2312"/>
          <w:szCs w:val="24"/>
        </w:rPr>
        <w:t>（4）事件现场的各种专业应急处置行动已无继续的必要；</w:t>
      </w:r>
    </w:p>
    <w:p>
      <w:pPr>
        <w:ind w:firstLine="560"/>
        <w:rPr>
          <w:rFonts w:ascii="Times New Roman" w:hAnsi="Times New Roman" w:eastAsia="仿宋_GB2312"/>
          <w:szCs w:val="24"/>
        </w:rPr>
      </w:pPr>
      <w:r>
        <w:rPr>
          <w:rFonts w:ascii="Times New Roman" w:hAnsi="Times New Roman" w:eastAsia="仿宋_GB2312"/>
          <w:szCs w:val="24"/>
        </w:rPr>
        <w:t>（5）采取了必要的防护措施，保护公众免受再次危害，并使事件可能引起的中长期影响趋于合理乃至尽量低的水平；</w:t>
      </w:r>
    </w:p>
    <w:p>
      <w:pPr>
        <w:ind w:firstLine="560"/>
        <w:rPr>
          <w:rFonts w:ascii="Times New Roman" w:hAnsi="Times New Roman" w:eastAsia="仿宋_GB2312"/>
          <w:szCs w:val="24"/>
        </w:rPr>
      </w:pPr>
      <w:r>
        <w:rPr>
          <w:rFonts w:ascii="Times New Roman" w:hAnsi="Times New Roman" w:eastAsia="仿宋_GB2312"/>
          <w:szCs w:val="24"/>
        </w:rPr>
        <w:t>（6）地方政府和相关部门确定可以应急终止的其他情况。</w:t>
      </w:r>
    </w:p>
    <w:p>
      <w:pPr>
        <w:keepNext/>
        <w:keepLines/>
        <w:snapToGrid w:val="0"/>
        <w:ind w:firstLine="0" w:firstLineChars="0"/>
        <w:jc w:val="left"/>
        <w:outlineLvl w:val="1"/>
        <w:rPr>
          <w:rFonts w:ascii="Times New Roman" w:hAnsi="Times New Roman" w:eastAsia="仿宋_GB2312"/>
          <w:b/>
          <w:bCs/>
          <w:szCs w:val="28"/>
        </w:rPr>
      </w:pPr>
      <w:bookmarkStart w:id="299" w:name="_Toc93062928"/>
      <w:r>
        <w:rPr>
          <w:rFonts w:ascii="Times New Roman" w:hAnsi="Times New Roman" w:eastAsia="仿宋_GB2312"/>
          <w:b/>
          <w:bCs/>
          <w:szCs w:val="28"/>
        </w:rPr>
        <w:t>6.6.2应急终止程序</w:t>
      </w:r>
      <w:bookmarkEnd w:id="299"/>
    </w:p>
    <w:p>
      <w:pPr>
        <w:ind w:firstLine="560"/>
        <w:rPr>
          <w:rFonts w:ascii="Times New Roman" w:hAnsi="Times New Roman" w:eastAsia="仿宋_GB2312"/>
          <w:szCs w:val="24"/>
        </w:rPr>
      </w:pPr>
      <w:r>
        <w:rPr>
          <w:rFonts w:ascii="Times New Roman" w:hAnsi="Times New Roman" w:eastAsia="仿宋_GB2312"/>
          <w:szCs w:val="24"/>
        </w:rPr>
        <w:t>（1）应急指挥中心根据应急监测和初步评估结果，当符合上述规定中任何一种情况，即可下达应急响应终止指令，并决定是否跟踪开展环境监测工作，或由发生事件的责任单位提出，经应急指挥中心批准；</w:t>
      </w:r>
    </w:p>
    <w:p>
      <w:pPr>
        <w:ind w:firstLine="560"/>
        <w:rPr>
          <w:rFonts w:ascii="Times New Roman" w:hAnsi="Times New Roman" w:eastAsia="仿宋_GB2312"/>
          <w:szCs w:val="24"/>
        </w:rPr>
      </w:pPr>
      <w:r>
        <w:rPr>
          <w:rFonts w:ascii="Times New Roman" w:hAnsi="Times New Roman" w:eastAsia="仿宋_GB2312"/>
          <w:szCs w:val="24"/>
        </w:rPr>
        <w:t>（2）现场救援指挥部可向所属各专业救援队伍下达应急终止命令。</w:t>
      </w: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p>
    <w:p>
      <w:pPr>
        <w:autoSpaceDE w:val="0"/>
        <w:autoSpaceDN w:val="0"/>
        <w:snapToGrid w:val="0"/>
        <w:spacing w:line="240" w:lineRule="auto"/>
        <w:ind w:firstLine="0" w:firstLineChars="0"/>
        <w:outlineLvl w:val="0"/>
        <w:rPr>
          <w:rFonts w:ascii="Times New Roman" w:hAnsi="Times New Roman"/>
          <w:b/>
          <w:bCs/>
          <w:sz w:val="36"/>
          <w:szCs w:val="36"/>
        </w:rPr>
      </w:pPr>
      <w:r>
        <w:rPr>
          <w:rFonts w:ascii="Times New Roman" w:hAnsi="Times New Roman"/>
          <w:b/>
          <w:bCs/>
          <w:sz w:val="36"/>
          <w:szCs w:val="36"/>
        </w:rPr>
        <w:br w:type="page"/>
      </w:r>
    </w:p>
    <w:p>
      <w:pPr>
        <w:autoSpaceDE w:val="0"/>
        <w:autoSpaceDN w:val="0"/>
        <w:snapToGrid w:val="0"/>
        <w:spacing w:line="240" w:lineRule="auto"/>
        <w:ind w:firstLine="0" w:firstLineChars="0"/>
        <w:outlineLvl w:val="0"/>
        <w:rPr>
          <w:rFonts w:ascii="Times New Roman" w:hAnsi="Times New Roman"/>
          <w:b/>
          <w:bCs/>
          <w:sz w:val="36"/>
          <w:szCs w:val="36"/>
        </w:rPr>
      </w:pPr>
    </w:p>
    <w:p>
      <w:pPr>
        <w:keepNext/>
        <w:keepLines/>
        <w:spacing w:before="156" w:beforeLines="50" w:after="156" w:afterLines="50"/>
        <w:ind w:firstLine="567" w:firstLineChars="0"/>
        <w:jc w:val="center"/>
        <w:outlineLvl w:val="0"/>
        <w:rPr>
          <w:rFonts w:ascii="Times New Roman" w:hAnsi="Times New Roman" w:eastAsia="仿宋_GB2312"/>
          <w:b/>
          <w:sz w:val="44"/>
          <w:szCs w:val="24"/>
        </w:rPr>
      </w:pPr>
      <w:bookmarkStart w:id="300" w:name="_Toc93062929"/>
      <w:r>
        <w:rPr>
          <w:rFonts w:ascii="Times New Roman" w:hAnsi="Times New Roman" w:eastAsia="仿宋_GB2312"/>
          <w:b/>
          <w:sz w:val="44"/>
          <w:szCs w:val="24"/>
        </w:rPr>
        <w:t>7、后期处置</w:t>
      </w:r>
      <w:bookmarkEnd w:id="298"/>
      <w:bookmarkEnd w:id="300"/>
    </w:p>
    <w:p>
      <w:pPr>
        <w:keepNext/>
        <w:keepLines/>
        <w:snapToGrid w:val="0"/>
        <w:ind w:firstLine="0" w:firstLineChars="0"/>
        <w:jc w:val="left"/>
        <w:outlineLvl w:val="1"/>
        <w:rPr>
          <w:rFonts w:ascii="Times New Roman" w:hAnsi="Times New Roman" w:eastAsia="仿宋_GB2312"/>
          <w:b/>
          <w:bCs/>
          <w:sz w:val="32"/>
          <w:szCs w:val="32"/>
        </w:rPr>
      </w:pPr>
      <w:bookmarkStart w:id="301" w:name="_Toc29312314"/>
      <w:bookmarkEnd w:id="301"/>
      <w:bookmarkStart w:id="302" w:name="_Toc28021930"/>
      <w:bookmarkEnd w:id="302"/>
      <w:bookmarkStart w:id="303" w:name="_Toc507012488"/>
      <w:bookmarkEnd w:id="303"/>
      <w:bookmarkStart w:id="304" w:name="_Toc507012545"/>
      <w:bookmarkEnd w:id="304"/>
      <w:bookmarkStart w:id="305" w:name="_Toc29887759"/>
      <w:bookmarkEnd w:id="305"/>
      <w:bookmarkStart w:id="306" w:name="_Toc40971425"/>
      <w:bookmarkEnd w:id="306"/>
      <w:bookmarkStart w:id="307" w:name="_Toc507012698"/>
      <w:bookmarkEnd w:id="307"/>
      <w:bookmarkStart w:id="308" w:name="_Toc93062930"/>
      <w:bookmarkStart w:id="309" w:name="_Toc28020452"/>
      <w:r>
        <w:rPr>
          <w:rFonts w:ascii="Times New Roman" w:hAnsi="Times New Roman" w:eastAsia="仿宋_GB2312"/>
          <w:b/>
          <w:bCs/>
          <w:sz w:val="32"/>
          <w:szCs w:val="32"/>
        </w:rPr>
        <w:t>7.1现场洗消</w:t>
      </w:r>
      <w:bookmarkEnd w:id="308"/>
      <w:bookmarkEnd w:id="309"/>
    </w:p>
    <w:p>
      <w:pPr>
        <w:snapToGrid w:val="0"/>
        <w:ind w:right="-372" w:rightChars="-133" w:firstLine="560"/>
        <w:jc w:val="left"/>
        <w:rPr>
          <w:rFonts w:ascii="Times New Roman" w:hAnsi="Times New Roman"/>
          <w:szCs w:val="28"/>
        </w:rPr>
      </w:pPr>
      <w:r>
        <w:rPr>
          <w:rFonts w:ascii="Times New Roman" w:hAnsi="Times New Roman"/>
          <w:szCs w:val="28"/>
        </w:rPr>
        <w:t>应急救援终止后，</w:t>
      </w:r>
      <w:bookmarkStart w:id="310" w:name="_Toc313373598"/>
      <w:r>
        <w:rPr>
          <w:rFonts w:ascii="Times New Roman" w:hAnsi="Times New Roman"/>
          <w:szCs w:val="28"/>
        </w:rPr>
        <w:t>由专业人员采取防护措施之后进入现场进行检查：除按照综合预案进行的各项检查外，根据土壤环境污染的特点，企业应针对现场泄漏物质或废水、固废进行有效的处置，不能随意进行丢弃，及时清理现场剩余的污染源，避免进一步污染土壤环境。</w:t>
      </w:r>
      <w:bookmarkEnd w:id="310"/>
    </w:p>
    <w:p>
      <w:pPr>
        <w:keepNext/>
        <w:keepLines/>
        <w:snapToGrid w:val="0"/>
        <w:ind w:firstLine="0" w:firstLineChars="0"/>
        <w:jc w:val="left"/>
        <w:outlineLvl w:val="1"/>
        <w:rPr>
          <w:rFonts w:ascii="Times New Roman" w:hAnsi="Times New Roman" w:eastAsia="仿宋_GB2312"/>
          <w:b/>
          <w:bCs/>
          <w:sz w:val="32"/>
          <w:szCs w:val="32"/>
        </w:rPr>
      </w:pPr>
      <w:bookmarkStart w:id="311" w:name="_Toc29887760"/>
      <w:bookmarkEnd w:id="311"/>
      <w:bookmarkStart w:id="312" w:name="_Toc29312315"/>
      <w:bookmarkEnd w:id="312"/>
      <w:bookmarkStart w:id="313" w:name="_Toc28020453"/>
      <w:bookmarkEnd w:id="313"/>
      <w:bookmarkStart w:id="314" w:name="_Toc507012699"/>
      <w:bookmarkEnd w:id="314"/>
      <w:bookmarkStart w:id="315" w:name="_Toc40971426"/>
      <w:bookmarkEnd w:id="315"/>
      <w:bookmarkStart w:id="316" w:name="_Toc507012546"/>
      <w:bookmarkEnd w:id="316"/>
      <w:bookmarkStart w:id="317" w:name="_Toc507012489"/>
      <w:bookmarkEnd w:id="317"/>
      <w:bookmarkStart w:id="318" w:name="_Toc93062931"/>
      <w:bookmarkStart w:id="319" w:name="_Toc28021931"/>
      <w:r>
        <w:rPr>
          <w:rFonts w:ascii="Times New Roman" w:hAnsi="Times New Roman" w:eastAsia="仿宋_GB2312"/>
          <w:b/>
          <w:bCs/>
          <w:sz w:val="32"/>
          <w:szCs w:val="32"/>
        </w:rPr>
        <w:t>7.2生产秩序恢复</w:t>
      </w:r>
      <w:bookmarkEnd w:id="318"/>
      <w:bookmarkEnd w:id="319"/>
    </w:p>
    <w:p>
      <w:pPr>
        <w:snapToGrid w:val="0"/>
        <w:ind w:right="-372" w:rightChars="-133" w:firstLine="560"/>
        <w:jc w:val="left"/>
        <w:rPr>
          <w:rFonts w:ascii="Times New Roman" w:hAnsi="Times New Roman"/>
          <w:szCs w:val="28"/>
        </w:rPr>
      </w:pPr>
      <w:bookmarkStart w:id="320" w:name="_Toc507012490"/>
      <w:bookmarkEnd w:id="320"/>
      <w:bookmarkStart w:id="321" w:name="_Toc507012700"/>
      <w:bookmarkEnd w:id="321"/>
      <w:bookmarkStart w:id="322" w:name="_Toc507012547"/>
      <w:r>
        <w:rPr>
          <w:rFonts w:ascii="Times New Roman" w:hAnsi="Times New Roman"/>
          <w:szCs w:val="28"/>
        </w:rPr>
        <w:t>确认事件调查现场需要收集的证据已经收集、取证完毕</w:t>
      </w:r>
      <w:bookmarkEnd w:id="322"/>
      <w:bookmarkStart w:id="323" w:name="_Toc313373611"/>
      <w:r>
        <w:rPr>
          <w:rFonts w:ascii="Times New Roman" w:hAnsi="Times New Roman"/>
          <w:szCs w:val="28"/>
        </w:rPr>
        <w:t>，事件现场的危险化学品泄漏物已经进行洗消、清洗</w:t>
      </w:r>
      <w:bookmarkEnd w:id="323"/>
      <w:r>
        <w:rPr>
          <w:rFonts w:ascii="Times New Roman" w:hAnsi="Times New Roman"/>
          <w:szCs w:val="28"/>
        </w:rPr>
        <w:t>后。由应急指挥中心上报总指挥、副总指挥批准后，方可安排生产恢复工作。</w:t>
      </w:r>
    </w:p>
    <w:p>
      <w:pPr>
        <w:snapToGrid w:val="0"/>
        <w:ind w:right="-372" w:rightChars="-133" w:firstLine="560"/>
        <w:jc w:val="left"/>
        <w:rPr>
          <w:rFonts w:ascii="Times New Roman" w:hAnsi="Times New Roman"/>
          <w:szCs w:val="28"/>
        </w:rPr>
      </w:pPr>
      <w:r>
        <w:rPr>
          <w:rFonts w:ascii="Times New Roman" w:hAnsi="Times New Roman"/>
          <w:szCs w:val="28"/>
        </w:rPr>
        <w:t>生产秩序恢复工作由公司统一安排，并编制详细的恢复工作实施方案。</w:t>
      </w:r>
    </w:p>
    <w:p>
      <w:pPr>
        <w:snapToGrid w:val="0"/>
        <w:ind w:right="-372" w:rightChars="-133" w:firstLine="560"/>
        <w:jc w:val="left"/>
        <w:rPr>
          <w:rFonts w:ascii="Times New Roman" w:hAnsi="Times New Roman"/>
          <w:szCs w:val="28"/>
        </w:rPr>
      </w:pPr>
      <w:r>
        <w:rPr>
          <w:rFonts w:ascii="Times New Roman" w:hAnsi="Times New Roman"/>
          <w:szCs w:val="28"/>
        </w:rPr>
        <w:t>恢复工作实施方案上报公司安全生产委员会或上级政府主管部门，经批准同意后方可恢复生产，</w:t>
      </w:r>
    </w:p>
    <w:p>
      <w:pPr>
        <w:snapToGrid w:val="0"/>
        <w:ind w:right="-372" w:rightChars="-133" w:firstLine="560"/>
        <w:jc w:val="left"/>
        <w:rPr>
          <w:rFonts w:ascii="Times New Roman" w:hAnsi="Times New Roman"/>
          <w:szCs w:val="28"/>
        </w:rPr>
      </w:pPr>
      <w:r>
        <w:rPr>
          <w:rFonts w:ascii="Times New Roman" w:hAnsi="Times New Roman"/>
          <w:szCs w:val="28"/>
        </w:rPr>
        <w:t>若上级管理部门要进行现场验收时，须经验收同意后再恢复生产；</w:t>
      </w:r>
      <w:bookmarkStart w:id="324" w:name="_Toc313373623"/>
      <w:r>
        <w:rPr>
          <w:rFonts w:ascii="Times New Roman" w:hAnsi="Times New Roman"/>
          <w:szCs w:val="28"/>
        </w:rPr>
        <w:t>若验收中发现仍存在问题需要整改时，必须立即进行整改，并经过再次验收通过后，方可正式恢复生产。</w:t>
      </w:r>
      <w:bookmarkEnd w:id="324"/>
    </w:p>
    <w:p>
      <w:pPr>
        <w:keepNext/>
        <w:keepLines/>
        <w:snapToGrid w:val="0"/>
        <w:ind w:firstLine="0" w:firstLineChars="0"/>
        <w:jc w:val="left"/>
        <w:outlineLvl w:val="1"/>
        <w:rPr>
          <w:rFonts w:ascii="Times New Roman" w:hAnsi="Times New Roman" w:eastAsia="仿宋_GB2312"/>
          <w:b/>
          <w:bCs/>
          <w:sz w:val="32"/>
          <w:szCs w:val="32"/>
        </w:rPr>
      </w:pPr>
      <w:bookmarkStart w:id="325" w:name="_Toc40971427"/>
      <w:bookmarkEnd w:id="325"/>
      <w:bookmarkStart w:id="326" w:name="_Toc29312316"/>
      <w:bookmarkEnd w:id="326"/>
      <w:bookmarkStart w:id="327" w:name="_Toc28021932"/>
      <w:bookmarkEnd w:id="327"/>
      <w:bookmarkStart w:id="328" w:name="_Toc28020454"/>
      <w:bookmarkEnd w:id="328"/>
      <w:bookmarkStart w:id="329" w:name="_Toc29887761"/>
      <w:bookmarkStart w:id="330" w:name="_Toc93062932"/>
      <w:r>
        <w:rPr>
          <w:rFonts w:ascii="Times New Roman" w:hAnsi="Times New Roman" w:eastAsia="仿宋_GB2312"/>
          <w:b/>
          <w:bCs/>
          <w:sz w:val="32"/>
          <w:szCs w:val="32"/>
        </w:rPr>
        <w:t>7.3善后赔偿</w:t>
      </w:r>
      <w:bookmarkEnd w:id="329"/>
      <w:bookmarkEnd w:id="330"/>
    </w:p>
    <w:p>
      <w:pPr>
        <w:snapToGrid w:val="0"/>
        <w:ind w:right="-372" w:rightChars="-133" w:firstLine="560"/>
        <w:jc w:val="left"/>
        <w:rPr>
          <w:rFonts w:ascii="Times New Roman" w:hAnsi="Times New Roman"/>
          <w:szCs w:val="28"/>
        </w:rPr>
      </w:pPr>
      <w:bookmarkStart w:id="331" w:name="_Toc241053056"/>
      <w:bookmarkEnd w:id="331"/>
      <w:bookmarkStart w:id="332" w:name="_Toc507012701"/>
      <w:bookmarkEnd w:id="332"/>
      <w:bookmarkStart w:id="333" w:name="_Toc242849966"/>
      <w:bookmarkEnd w:id="333"/>
      <w:bookmarkStart w:id="334" w:name="_Toc507012491"/>
      <w:bookmarkEnd w:id="334"/>
      <w:bookmarkStart w:id="335" w:name="_Toc1648"/>
      <w:bookmarkEnd w:id="335"/>
      <w:bookmarkStart w:id="336" w:name="_Toc507012548"/>
      <w:bookmarkEnd w:id="336"/>
      <w:bookmarkStart w:id="337" w:name="_Toc243218026"/>
      <w:bookmarkEnd w:id="337"/>
      <w:bookmarkStart w:id="338" w:name="_Toc327952183"/>
      <w:r>
        <w:rPr>
          <w:rFonts w:ascii="Times New Roman" w:hAnsi="Times New Roman"/>
          <w:szCs w:val="28"/>
        </w:rPr>
        <w:t>针对土壤应急方面，善后赔偿主要是针对土壤环境污染后的治理与赔偿，对厂区外土壤环境污染造成的损失进行赔偿，同时针对土壤环境污染提出合理有效的治理方案，直至消除土壤环境的污染。</w:t>
      </w:r>
      <w:bookmarkEnd w:id="338"/>
    </w:p>
    <w:p>
      <w:pPr>
        <w:keepNext/>
        <w:keepLines/>
        <w:snapToGrid w:val="0"/>
        <w:ind w:firstLine="0" w:firstLineChars="0"/>
        <w:jc w:val="left"/>
        <w:outlineLvl w:val="1"/>
        <w:rPr>
          <w:rFonts w:ascii="Times New Roman" w:hAnsi="Times New Roman" w:eastAsia="仿宋_GB2312"/>
          <w:b/>
          <w:bCs/>
          <w:sz w:val="32"/>
          <w:szCs w:val="32"/>
        </w:rPr>
      </w:pPr>
      <w:bookmarkStart w:id="339" w:name="_Toc29312317"/>
      <w:bookmarkEnd w:id="339"/>
      <w:bookmarkStart w:id="340" w:name="_Toc29887762"/>
      <w:bookmarkEnd w:id="340"/>
      <w:bookmarkStart w:id="341" w:name="_Toc28020455"/>
      <w:bookmarkEnd w:id="341"/>
      <w:bookmarkStart w:id="342" w:name="_Toc40971428"/>
      <w:bookmarkEnd w:id="342"/>
      <w:bookmarkStart w:id="343" w:name="_Toc93062933"/>
      <w:bookmarkStart w:id="344" w:name="_Toc28021933"/>
      <w:r>
        <w:rPr>
          <w:rFonts w:ascii="Times New Roman" w:hAnsi="Times New Roman" w:eastAsia="仿宋_GB2312"/>
          <w:b/>
          <w:bCs/>
          <w:sz w:val="32"/>
          <w:szCs w:val="32"/>
        </w:rPr>
        <w:t>7.4土壤环境恢复</w:t>
      </w:r>
      <w:bookmarkEnd w:id="343"/>
      <w:bookmarkEnd w:id="344"/>
    </w:p>
    <w:p>
      <w:pPr>
        <w:snapToGrid w:val="0"/>
        <w:ind w:right="-372" w:rightChars="-133" w:firstLine="560"/>
        <w:jc w:val="left"/>
        <w:rPr>
          <w:rFonts w:ascii="Times New Roman" w:hAnsi="Times New Roman"/>
          <w:szCs w:val="28"/>
        </w:rPr>
      </w:pPr>
      <w:r>
        <w:rPr>
          <w:rFonts w:ascii="Times New Roman" w:hAnsi="Times New Roman"/>
          <w:szCs w:val="28"/>
        </w:rPr>
        <w:t>根据事故发生后土壤环境的监测结果，咨询专家和政府部分的意见及时对土壤进行修复，不能有效修复的应采用科学合理的方法控制污染的土壤的扩散，减少对周边土壤环境的污染。</w:t>
      </w:r>
    </w:p>
    <w:p>
      <w:pPr>
        <w:keepNext/>
        <w:keepLines/>
        <w:snapToGrid w:val="0"/>
        <w:ind w:firstLine="0" w:firstLineChars="0"/>
        <w:jc w:val="left"/>
        <w:outlineLvl w:val="1"/>
        <w:rPr>
          <w:rFonts w:ascii="Times New Roman" w:hAnsi="Times New Roman" w:eastAsia="仿宋_GB2312"/>
          <w:b/>
          <w:bCs/>
          <w:sz w:val="32"/>
          <w:szCs w:val="32"/>
        </w:rPr>
      </w:pPr>
      <w:bookmarkStart w:id="345" w:name="_Toc243218027"/>
      <w:bookmarkEnd w:id="345"/>
      <w:bookmarkStart w:id="346" w:name="_Toc28021934"/>
      <w:bookmarkEnd w:id="346"/>
      <w:bookmarkStart w:id="347" w:name="_Toc29312318"/>
      <w:bookmarkEnd w:id="347"/>
      <w:bookmarkStart w:id="348" w:name="_Toc327952184"/>
      <w:bookmarkEnd w:id="348"/>
      <w:bookmarkStart w:id="349" w:name="_Toc507012702"/>
      <w:bookmarkEnd w:id="349"/>
      <w:bookmarkStart w:id="350" w:name="_Toc28020456"/>
      <w:bookmarkEnd w:id="350"/>
      <w:bookmarkStart w:id="351" w:name="_Toc507012549"/>
      <w:bookmarkEnd w:id="351"/>
      <w:bookmarkStart w:id="352" w:name="_Toc40971429"/>
      <w:bookmarkEnd w:id="352"/>
      <w:bookmarkStart w:id="353" w:name="_Toc507012492"/>
      <w:bookmarkEnd w:id="353"/>
      <w:bookmarkStart w:id="354" w:name="_Toc242849967"/>
      <w:bookmarkEnd w:id="354"/>
      <w:bookmarkStart w:id="355" w:name="_Toc241053057"/>
      <w:bookmarkEnd w:id="355"/>
      <w:bookmarkStart w:id="356" w:name="_Toc29887763"/>
      <w:bookmarkEnd w:id="356"/>
      <w:bookmarkStart w:id="357" w:name="_Toc11369"/>
      <w:bookmarkStart w:id="358" w:name="_Toc93062934"/>
      <w:r>
        <w:rPr>
          <w:rFonts w:ascii="Times New Roman" w:hAnsi="Times New Roman" w:eastAsia="仿宋_GB2312"/>
          <w:b/>
          <w:bCs/>
          <w:sz w:val="32"/>
          <w:szCs w:val="32"/>
        </w:rPr>
        <w:t>7.5事件</w:t>
      </w:r>
      <w:bookmarkEnd w:id="357"/>
      <w:r>
        <w:rPr>
          <w:rFonts w:ascii="Times New Roman" w:hAnsi="Times New Roman" w:eastAsia="仿宋_GB2312"/>
          <w:b/>
          <w:bCs/>
          <w:sz w:val="32"/>
          <w:szCs w:val="32"/>
        </w:rPr>
        <w:fldChar w:fldCharType="begin"/>
      </w:r>
      <w:r>
        <w:rPr>
          <w:rFonts w:ascii="Times New Roman" w:hAnsi="Times New Roman" w:eastAsia="仿宋_GB2312"/>
          <w:b/>
          <w:bCs/>
          <w:sz w:val="32"/>
          <w:szCs w:val="32"/>
        </w:rPr>
        <w:instrText xml:space="preserve"> HYPERLINK "http://baike.baidu.com/view/164088.htm" </w:instrText>
      </w:r>
      <w:r>
        <w:rPr>
          <w:rFonts w:ascii="Times New Roman" w:hAnsi="Times New Roman" w:eastAsia="仿宋_GB2312"/>
          <w:b/>
          <w:bCs/>
          <w:sz w:val="32"/>
          <w:szCs w:val="32"/>
        </w:rPr>
        <w:fldChar w:fldCharType="separate"/>
      </w:r>
      <w:r>
        <w:rPr>
          <w:rFonts w:ascii="Times New Roman" w:hAnsi="Times New Roman" w:eastAsia="仿宋_GB2312"/>
          <w:b/>
          <w:bCs/>
          <w:sz w:val="32"/>
          <w:szCs w:val="32"/>
        </w:rPr>
        <w:t>调查报告</w:t>
      </w:r>
      <w:r>
        <w:rPr>
          <w:rFonts w:ascii="Times New Roman" w:hAnsi="Times New Roman" w:eastAsia="仿宋_GB2312"/>
          <w:b/>
          <w:bCs/>
          <w:sz w:val="32"/>
          <w:szCs w:val="32"/>
        </w:rPr>
        <w:fldChar w:fldCharType="end"/>
      </w:r>
      <w:r>
        <w:rPr>
          <w:rFonts w:ascii="Times New Roman" w:hAnsi="Times New Roman" w:eastAsia="仿宋_GB2312"/>
          <w:b/>
          <w:bCs/>
          <w:sz w:val="32"/>
          <w:szCs w:val="32"/>
        </w:rPr>
        <w:t>和经验教训总结及改进建议</w:t>
      </w:r>
      <w:bookmarkEnd w:id="358"/>
    </w:p>
    <w:p>
      <w:pPr>
        <w:snapToGrid w:val="0"/>
        <w:ind w:right="-372" w:rightChars="-133" w:firstLine="560"/>
        <w:jc w:val="left"/>
        <w:rPr>
          <w:rFonts w:ascii="Times New Roman" w:hAnsi="Times New Roman"/>
          <w:szCs w:val="28"/>
        </w:rPr>
      </w:pPr>
      <w:r>
        <w:rPr>
          <w:rFonts w:ascii="Times New Roman" w:hAnsi="Times New Roman"/>
          <w:szCs w:val="28"/>
        </w:rPr>
        <w:t>企业在进行现场应急的同时，领导小组办公室就要抓紧进行现场调查取证工作，全面收集有关事件发生的原因，危害及其损失等方面的证据和资料，必要时要组织有关部门和专业技术人员进行技术鉴定，对于涉及刑事犯罪的，应当请求公安司法部门介入和参与调查取证工作。</w:t>
      </w:r>
    </w:p>
    <w:p>
      <w:pPr>
        <w:snapToGrid w:val="0"/>
        <w:ind w:right="-372" w:rightChars="-133" w:firstLine="560"/>
        <w:jc w:val="left"/>
        <w:rPr>
          <w:rFonts w:ascii="Times New Roman" w:hAnsi="Times New Roman"/>
          <w:szCs w:val="28"/>
        </w:rPr>
      </w:pPr>
      <w:r>
        <w:rPr>
          <w:rFonts w:ascii="Times New Roman" w:hAnsi="Times New Roman"/>
          <w:szCs w:val="28"/>
        </w:rPr>
        <w:t>现场应急处理工作告一段落后，由领导小组办公室根据调查取证情况，依据相关制度，拟定追究事件责任部门和责任人的意见，报领导小组审批，对于触犯刑法的，移交司法机关追究刑事责任。</w:t>
      </w:r>
    </w:p>
    <w:p>
      <w:pPr>
        <w:snapToGrid w:val="0"/>
        <w:ind w:right="-372" w:rightChars="-133" w:firstLine="560"/>
        <w:jc w:val="left"/>
        <w:rPr>
          <w:rFonts w:ascii="Times New Roman" w:hAnsi="Times New Roman"/>
          <w:szCs w:val="28"/>
        </w:rPr>
      </w:pPr>
      <w:r>
        <w:rPr>
          <w:rFonts w:ascii="Times New Roman" w:hAnsi="Times New Roman"/>
          <w:szCs w:val="28"/>
        </w:rPr>
        <w:t>突发环境事件善后处置工作结束后，现场应急救援指挥部分析总结应急救援经验教训，提出改进应急救援工作的建议。根据调查数据，以及事件发生的原因、过程、进展情况及采取的应急措施等基本情况，以书面报告形式，报告处理事件的措施、过程和结果，事件潜在或间接的危害、社会影响、处理后的遗留问题，参加处理工作的有关部门和工作内容，最终完成应急救援总结报告并及时上报。</w:t>
      </w:r>
    </w:p>
    <w:p>
      <w:pPr>
        <w:spacing w:line="240" w:lineRule="auto"/>
        <w:ind w:firstLine="0" w:firstLineChars="0"/>
        <w:jc w:val="left"/>
        <w:rPr>
          <w:rFonts w:ascii="Times New Roman" w:hAnsi="Times New Roman"/>
          <w:szCs w:val="28"/>
        </w:rPr>
      </w:pPr>
    </w:p>
    <w:p>
      <w:pPr>
        <w:ind w:firstLine="560"/>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VlY2Q2NGY2ZTFhMDUwYTExNTllZDBkZDlmNjVjZjYifQ=="/>
  </w:docVars>
  <w:rsids>
    <w:rsidRoot w:val="00807BFC"/>
    <w:rsid w:val="0048630E"/>
    <w:rsid w:val="0071339C"/>
    <w:rsid w:val="007F0EA2"/>
    <w:rsid w:val="00807BFC"/>
    <w:rsid w:val="008F0C2A"/>
    <w:rsid w:val="00A46325"/>
    <w:rsid w:val="00AD1F7C"/>
    <w:rsid w:val="00B4210A"/>
    <w:rsid w:val="00E515AB"/>
    <w:rsid w:val="119063E2"/>
    <w:rsid w:val="25FC0021"/>
    <w:rsid w:val="49AE49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20" w:lineRule="exact"/>
      <w:ind w:firstLine="200" w:firstLineChars="200"/>
      <w:jc w:val="both"/>
    </w:pPr>
    <w:rPr>
      <w:rFonts w:ascii="Calibri" w:hAnsi="Calibri" w:eastAsia="仿宋" w:cs="Times New Roman"/>
      <w:kern w:val="2"/>
      <w:sz w:val="28"/>
      <w:szCs w:val="20"/>
      <w:lang w:val="en-US" w:eastAsia="zh-CN" w:bidi="ar-SA"/>
    </w:rPr>
  </w:style>
  <w:style w:type="paragraph" w:styleId="2">
    <w:name w:val="heading 1"/>
    <w:basedOn w:val="1"/>
    <w:next w:val="1"/>
    <w:link w:val="10"/>
    <w:qFormat/>
    <w:uiPriority w:val="9"/>
    <w:pPr>
      <w:keepNext/>
      <w:keepLines/>
      <w:spacing w:line="240" w:lineRule="auto"/>
      <w:ind w:firstLine="0" w:firstLineChars="0"/>
      <w:outlineLvl w:val="0"/>
    </w:pPr>
    <w:rPr>
      <w:b/>
      <w:bCs/>
      <w:kern w:val="44"/>
      <w:sz w:val="44"/>
      <w:szCs w:val="44"/>
    </w:rPr>
  </w:style>
  <w:style w:type="paragraph" w:styleId="3">
    <w:name w:val="heading 3"/>
    <w:basedOn w:val="1"/>
    <w:next w:val="1"/>
    <w:link w:val="11"/>
    <w:qFormat/>
    <w:uiPriority w:val="9"/>
    <w:pPr>
      <w:keepNext/>
      <w:keepLines/>
      <w:spacing w:line="240" w:lineRule="auto"/>
      <w:ind w:firstLine="0" w:firstLineChars="0"/>
      <w:outlineLvl w:val="2"/>
    </w:pPr>
    <w:rPr>
      <w:rFonts w:ascii="Times New Roman" w:hAnsi="Times New Roman"/>
      <w:b/>
      <w:bCs/>
      <w:sz w:val="30"/>
      <w:szCs w:val="32"/>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footer"/>
    <w:basedOn w:val="1"/>
    <w:link w:val="9"/>
    <w:unhideWhenUsed/>
    <w:uiPriority w:val="99"/>
    <w:pPr>
      <w:tabs>
        <w:tab w:val="center" w:pos="4153"/>
        <w:tab w:val="right" w:pos="8306"/>
      </w:tabs>
      <w:snapToGrid w:val="0"/>
      <w:spacing w:line="240" w:lineRule="auto"/>
      <w:ind w:firstLine="0" w:firstLineChars="0"/>
      <w:jc w:val="left"/>
    </w:pPr>
    <w:rPr>
      <w:rFonts w:asciiTheme="minorHAnsi" w:hAnsiTheme="minorHAnsi" w:eastAsiaTheme="minorEastAsia" w:cstheme="minorBidi"/>
      <w:sz w:val="18"/>
      <w:szCs w:val="18"/>
    </w:rPr>
  </w:style>
  <w:style w:type="paragraph" w:styleId="5">
    <w:name w:val="header"/>
    <w:basedOn w:val="1"/>
    <w:link w:val="8"/>
    <w:unhideWhenUsed/>
    <w:uiPriority w:val="99"/>
    <w:pPr>
      <w:pBdr>
        <w:bottom w:val="single" w:color="auto" w:sz="6" w:space="1"/>
      </w:pBdr>
      <w:tabs>
        <w:tab w:val="center" w:pos="4153"/>
        <w:tab w:val="right" w:pos="8306"/>
      </w:tabs>
      <w:snapToGrid w:val="0"/>
      <w:spacing w:line="240" w:lineRule="auto"/>
      <w:ind w:firstLine="0" w:firstLineChars="0"/>
      <w:jc w:val="center"/>
    </w:pPr>
    <w:rPr>
      <w:rFonts w:asciiTheme="minorHAnsi" w:hAnsiTheme="minorHAnsi" w:eastAsiaTheme="minorEastAsia" w:cstheme="minorBidi"/>
      <w:sz w:val="18"/>
      <w:szCs w:val="18"/>
    </w:rPr>
  </w:style>
  <w:style w:type="character" w:customStyle="1" w:styleId="8">
    <w:name w:val="页眉 Char"/>
    <w:basedOn w:val="7"/>
    <w:link w:val="5"/>
    <w:uiPriority w:val="99"/>
    <w:rPr>
      <w:sz w:val="18"/>
      <w:szCs w:val="18"/>
    </w:rPr>
  </w:style>
  <w:style w:type="character" w:customStyle="1" w:styleId="9">
    <w:name w:val="页脚 Char"/>
    <w:basedOn w:val="7"/>
    <w:link w:val="4"/>
    <w:uiPriority w:val="99"/>
    <w:rPr>
      <w:sz w:val="18"/>
      <w:szCs w:val="18"/>
    </w:rPr>
  </w:style>
  <w:style w:type="character" w:customStyle="1" w:styleId="10">
    <w:name w:val="标题 1 Char"/>
    <w:basedOn w:val="7"/>
    <w:link w:val="2"/>
    <w:qFormat/>
    <w:uiPriority w:val="9"/>
    <w:rPr>
      <w:rFonts w:ascii="Calibri" w:hAnsi="Calibri" w:eastAsia="仿宋" w:cs="Times New Roman"/>
      <w:b/>
      <w:bCs/>
      <w:kern w:val="44"/>
      <w:sz w:val="44"/>
      <w:szCs w:val="44"/>
    </w:rPr>
  </w:style>
  <w:style w:type="character" w:customStyle="1" w:styleId="11">
    <w:name w:val="标题 3 Char"/>
    <w:basedOn w:val="7"/>
    <w:link w:val="3"/>
    <w:qFormat/>
    <w:uiPriority w:val="9"/>
    <w:rPr>
      <w:rFonts w:ascii="Times New Roman" w:hAnsi="Times New Roman" w:eastAsia="仿宋" w:cs="Times New Roman"/>
      <w:b/>
      <w:bCs/>
      <w:sz w:val="30"/>
      <w:szCs w:val="32"/>
    </w:rPr>
  </w:style>
  <w:style w:type="character" w:customStyle="1" w:styleId="12">
    <w:name w:val="表格内容 Char"/>
    <w:link w:val="13"/>
    <w:qFormat/>
    <w:uiPriority w:val="0"/>
    <w:rPr>
      <w:rFonts w:hAnsi="宋体" w:eastAsia="仿宋"/>
      <w:sz w:val="24"/>
      <w:szCs w:val="24"/>
    </w:rPr>
  </w:style>
  <w:style w:type="paragraph" w:customStyle="1" w:styleId="13">
    <w:name w:val="表格内容"/>
    <w:basedOn w:val="1"/>
    <w:next w:val="1"/>
    <w:link w:val="12"/>
    <w:qFormat/>
    <w:uiPriority w:val="0"/>
    <w:pPr>
      <w:spacing w:line="264" w:lineRule="auto"/>
      <w:ind w:firstLine="0" w:firstLineChars="0"/>
      <w:jc w:val="center"/>
    </w:pPr>
    <w:rPr>
      <w:rFonts w:hAnsi="宋体" w:asciiTheme="minorHAnsi" w:cstheme="minorBidi"/>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5D3230-72B6-495D-B87C-2A94C5BAE1E1}">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18</Pages>
  <Words>6917</Words>
  <Characters>7530</Characters>
  <Lines>58</Lines>
  <Paragraphs>16</Paragraphs>
  <TotalTime>362</TotalTime>
  <ScaleCrop>false</ScaleCrop>
  <LinksUpToDate>false</LinksUpToDate>
  <CharactersWithSpaces>7557</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2022-08-24T02:55:00Z</dcterms:created>
  <dc:creator>China</dc:creator>
  <cp:lastModifiedBy>WPS_1627292286</cp:lastModifiedBy>
  <cp:lastPrinted>2022-08-26T07:48:08Z</cp:lastPrinted>
  <dcterms:modified xsi:type="dcterms:W3CDTF">2022-08-26T07:53:42Z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4A8F578AE17D4110A0EEE068EB1D9D04</vt:lpwstr>
  </property>
</Properties>
</file>