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1E40E">
      <w:pPr>
        <w:ind w:firstLine="0" w:firstLineChars="0"/>
        <w:jc w:val="center"/>
        <w:rPr>
          <w:rFonts w:hint="eastAsia"/>
          <w:b/>
          <w:sz w:val="32"/>
          <w:szCs w:val="28"/>
          <w:lang w:eastAsia="zh-CN"/>
        </w:rPr>
      </w:pPr>
      <w:r>
        <w:rPr>
          <w:rFonts w:hint="eastAsia"/>
          <w:b/>
          <w:sz w:val="32"/>
          <w:szCs w:val="28"/>
          <w:lang w:eastAsia="zh-CN"/>
        </w:rPr>
        <w:t>郑州正升置业有限公司正升阳光城小区（三期）建设项目</w:t>
      </w:r>
    </w:p>
    <w:p w14:paraId="2C60B0A1">
      <w:pPr>
        <w:ind w:firstLine="0" w:firstLineChars="0"/>
        <w:jc w:val="center"/>
        <w:rPr>
          <w:b/>
          <w:sz w:val="32"/>
          <w:szCs w:val="28"/>
        </w:rPr>
      </w:pPr>
      <w:r>
        <w:rPr>
          <w:rFonts w:hint="eastAsia"/>
          <w:b/>
          <w:sz w:val="32"/>
          <w:szCs w:val="28"/>
        </w:rPr>
        <w:t>竣工环境保护验收意见</w:t>
      </w:r>
    </w:p>
    <w:p w14:paraId="35F157FE">
      <w:pPr>
        <w:ind w:firstLine="480"/>
      </w:pPr>
    </w:p>
    <w:p w14:paraId="0AFBF35F">
      <w:pPr>
        <w:keepNext w:val="0"/>
        <w:keepLines w:val="0"/>
        <w:pageBreakBefore w:val="0"/>
        <w:kinsoku/>
        <w:wordWrap/>
        <w:overflowPunct/>
        <w:topLinePunct w:val="0"/>
        <w:autoSpaceDE/>
        <w:autoSpaceDN/>
        <w:bidi w:val="0"/>
        <w:adjustRightInd/>
        <w:snapToGrid/>
        <w:spacing w:line="360" w:lineRule="auto"/>
        <w:ind w:firstLine="480"/>
        <w:textAlignment w:val="auto"/>
      </w:pPr>
      <w:r>
        <w:rPr>
          <w:rFonts w:hint="eastAsia"/>
          <w:lang w:eastAsia="zh-CN"/>
        </w:rPr>
        <w:t>202</w:t>
      </w:r>
      <w:r>
        <w:rPr>
          <w:rFonts w:hint="eastAsia"/>
          <w:lang w:val="en-US" w:eastAsia="zh-CN"/>
        </w:rPr>
        <w:t>4</w:t>
      </w:r>
      <w:r>
        <w:rPr>
          <w:rFonts w:hint="eastAsia"/>
          <w:lang w:eastAsia="zh-CN"/>
        </w:rPr>
        <w:t>年</w:t>
      </w:r>
      <w:r>
        <w:rPr>
          <w:rFonts w:hint="eastAsia"/>
          <w:lang w:val="en-US" w:eastAsia="zh-CN"/>
        </w:rPr>
        <w:t>8</w:t>
      </w:r>
      <w:r>
        <w:rPr>
          <w:rFonts w:hint="eastAsia"/>
          <w:lang w:eastAsia="zh-CN"/>
        </w:rPr>
        <w:t>月</w:t>
      </w:r>
      <w:r>
        <w:rPr>
          <w:rFonts w:hint="eastAsia"/>
          <w:lang w:val="en-US" w:eastAsia="zh-CN"/>
        </w:rPr>
        <w:t>16</w:t>
      </w:r>
      <w:r>
        <w:rPr>
          <w:rFonts w:hint="eastAsia"/>
          <w:lang w:eastAsia="zh-CN"/>
        </w:rPr>
        <w:t>日，郑州正升置业有限公司</w:t>
      </w:r>
      <w:r>
        <w:rPr>
          <w:rFonts w:hint="eastAsia"/>
          <w:lang w:val="en-US" w:eastAsia="zh-CN"/>
        </w:rPr>
        <w:t>组织验收组对</w:t>
      </w:r>
      <w:r>
        <w:rPr>
          <w:rFonts w:hint="eastAsia"/>
          <w:lang w:eastAsia="zh-CN"/>
        </w:rPr>
        <w:t>郑州正升置业有限公司正升阳光城小区（三期）建设项目进行竣工环境保护验收。</w:t>
      </w:r>
      <w:r>
        <w:t>根据《</w:t>
      </w:r>
      <w:r>
        <w:rPr>
          <w:rFonts w:hint="eastAsia"/>
          <w:lang w:eastAsia="zh-CN"/>
        </w:rPr>
        <w:t>郑州正升置业有限公司正升阳光城小区（三期）建设项目</w:t>
      </w:r>
      <w:r>
        <w:t>竣工环境保护验收监测报告表》并对照《建设项目竣工环境保护验收暂行办法》，严格依照国家有关法律法规、建设项目竣工环境保护验收技术规范、本项目环境影响报告表和审批部门审批决定等要求对该项目进行竣工环境保护验收，提出意见如下：</w:t>
      </w:r>
    </w:p>
    <w:p w14:paraId="4C6BA6CB">
      <w:pPr>
        <w:keepNext w:val="0"/>
        <w:keepLines w:val="0"/>
        <w:pageBreakBefore w:val="0"/>
        <w:kinsoku/>
        <w:wordWrap/>
        <w:overflowPunct/>
        <w:topLinePunct w:val="0"/>
        <w:autoSpaceDE/>
        <w:autoSpaceDN/>
        <w:bidi w:val="0"/>
        <w:adjustRightInd/>
        <w:snapToGrid/>
        <w:spacing w:line="360" w:lineRule="auto"/>
        <w:ind w:firstLine="482"/>
        <w:textAlignment w:val="auto"/>
        <w:rPr>
          <w:b/>
          <w:bCs/>
        </w:rPr>
      </w:pPr>
      <w:r>
        <w:rPr>
          <w:rFonts w:hint="eastAsia"/>
          <w:b/>
          <w:bCs/>
        </w:rPr>
        <w:t>一、项目基本情况</w:t>
      </w:r>
    </w:p>
    <w:p w14:paraId="7AE5E36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（一）项目建设地点、规模、主要建设内容</w:t>
      </w:r>
    </w:p>
    <w:p w14:paraId="3615F7D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pPr>
      <w:r>
        <w:rPr>
          <w:rFonts w:hint="default" w:ascii="Times New Roman" w:hAnsi="Times New Roman" w:eastAsia="宋体" w:cs="Times New Roman"/>
          <w:sz w:val="24"/>
          <w:lang w:eastAsia="zh-CN"/>
        </w:rPr>
        <w:t>本项目位于河南省新密市溱水路东与惠丰街交叉</w:t>
      </w:r>
      <w:r>
        <w:rPr>
          <w:rFonts w:hint="default" w:ascii="Times New Roman" w:hAnsi="Times New Roman" w:eastAsia="宋体" w:cs="Times New Roman"/>
          <w:color w:val="auto"/>
          <w:sz w:val="24"/>
          <w:lang w:eastAsia="zh-CN"/>
        </w:rPr>
        <w:t>口，本次验收范围占地面积</w:t>
      </w:r>
      <w:r>
        <w:rPr>
          <w:rFonts w:hint="default" w:ascii="Times New Roman" w:hAnsi="Times New Roman" w:eastAsia="宋体" w:cs="Times New Roman"/>
          <w:bCs/>
          <w:color w:val="auto"/>
          <w:sz w:val="24"/>
          <w:lang w:val="en-US" w:eastAsia="zh-CN"/>
        </w:rPr>
        <w:t>17407.</w:t>
      </w:r>
      <w:r>
        <w:rPr>
          <w:rFonts w:hint="default" w:ascii="Times New Roman" w:hAnsi="Times New Roman" w:eastAsia="宋体" w:cs="Times New Roman"/>
          <w:bCs/>
          <w:color w:val="auto"/>
          <w:sz w:val="24"/>
          <w:szCs w:val="24"/>
          <w:lang w:val="en-US" w:eastAsia="zh-CN"/>
        </w:rPr>
        <w:t>69</w:t>
      </w:r>
      <w:r>
        <w:rPr>
          <w:rFonts w:hint="default" w:ascii="Times New Roman" w:hAnsi="Times New Roman" w:eastAsia="宋体" w:cs="Times New Roman"/>
          <w:color w:val="auto"/>
          <w:sz w:val="24"/>
          <w:szCs w:val="24"/>
          <w:lang w:val="en-US" w:eastAsia="zh-CN"/>
        </w:rPr>
        <w:t>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eastAsia="zh-CN"/>
        </w:rPr>
        <w:t>，</w:t>
      </w:r>
      <w:r>
        <w:rPr>
          <w:rFonts w:hint="eastAsia" w:ascii="Times New Roman" w:hAnsi="Times New Roman" w:cs="Times New Roman"/>
          <w:color w:val="auto"/>
          <w:sz w:val="24"/>
          <w:szCs w:val="24"/>
          <w:lang w:val="en-US" w:eastAsia="zh-CN"/>
        </w:rPr>
        <w:t>建筑面积</w:t>
      </w:r>
      <w:r>
        <w:rPr>
          <w:rFonts w:hint="default" w:ascii="Times New Roman" w:hAnsi="Times New Roman" w:eastAsia="宋体" w:cs="Times New Roman"/>
          <w:lang w:val="en-US" w:eastAsia="zh-CN"/>
        </w:rPr>
        <w:t>107131.98m</w:t>
      </w:r>
      <w:r>
        <w:rPr>
          <w:rFonts w:hint="default" w:ascii="Times New Roman" w:hAnsi="Times New Roman" w:eastAsia="宋体" w:cs="Times New Roman"/>
          <w:vertAlign w:val="superscript"/>
          <w:lang w:val="en-US" w:eastAsia="zh-CN"/>
        </w:rPr>
        <w:t>2</w:t>
      </w:r>
      <w:r>
        <w:rPr>
          <w:rFonts w:hint="eastAsia" w:ascii="Times New Roman" w:hAnsi="Times New Roman" w:cs="Times New Roman"/>
          <w:vertAlign w:val="baseline"/>
          <w:lang w:val="en-US" w:eastAsia="zh-CN"/>
        </w:rPr>
        <w:t>，</w:t>
      </w:r>
      <w:r>
        <w:rPr>
          <w:rFonts w:hint="eastAsia" w:ascii="Times New Roman" w:hAnsi="Times New Roman" w:cs="Times New Roman"/>
          <w:color w:val="auto"/>
          <w:sz w:val="24"/>
          <w:szCs w:val="24"/>
          <w:lang w:val="en-US" w:eastAsia="zh-CN"/>
        </w:rPr>
        <w:t>实际总投资15260万元</w:t>
      </w:r>
      <w:r>
        <w:rPr>
          <w:rFonts w:hint="eastAsia" w:ascii="Times New Roman" w:hAnsi="Times New Roman" w:eastAsia="宋体" w:cs="Times New Roman"/>
          <w:sz w:val="24"/>
          <w:szCs w:val="24"/>
        </w:rPr>
        <w:t>。</w:t>
      </w:r>
    </w:p>
    <w:p w14:paraId="1042396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（二）建设过程及环保审批情况</w:t>
      </w:r>
    </w:p>
    <w:p w14:paraId="46A88C01">
      <w:pPr>
        <w:keepNext w:val="0"/>
        <w:keepLines w:val="0"/>
        <w:pageBreakBefore w:val="0"/>
        <w:widowControl w:val="0"/>
        <w:kinsoku/>
        <w:wordWrap/>
        <w:overflowPunct/>
        <w:topLinePunct w:val="0"/>
        <w:autoSpaceDE/>
        <w:autoSpaceDN/>
        <w:bidi w:val="0"/>
        <w:adjustRightInd/>
        <w:snapToGrid/>
        <w:spacing w:after="0" w:line="360" w:lineRule="auto"/>
        <w:ind w:firstLine="516" w:firstLineChars="200"/>
        <w:jc w:val="both"/>
        <w:textAlignment w:val="auto"/>
        <w:rPr>
          <w:rFonts w:ascii="Times New Roman" w:hAnsi="Times New Roman" w:eastAsia="宋体" w:cs="Times New Roman"/>
          <w:sz w:val="24"/>
          <w:szCs w:val="24"/>
        </w:rPr>
      </w:pPr>
      <w:r>
        <w:rPr>
          <w:rFonts w:hint="default" w:ascii="Times New Roman" w:hAnsi="Times New Roman" w:eastAsia="宋体" w:cs="Times New Roman"/>
          <w:spacing w:val="9"/>
          <w:sz w:val="24"/>
          <w:szCs w:val="24"/>
          <w:lang w:val="en-US" w:eastAsia="zh-CN"/>
        </w:rPr>
        <w:t>2014年8月</w:t>
      </w:r>
      <w:r>
        <w:rPr>
          <w:rFonts w:hint="eastAsia" w:cs="Times New Roman"/>
          <w:sz w:val="24"/>
          <w:szCs w:val="24"/>
          <w:lang w:eastAsia="zh-CN"/>
        </w:rPr>
        <w:t>郑州正升置业有限公司</w:t>
      </w:r>
      <w:r>
        <w:rPr>
          <w:rFonts w:hint="eastAsia" w:ascii="Times New Roman" w:hAnsi="Times New Roman" w:eastAsia="宋体" w:cs="Times New Roman"/>
          <w:sz w:val="24"/>
          <w:szCs w:val="24"/>
        </w:rPr>
        <w:t>委托</w:t>
      </w:r>
      <w:r>
        <w:rPr>
          <w:rFonts w:hint="eastAsia"/>
          <w:sz w:val="24"/>
          <w:lang w:val="en-US" w:eastAsia="zh-CN"/>
        </w:rPr>
        <w:t>成都宁沣环保技术有限公司</w:t>
      </w:r>
      <w:r>
        <w:rPr>
          <w:rFonts w:hint="eastAsia" w:ascii="Times New Roman" w:hAnsi="Times New Roman" w:eastAsia="宋体" w:cs="Times New Roman"/>
          <w:sz w:val="24"/>
          <w:szCs w:val="24"/>
        </w:rPr>
        <w:t>编制完成了《</w:t>
      </w:r>
      <w:r>
        <w:rPr>
          <w:rFonts w:hint="default" w:ascii="Times New Roman" w:hAnsi="Times New Roman" w:eastAsia="宋体" w:cs="Times New Roman"/>
          <w:spacing w:val="9"/>
          <w:sz w:val="24"/>
          <w:szCs w:val="24"/>
          <w:lang w:val="en-US" w:eastAsia="zh-CN"/>
        </w:rPr>
        <w:t>郑州正升置业有限公司正升阳光城小区建设项目环境影响报告书</w:t>
      </w:r>
      <w:r>
        <w:rPr>
          <w:rFonts w:hint="eastAsia" w:ascii="Times New Roman" w:hAnsi="Times New Roman" w:eastAsia="宋体" w:cs="Times New Roman"/>
          <w:sz w:val="24"/>
          <w:szCs w:val="24"/>
        </w:rPr>
        <w:t>》</w:t>
      </w:r>
      <w:r>
        <w:rPr>
          <w:rFonts w:hint="eastAsia" w:cs="Times New Roman"/>
          <w:sz w:val="24"/>
          <w:szCs w:val="24"/>
          <w:lang w:eastAsia="zh-CN"/>
        </w:rPr>
        <w:t>，</w:t>
      </w:r>
      <w:r>
        <w:rPr>
          <w:rFonts w:hint="default" w:ascii="Times New Roman" w:hAnsi="Times New Roman" w:eastAsia="宋体" w:cs="Times New Roman"/>
          <w:spacing w:val="9"/>
          <w:sz w:val="24"/>
          <w:szCs w:val="24"/>
          <w:lang w:val="en-US" w:eastAsia="zh-CN"/>
        </w:rPr>
        <w:t>郑州市环境保护局以（郑环审[</w:t>
      </w:r>
      <w:r>
        <w:rPr>
          <w:rFonts w:hint="default" w:ascii="Times New Roman" w:hAnsi="Times New Roman" w:eastAsia="宋体" w:cs="Times New Roman"/>
          <w:sz w:val="24"/>
          <w:lang w:val="en-US" w:eastAsia="zh-CN"/>
        </w:rPr>
        <w:t>2014]232号）对其进行了批复。该项目共分为三期进行建设：一期工程包含1#楼、2#楼、3#楼、4#楼、5#楼、6#楼共六栋楼；二期工程包括7#楼、12#楼、13#楼、14#楼共四栋楼；三期工程包括8#楼、9#楼、10#楼、11#楼和托儿所。其中一期工程于2018年8月建设完成并已通过竣工环境保护验收，二期工程于2021年1月建设完成并已通过竣工环境保护验收</w:t>
      </w:r>
      <w:r>
        <w:rPr>
          <w:rFonts w:hint="eastAsia" w:cs="Times New Roman"/>
          <w:sz w:val="24"/>
          <w:szCs w:val="24"/>
          <w:lang w:eastAsia="zh-CN"/>
        </w:rPr>
        <w:t>；</w:t>
      </w:r>
      <w:r>
        <w:rPr>
          <w:rFonts w:hint="eastAsia"/>
          <w:color w:val="auto"/>
          <w:sz w:val="24"/>
          <w:lang w:val="en-US" w:eastAsia="zh-CN"/>
        </w:rPr>
        <w:t>三期工程于</w:t>
      </w:r>
      <w:r>
        <w:rPr>
          <w:color w:val="auto"/>
          <w:sz w:val="24"/>
        </w:rPr>
        <w:t>202</w:t>
      </w:r>
      <w:r>
        <w:rPr>
          <w:rFonts w:hint="eastAsia"/>
          <w:color w:val="auto"/>
          <w:sz w:val="24"/>
          <w:lang w:val="en-US" w:eastAsia="zh-CN"/>
        </w:rPr>
        <w:t>1</w:t>
      </w:r>
      <w:r>
        <w:rPr>
          <w:color w:val="auto"/>
          <w:sz w:val="24"/>
        </w:rPr>
        <w:t>年</w:t>
      </w:r>
      <w:r>
        <w:rPr>
          <w:rFonts w:hint="eastAsia"/>
          <w:color w:val="auto"/>
          <w:sz w:val="24"/>
          <w:lang w:val="en-US" w:eastAsia="zh-CN"/>
        </w:rPr>
        <w:t>3</w:t>
      </w:r>
      <w:r>
        <w:rPr>
          <w:color w:val="auto"/>
          <w:sz w:val="24"/>
        </w:rPr>
        <w:t>月</w:t>
      </w:r>
      <w:r>
        <w:rPr>
          <w:rFonts w:hint="eastAsia"/>
          <w:color w:val="auto"/>
          <w:sz w:val="24"/>
          <w:lang w:val="en-US" w:eastAsia="zh-CN"/>
        </w:rPr>
        <w:t>开始建设，</w:t>
      </w:r>
      <w:r>
        <w:rPr>
          <w:rFonts w:hint="default" w:ascii="Times New Roman" w:hAnsi="Times New Roman" w:eastAsia="宋体" w:cs="Times New Roman"/>
          <w:color w:val="000000"/>
          <w:sz w:val="24"/>
          <w:lang w:val="en-US" w:eastAsia="zh-CN"/>
        </w:rPr>
        <w:t>2024年6月3日</w:t>
      </w:r>
      <w:r>
        <w:rPr>
          <w:rFonts w:hint="eastAsia"/>
          <w:color w:val="auto"/>
          <w:sz w:val="24"/>
          <w:lang w:val="en-US" w:eastAsia="zh-CN"/>
        </w:rPr>
        <w:t>正式</w:t>
      </w:r>
      <w:r>
        <w:rPr>
          <w:color w:val="auto"/>
          <w:sz w:val="24"/>
        </w:rPr>
        <w:t>竣工</w:t>
      </w:r>
      <w:r>
        <w:rPr>
          <w:rFonts w:hint="eastAsia" w:cs="Times New Roman"/>
          <w:color w:val="auto"/>
          <w:sz w:val="24"/>
          <w:szCs w:val="24"/>
          <w:lang w:val="en-US" w:eastAsia="zh-CN"/>
        </w:rPr>
        <w:t>并进行了竣工及调试公示</w:t>
      </w:r>
      <w:r>
        <w:rPr>
          <w:rFonts w:hint="eastAsia" w:ascii="Times New Roman" w:hAnsi="Times New Roman" w:eastAsia="宋体" w:cs="Times New Roman"/>
          <w:color w:val="auto"/>
          <w:sz w:val="24"/>
          <w:szCs w:val="24"/>
        </w:rPr>
        <w:t>，</w:t>
      </w:r>
      <w:r>
        <w:rPr>
          <w:rFonts w:hint="eastAsia" w:ascii="Times New Roman" w:hAnsi="Times New Roman" w:eastAsia="宋体" w:cs="Times New Roman"/>
          <w:color w:val="auto"/>
          <w:sz w:val="24"/>
          <w:lang w:eastAsia="zh-CN"/>
        </w:rPr>
        <w:t>2024年</w:t>
      </w:r>
      <w:r>
        <w:rPr>
          <w:rFonts w:hint="eastAsia" w:cs="Times New Roman"/>
          <w:color w:val="auto"/>
          <w:sz w:val="24"/>
          <w:lang w:val="en-US" w:eastAsia="zh-CN"/>
        </w:rPr>
        <w:t>6</w:t>
      </w:r>
      <w:r>
        <w:rPr>
          <w:rFonts w:hint="eastAsia" w:ascii="Times New Roman" w:hAnsi="Times New Roman" w:eastAsia="宋体" w:cs="Times New Roman"/>
          <w:color w:val="auto"/>
          <w:sz w:val="24"/>
          <w:lang w:eastAsia="zh-CN"/>
        </w:rPr>
        <w:t>月</w:t>
      </w:r>
      <w:r>
        <w:rPr>
          <w:rFonts w:hint="eastAsia" w:cs="Times New Roman"/>
          <w:color w:val="auto"/>
          <w:sz w:val="24"/>
          <w:lang w:val="en-US" w:eastAsia="zh-CN"/>
        </w:rPr>
        <w:t>13</w:t>
      </w:r>
      <w:r>
        <w:rPr>
          <w:rFonts w:ascii="Times New Roman" w:hAnsi="Times New Roman" w:eastAsia="宋体" w:cs="Times New Roman"/>
          <w:color w:val="auto"/>
          <w:sz w:val="24"/>
        </w:rPr>
        <w:t>日～</w:t>
      </w:r>
      <w:r>
        <w:rPr>
          <w:rFonts w:hint="eastAsia" w:cs="Times New Roman"/>
          <w:color w:val="auto"/>
          <w:sz w:val="24"/>
          <w:lang w:val="en-US" w:eastAsia="zh-CN"/>
        </w:rPr>
        <w:t>14</w:t>
      </w:r>
      <w:r>
        <w:rPr>
          <w:rFonts w:hint="eastAsia" w:ascii="Times New Roman" w:hAnsi="Times New Roman" w:eastAsia="宋体" w:cs="Times New Roman"/>
          <w:color w:val="auto"/>
          <w:sz w:val="24"/>
          <w:lang w:val="en-US" w:eastAsia="zh-CN"/>
        </w:rPr>
        <w:t>日</w:t>
      </w:r>
      <w:r>
        <w:rPr>
          <w:rFonts w:ascii="Times New Roman" w:hAnsi="Times New Roman" w:eastAsia="宋体" w:cs="Times New Roman"/>
          <w:color w:val="auto"/>
          <w:sz w:val="24"/>
          <w:szCs w:val="24"/>
        </w:rPr>
        <w:t>建设单位委托</w:t>
      </w:r>
      <w:r>
        <w:rPr>
          <w:rFonts w:hint="eastAsia" w:cs="Times New Roman"/>
          <w:color w:val="auto"/>
          <w:sz w:val="24"/>
          <w:szCs w:val="24"/>
          <w:lang w:eastAsia="zh-CN"/>
        </w:rPr>
        <w:t>河南申越检测技术有限公司</w:t>
      </w:r>
      <w:r>
        <w:rPr>
          <w:rFonts w:ascii="Times New Roman" w:hAnsi="Times New Roman" w:eastAsia="宋体" w:cs="Times New Roman"/>
          <w:color w:val="auto"/>
          <w:sz w:val="24"/>
          <w:szCs w:val="24"/>
        </w:rPr>
        <w:t>进行验收监测。</w:t>
      </w:r>
    </w:p>
    <w:p w14:paraId="6F36149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（三）投资情况</w:t>
      </w:r>
    </w:p>
    <w:p w14:paraId="5C71ACF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项目</w:t>
      </w:r>
      <w:r>
        <w:rPr>
          <w:rFonts w:hint="eastAsia" w:cs="Times New Roman"/>
          <w:sz w:val="24"/>
          <w:szCs w:val="24"/>
          <w:lang w:val="en-US" w:eastAsia="zh-CN"/>
        </w:rPr>
        <w:t>三期</w:t>
      </w:r>
      <w:r>
        <w:rPr>
          <w:color w:val="auto"/>
          <w:sz w:val="24"/>
        </w:rPr>
        <w:t>实际总投资为</w:t>
      </w:r>
      <w:r>
        <w:rPr>
          <w:rFonts w:hint="eastAsia"/>
          <w:color w:val="auto"/>
          <w:sz w:val="24"/>
          <w:lang w:val="en-US" w:eastAsia="zh-CN"/>
        </w:rPr>
        <w:t>15260</w:t>
      </w:r>
      <w:r>
        <w:rPr>
          <w:color w:val="auto"/>
          <w:sz w:val="24"/>
        </w:rPr>
        <w:t>万元，环保投资为</w:t>
      </w:r>
      <w:r>
        <w:rPr>
          <w:rFonts w:hint="eastAsia"/>
          <w:color w:val="auto"/>
          <w:sz w:val="24"/>
          <w:lang w:val="en-US" w:eastAsia="zh-CN"/>
        </w:rPr>
        <w:t>39</w:t>
      </w:r>
      <w:r>
        <w:rPr>
          <w:color w:val="auto"/>
          <w:sz w:val="24"/>
        </w:rPr>
        <w:t>万元，环保投资比例占总投资</w:t>
      </w:r>
      <w:r>
        <w:rPr>
          <w:rFonts w:hint="eastAsia"/>
          <w:color w:val="auto"/>
          <w:sz w:val="24"/>
          <w:lang w:val="en-US" w:eastAsia="zh-CN"/>
        </w:rPr>
        <w:t>0.26</w:t>
      </w:r>
      <w:r>
        <w:rPr>
          <w:color w:val="auto"/>
          <w:sz w:val="24"/>
        </w:rPr>
        <w:t>%</w:t>
      </w:r>
      <w:r>
        <w:rPr>
          <w:rFonts w:hint="eastAsia"/>
          <w:color w:val="auto"/>
          <w:sz w:val="24"/>
          <w:lang w:eastAsia="zh-CN"/>
        </w:rPr>
        <w:t>。</w:t>
      </w:r>
    </w:p>
    <w:p w14:paraId="7E269888">
      <w:pPr>
        <w:keepNext w:val="0"/>
        <w:keepLines w:val="0"/>
        <w:pageBreakBefore w:val="0"/>
        <w:kinsoku/>
        <w:wordWrap/>
        <w:overflowPunct/>
        <w:topLinePunct w:val="0"/>
        <w:autoSpaceDE/>
        <w:autoSpaceDN/>
        <w:bidi w:val="0"/>
        <w:adjustRightInd/>
        <w:snapToGrid/>
        <w:spacing w:line="360" w:lineRule="auto"/>
        <w:ind w:firstLine="480"/>
        <w:textAlignment w:val="auto"/>
      </w:pPr>
      <w:r>
        <w:rPr>
          <w:rFonts w:hint="eastAsia"/>
        </w:rPr>
        <w:t>（四）验收范围</w:t>
      </w:r>
    </w:p>
    <w:p w14:paraId="0B2F143C">
      <w:pPr>
        <w:keepNext w:val="0"/>
        <w:keepLines w:val="0"/>
        <w:pageBreakBefore w:val="0"/>
        <w:kinsoku/>
        <w:wordWrap/>
        <w:overflowPunct/>
        <w:topLinePunct w:val="0"/>
        <w:autoSpaceDE/>
        <w:autoSpaceDN/>
        <w:bidi w:val="0"/>
        <w:adjustRightInd/>
        <w:snapToGrid/>
        <w:spacing w:line="360" w:lineRule="auto"/>
        <w:ind w:firstLine="482"/>
        <w:textAlignment w:val="auto"/>
        <w:rPr>
          <w:rFonts w:hint="default" w:eastAsia="宋体"/>
          <w:lang w:val="en-US" w:eastAsia="zh-CN"/>
        </w:rPr>
      </w:pPr>
      <w:r>
        <w:rPr>
          <w:rFonts w:hint="eastAsia"/>
          <w:lang w:val="en-US" w:eastAsia="zh-CN"/>
        </w:rPr>
        <w:t>本次验收范围为阳光城小区（三期）建设项目，</w:t>
      </w:r>
      <w:r>
        <w:rPr>
          <w:rFonts w:hint="default" w:ascii="Times New Roman" w:hAnsi="Times New Roman" w:eastAsia="宋体" w:cs="Times New Roman"/>
          <w:sz w:val="24"/>
          <w:lang w:val="en-US" w:eastAsia="zh-CN"/>
        </w:rPr>
        <w:t>包括8#楼、9#楼、10#楼、11#楼和托儿所</w:t>
      </w:r>
      <w:r>
        <w:rPr>
          <w:rFonts w:hint="eastAsia" w:ascii="Times New Roman" w:hAnsi="Times New Roman" w:cs="Times New Roman"/>
          <w:sz w:val="24"/>
          <w:lang w:val="en-US" w:eastAsia="zh-CN"/>
        </w:rPr>
        <w:t>及配套的地下车库等</w:t>
      </w:r>
      <w:r>
        <w:rPr>
          <w:rFonts w:hint="eastAsia"/>
        </w:rPr>
        <w:t>；</w:t>
      </w:r>
      <w:r>
        <w:rPr>
          <w:rFonts w:hint="eastAsia"/>
          <w:lang w:val="en-US" w:eastAsia="zh-CN"/>
        </w:rPr>
        <w:t>主要对项目建设的</w:t>
      </w:r>
      <w:r>
        <w:rPr>
          <w:rFonts w:hint="eastAsia"/>
        </w:rPr>
        <w:t>主体工程、辅助公用工程</w:t>
      </w:r>
      <w:r>
        <w:rPr>
          <w:rFonts w:hint="eastAsia"/>
          <w:lang w:eastAsia="zh-CN"/>
        </w:rPr>
        <w:t>的</w:t>
      </w:r>
      <w:r>
        <w:rPr>
          <w:rFonts w:hint="eastAsia"/>
          <w:lang w:val="en-US" w:eastAsia="zh-CN"/>
        </w:rPr>
        <w:t>环保设施进行验收</w:t>
      </w:r>
    </w:p>
    <w:p w14:paraId="4D0B8251">
      <w:pPr>
        <w:keepNext w:val="0"/>
        <w:keepLines w:val="0"/>
        <w:pageBreakBefore w:val="0"/>
        <w:kinsoku/>
        <w:wordWrap/>
        <w:overflowPunct/>
        <w:topLinePunct w:val="0"/>
        <w:autoSpaceDE/>
        <w:autoSpaceDN/>
        <w:bidi w:val="0"/>
        <w:adjustRightInd/>
        <w:snapToGrid/>
        <w:spacing w:line="360" w:lineRule="auto"/>
        <w:ind w:firstLine="482"/>
        <w:textAlignment w:val="auto"/>
        <w:rPr>
          <w:b/>
          <w:bCs/>
        </w:rPr>
      </w:pPr>
      <w:r>
        <w:rPr>
          <w:rFonts w:hint="eastAsia"/>
          <w:b/>
          <w:bCs/>
        </w:rPr>
        <w:t>二、工程变动情况</w:t>
      </w:r>
    </w:p>
    <w:p w14:paraId="65AC74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kern w:val="2"/>
          <w:sz w:val="24"/>
          <w:szCs w:val="20"/>
          <w:u w:val="none"/>
          <w:lang w:val="en-US" w:eastAsia="zh-CN" w:bidi="ar-SA"/>
        </w:rPr>
      </w:pPr>
      <w:r>
        <w:rPr>
          <w:rFonts w:hint="eastAsia"/>
        </w:rPr>
        <w:t>根据对项目</w:t>
      </w:r>
      <w:r>
        <w:rPr>
          <w:rFonts w:hint="eastAsia"/>
          <w:lang w:val="en-US" w:eastAsia="zh-CN"/>
        </w:rPr>
        <w:t>环评及批复与实际建设情况</w:t>
      </w:r>
      <w:r>
        <w:rPr>
          <w:rFonts w:hint="eastAsia"/>
        </w:rPr>
        <w:t>对比分析可知，项目</w:t>
      </w:r>
      <w:r>
        <w:rPr>
          <w:rFonts w:hint="eastAsia" w:ascii="Times New Roman" w:hAnsi="Times New Roman" w:eastAsia="宋体" w:cs="Times New Roman"/>
          <w:bCs/>
          <w:color w:val="auto"/>
          <w:kern w:val="2"/>
          <w:sz w:val="24"/>
          <w:szCs w:val="20"/>
          <w:u w:val="none"/>
          <w:lang w:val="en-US" w:eastAsia="zh-CN" w:bidi="ar-SA"/>
        </w:rPr>
        <w:t>变动情况如下：</w:t>
      </w:r>
    </w:p>
    <w:p w14:paraId="7257DC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kern w:val="2"/>
          <w:sz w:val="24"/>
          <w:szCs w:val="20"/>
          <w:u w:val="none"/>
          <w:lang w:val="en-US" w:eastAsia="zh-CN" w:bidi="ar-SA"/>
        </w:rPr>
      </w:pPr>
      <w:r>
        <w:rPr>
          <w:rFonts w:hint="eastAsia" w:ascii="Times New Roman" w:hAnsi="Times New Roman" w:eastAsia="宋体" w:cs="Times New Roman"/>
          <w:bCs/>
          <w:color w:val="auto"/>
          <w:kern w:val="2"/>
          <w:sz w:val="24"/>
          <w:szCs w:val="20"/>
          <w:u w:val="none"/>
          <w:lang w:val="en-US" w:eastAsia="zh-CN" w:bidi="ar-SA"/>
        </w:rPr>
        <w:t>（1）与原环评及批复对比，项目总建筑面积减少492.68m</w:t>
      </w:r>
      <w:r>
        <w:rPr>
          <w:rFonts w:hint="eastAsia" w:ascii="Times New Roman" w:hAnsi="Times New Roman" w:eastAsia="宋体" w:cs="Times New Roman"/>
          <w:bCs/>
          <w:color w:val="auto"/>
          <w:kern w:val="2"/>
          <w:sz w:val="24"/>
          <w:szCs w:val="20"/>
          <w:u w:val="none"/>
          <w:vertAlign w:val="superscript"/>
          <w:lang w:val="en-US" w:eastAsia="zh-CN" w:bidi="ar-SA"/>
        </w:rPr>
        <w:t>2</w:t>
      </w:r>
      <w:r>
        <w:rPr>
          <w:rFonts w:hint="eastAsia" w:ascii="Times New Roman" w:hAnsi="Times New Roman" w:eastAsia="宋体" w:cs="Times New Roman"/>
          <w:bCs/>
          <w:color w:val="auto"/>
          <w:kern w:val="2"/>
          <w:sz w:val="24"/>
          <w:szCs w:val="20"/>
          <w:u w:val="none"/>
          <w:lang w:val="en-US" w:eastAsia="zh-CN" w:bidi="ar-SA"/>
        </w:rPr>
        <w:t>；主要是由于原环评建设方案较早，后期规划图进行了稍微调整，但调整前后项目建筑面积、容积率及总户数不发生变化；</w:t>
      </w:r>
    </w:p>
    <w:p w14:paraId="0E9A9E8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kern w:val="2"/>
          <w:sz w:val="24"/>
          <w:szCs w:val="20"/>
          <w:u w:val="none"/>
          <w:lang w:val="en-US" w:eastAsia="zh-CN" w:bidi="ar-SA"/>
        </w:rPr>
      </w:pPr>
      <w:r>
        <w:rPr>
          <w:rFonts w:hint="eastAsia" w:ascii="Times New Roman" w:hAnsi="Times New Roman" w:eastAsia="宋体" w:cs="Times New Roman"/>
          <w:bCs/>
          <w:color w:val="auto"/>
          <w:kern w:val="2"/>
          <w:sz w:val="24"/>
          <w:szCs w:val="20"/>
          <w:u w:val="none"/>
          <w:lang w:val="en-US" w:eastAsia="zh-CN" w:bidi="ar-SA"/>
        </w:rPr>
        <w:t>（2）本项目原环评及批复中供热主要采取的是用户自行安装空调供暖，但在随着目前社会发展，后期进行了规划与施工图调改为集中供暖，本次三期工程依托一期工程的热交换站；</w:t>
      </w:r>
    </w:p>
    <w:p w14:paraId="7381DBD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kern w:val="2"/>
          <w:sz w:val="24"/>
          <w:szCs w:val="20"/>
          <w:u w:val="none"/>
          <w:lang w:val="en-US" w:eastAsia="zh-CN" w:bidi="ar-SA"/>
        </w:rPr>
      </w:pPr>
      <w:r>
        <w:rPr>
          <w:rFonts w:hint="eastAsia" w:ascii="Times New Roman" w:hAnsi="Times New Roman" w:eastAsia="宋体" w:cs="Times New Roman"/>
          <w:bCs/>
          <w:color w:val="auto"/>
          <w:kern w:val="2"/>
          <w:sz w:val="24"/>
          <w:szCs w:val="20"/>
          <w:u w:val="none"/>
          <w:lang w:val="en-US" w:eastAsia="zh-CN" w:bidi="ar-SA"/>
        </w:rPr>
        <w:t>（3）本项目原环评中的废水治理措施为：该小区总共所需化粪池15个，化粪池总容积为950m³，收水范围为1-14#楼和托儿所所产生的废水；废水经化粪池预处理后排入市政污水管网，进入新密市金门污水处理有限公司处理。</w:t>
      </w:r>
      <w:bookmarkStart w:id="2" w:name="_GoBack"/>
      <w:bookmarkEnd w:id="2"/>
      <w:r>
        <w:rPr>
          <w:rFonts w:hint="eastAsia" w:ascii="Times New Roman" w:hAnsi="Times New Roman" w:eastAsia="宋体" w:cs="Times New Roman"/>
          <w:bCs/>
          <w:color w:val="auto"/>
          <w:kern w:val="2"/>
          <w:sz w:val="24"/>
          <w:szCs w:val="20"/>
          <w:u w:val="none"/>
          <w:lang w:val="en-US" w:eastAsia="zh-CN" w:bidi="ar-SA"/>
        </w:rPr>
        <w:t>该小区在实际建设过程中进行了分期建设；本次三期工程包括四栋楼，在7#楼东侧建设2座总容积为150m³的化粪池，本项目生活污水经化粪池进行预处理后排入市政污水管网，进入新密市金门污水处理有限公司处理。与原环评及批复对比，项目排水去向不变，但化粪池容积较环评批复变小了，根据计算实际建设化粪池容积能够满足生活污水处理要求。</w:t>
      </w:r>
    </w:p>
    <w:p w14:paraId="0C49E624">
      <w:pPr>
        <w:keepNext w:val="0"/>
        <w:keepLines w:val="0"/>
        <w:pageBreakBefore w:val="0"/>
        <w:kinsoku/>
        <w:wordWrap/>
        <w:overflowPunct/>
        <w:topLinePunct w:val="0"/>
        <w:autoSpaceDE/>
        <w:autoSpaceDN/>
        <w:bidi w:val="0"/>
        <w:adjustRightInd/>
        <w:snapToGrid/>
        <w:spacing w:line="360" w:lineRule="auto"/>
        <w:ind w:firstLine="516" w:firstLineChars="200"/>
        <w:textAlignment w:val="auto"/>
        <w:rPr>
          <w:rFonts w:hint="default" w:ascii="Times New Roman" w:hAnsi="Times New Roman" w:eastAsia="宋体" w:cs="Times New Roman"/>
          <w:bCs/>
          <w:color w:val="auto"/>
          <w:kern w:val="2"/>
          <w:sz w:val="24"/>
          <w:szCs w:val="20"/>
          <w:u w:val="none"/>
          <w:lang w:val="en-US" w:eastAsia="zh-CN" w:bidi="ar-SA"/>
        </w:rPr>
      </w:pPr>
      <w:r>
        <w:rPr>
          <w:rFonts w:hint="eastAsia" w:ascii="Times New Roman" w:hAnsi="Times New Roman" w:cs="Times New Roman"/>
          <w:spacing w:val="9"/>
          <w:sz w:val="24"/>
          <w:szCs w:val="24"/>
          <w:lang w:val="en-US" w:eastAsia="zh-CN"/>
        </w:rPr>
        <w:t>综上分析，</w:t>
      </w:r>
      <w:r>
        <w:rPr>
          <w:rFonts w:hint="default" w:ascii="Times New Roman" w:hAnsi="Times New Roman" w:eastAsia="宋体" w:cs="Times New Roman"/>
          <w:spacing w:val="9"/>
          <w:sz w:val="24"/>
          <w:szCs w:val="24"/>
          <w:lang w:val="en-US" w:eastAsia="zh-CN"/>
        </w:rPr>
        <w:t>建设项目的性质、地点、规模、主要建设内容及污染防护措施均未发生变化，仅总建设面积比原环评批复减少、供热形式和化粪池体积发生了变化，经对比分析《污染影响类建设项目重大变动清单（试行）》（环办环评函〔2020〕688号）中相关规定，本项目未发生重大变动</w:t>
      </w:r>
      <w:r>
        <w:rPr>
          <w:rFonts w:hint="default" w:ascii="Times New Roman" w:hAnsi="Times New Roman" w:eastAsia="宋体" w:cs="Times New Roman"/>
          <w:bCs/>
          <w:color w:val="auto"/>
          <w:kern w:val="2"/>
          <w:sz w:val="24"/>
          <w:szCs w:val="20"/>
          <w:u w:val="none"/>
          <w:lang w:val="en-US" w:eastAsia="zh-CN" w:bidi="ar-SA"/>
        </w:rPr>
        <w:t>，</w:t>
      </w:r>
      <w:r>
        <w:rPr>
          <w:rFonts w:hint="eastAsia" w:ascii="Times New Roman" w:hAnsi="Times New Roman" w:eastAsia="宋体" w:cs="Times New Roman"/>
          <w:bCs/>
          <w:color w:val="auto"/>
          <w:kern w:val="2"/>
          <w:sz w:val="24"/>
          <w:szCs w:val="20"/>
          <w:u w:val="none"/>
          <w:lang w:val="en-US" w:eastAsia="zh-CN" w:bidi="ar-SA"/>
        </w:rPr>
        <w:t>可</w:t>
      </w:r>
      <w:r>
        <w:rPr>
          <w:rFonts w:hint="default" w:ascii="Times New Roman" w:hAnsi="Times New Roman" w:eastAsia="宋体" w:cs="Times New Roman"/>
          <w:bCs/>
          <w:color w:val="auto"/>
          <w:kern w:val="2"/>
          <w:sz w:val="24"/>
          <w:szCs w:val="20"/>
          <w:u w:val="none"/>
          <w:lang w:val="en-US" w:eastAsia="zh-CN" w:bidi="ar-SA"/>
        </w:rPr>
        <w:t>纳入竣工环境保护验收管理。</w:t>
      </w:r>
    </w:p>
    <w:p w14:paraId="02A49878">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三、环境保护设施建设情况</w:t>
      </w:r>
    </w:p>
    <w:p w14:paraId="440EC4FC">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经现场检查，环保工程建设情况如下：</w:t>
      </w:r>
    </w:p>
    <w:p w14:paraId="39B63BA2">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（一）废水</w:t>
      </w:r>
    </w:p>
    <w:p w14:paraId="0BBFCE7F">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项目雨污分流，雨水进入雨水管网，生活污水经2座总容积150m³化粪池预处理后，经市政污水管网排入新密市金门污水处理有限公司进一步处理，处理达标后最终排入双洎河。</w:t>
      </w:r>
    </w:p>
    <w:p w14:paraId="2DF1DE08">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（二）废气</w:t>
      </w:r>
    </w:p>
    <w:p w14:paraId="7BA702D5">
      <w:pPr>
        <w:keepNext w:val="0"/>
        <w:keepLines w:val="0"/>
        <w:pageBreakBefore w:val="0"/>
        <w:kinsoku/>
        <w:wordWrap/>
        <w:overflowPunct/>
        <w:topLinePunct w:val="0"/>
        <w:autoSpaceDE/>
        <w:autoSpaceDN/>
        <w:bidi w:val="0"/>
        <w:adjustRightInd/>
        <w:snapToGrid/>
        <w:spacing w:line="360" w:lineRule="auto"/>
        <w:ind w:firstLine="516" w:firstLineChars="200"/>
        <w:textAlignment w:val="auto"/>
        <w:rPr>
          <w:rFonts w:hint="default" w:ascii="Times New Roman" w:hAnsi="Times New Roman" w:eastAsia="宋体" w:cs="Times New Roman"/>
          <w:spacing w:val="9"/>
          <w:sz w:val="24"/>
          <w:szCs w:val="24"/>
          <w:lang w:val="en-US" w:eastAsia="zh-CN"/>
        </w:rPr>
      </w:pPr>
      <w:r>
        <w:rPr>
          <w:rFonts w:hint="default" w:ascii="Times New Roman" w:hAnsi="Times New Roman" w:eastAsia="宋体" w:cs="Times New Roman"/>
          <w:spacing w:val="9"/>
          <w:sz w:val="24"/>
          <w:szCs w:val="24"/>
          <w:lang w:val="en-US" w:eastAsia="zh-CN"/>
        </w:rPr>
        <w:t>本项目设置有地下车库，机动车尾气主要在汽车怠速及慢速状态下时产生，机动车尾气中主要污染物为CO、THC和NOx等，根据现场调查，地下车库内设置了机械强制通风系统，经通风管道引至室外位于绿化带范围内</w:t>
      </w:r>
      <w:r>
        <w:rPr>
          <w:rFonts w:hint="eastAsia" w:ascii="Times New Roman" w:hAnsi="Times New Roman" w:eastAsia="宋体" w:cs="Times New Roman"/>
          <w:spacing w:val="9"/>
          <w:sz w:val="24"/>
          <w:szCs w:val="24"/>
          <w:lang w:val="en-US" w:eastAsia="zh-CN"/>
        </w:rPr>
        <w:t>的</w:t>
      </w:r>
      <w:r>
        <w:rPr>
          <w:rFonts w:hint="default" w:ascii="Times New Roman" w:hAnsi="Times New Roman" w:eastAsia="宋体" w:cs="Times New Roman"/>
          <w:spacing w:val="9"/>
          <w:sz w:val="24"/>
          <w:szCs w:val="24"/>
          <w:lang w:val="en-US" w:eastAsia="zh-CN"/>
        </w:rPr>
        <w:t>百叶窗排放。本次三期工程设置有</w:t>
      </w:r>
      <w:r>
        <w:rPr>
          <w:rFonts w:hint="eastAsia" w:cs="Times New Roman"/>
          <w:spacing w:val="9"/>
          <w:sz w:val="24"/>
          <w:szCs w:val="24"/>
          <w:lang w:val="en-US" w:eastAsia="zh-CN"/>
        </w:rPr>
        <w:t>若干</w:t>
      </w:r>
      <w:r>
        <w:rPr>
          <w:rFonts w:hint="default" w:ascii="Times New Roman" w:hAnsi="Times New Roman" w:eastAsia="宋体" w:cs="Times New Roman"/>
          <w:spacing w:val="9"/>
          <w:sz w:val="24"/>
          <w:szCs w:val="24"/>
          <w:lang w:val="en-US" w:eastAsia="zh-CN"/>
        </w:rPr>
        <w:t>百叶窗，且排气口避开人活动频繁区域，通过环境空气稀释作用及周围绿化带的吸收后，对周围环境影响不大。</w:t>
      </w:r>
    </w:p>
    <w:p w14:paraId="2BFAA99F">
      <w:pPr>
        <w:keepNext w:val="0"/>
        <w:keepLines w:val="0"/>
        <w:pageBreakBefore w:val="0"/>
        <w:kinsoku/>
        <w:wordWrap/>
        <w:overflowPunct/>
        <w:topLinePunct w:val="0"/>
        <w:autoSpaceDE/>
        <w:autoSpaceDN/>
        <w:bidi w:val="0"/>
        <w:adjustRightInd/>
        <w:snapToGrid/>
        <w:spacing w:line="360" w:lineRule="auto"/>
        <w:ind w:firstLine="516" w:firstLineChars="200"/>
        <w:textAlignment w:val="auto"/>
        <w:rPr>
          <w:rFonts w:hint="default" w:ascii="Times New Roman" w:hAnsi="Times New Roman" w:eastAsia="宋体" w:cs="Times New Roman"/>
          <w:spacing w:val="9"/>
          <w:sz w:val="24"/>
          <w:szCs w:val="24"/>
          <w:lang w:val="en-US" w:eastAsia="zh-CN"/>
        </w:rPr>
      </w:pPr>
      <w:r>
        <w:rPr>
          <w:rFonts w:hint="default" w:ascii="Times New Roman" w:hAnsi="Times New Roman" w:eastAsia="宋体" w:cs="Times New Roman"/>
          <w:spacing w:val="9"/>
          <w:sz w:val="24"/>
          <w:szCs w:val="24"/>
          <w:lang w:val="en-US" w:eastAsia="zh-CN"/>
        </w:rPr>
        <w:t>每栋楼设置6个烟道（共24个），居民厨房油烟经各家油烟净化器处理后由高于楼顶烟道排放。</w:t>
      </w:r>
    </w:p>
    <w:p w14:paraId="4FAA5C23">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（三）噪声</w:t>
      </w:r>
    </w:p>
    <w:p w14:paraId="0ED80FFB">
      <w:pPr>
        <w:keepNext w:val="0"/>
        <w:keepLines w:val="0"/>
        <w:pageBreakBefore w:val="0"/>
        <w:kinsoku/>
        <w:wordWrap/>
        <w:overflowPunct/>
        <w:topLinePunct w:val="0"/>
        <w:autoSpaceDE/>
        <w:autoSpaceDN/>
        <w:bidi w:val="0"/>
        <w:adjustRightInd/>
        <w:snapToGrid/>
        <w:spacing w:line="360" w:lineRule="auto"/>
        <w:ind w:firstLine="516" w:firstLineChars="200"/>
        <w:textAlignment w:val="auto"/>
        <w:rPr>
          <w:rFonts w:hint="default" w:ascii="Times New Roman" w:hAnsi="Times New Roman" w:eastAsia="宋体" w:cs="Times New Roman"/>
          <w:spacing w:val="9"/>
          <w:sz w:val="24"/>
          <w:szCs w:val="24"/>
          <w:lang w:val="en-US" w:eastAsia="zh-CN"/>
        </w:rPr>
      </w:pPr>
      <w:r>
        <w:rPr>
          <w:rFonts w:hint="default" w:ascii="Times New Roman" w:hAnsi="Times New Roman" w:eastAsia="宋体" w:cs="Times New Roman"/>
          <w:spacing w:val="9"/>
          <w:sz w:val="24"/>
          <w:szCs w:val="24"/>
          <w:lang w:val="en-US" w:eastAsia="zh-CN"/>
        </w:rPr>
        <w:t>本项目噪声主要为风机、加压水泵等设备运行时产生的设备噪声及交通噪声 和社会噪声。根据现场调查，本项目泵房、风机及配电房等公建设施均选用低噪声设备， 其中水泵和风机置于专用的独立设备间，设备均安装了基础减震设施。</w:t>
      </w:r>
    </w:p>
    <w:p w14:paraId="6C5EF7D2">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z w:val="24"/>
          <w:szCs w:val="24"/>
        </w:rPr>
        <w:t>（四）固废</w:t>
      </w:r>
    </w:p>
    <w:p w14:paraId="36FDDB2D">
      <w:pPr>
        <w:keepNext w:val="0"/>
        <w:keepLines w:val="0"/>
        <w:pageBreakBefore w:val="0"/>
        <w:kinsoku/>
        <w:wordWrap/>
        <w:overflowPunct/>
        <w:topLinePunct w:val="0"/>
        <w:autoSpaceDE/>
        <w:autoSpaceDN/>
        <w:bidi w:val="0"/>
        <w:adjustRightInd/>
        <w:snapToGrid/>
        <w:spacing w:line="360" w:lineRule="auto"/>
        <w:ind w:leftChars="0" w:firstLine="516" w:firstLineChars="200"/>
        <w:textAlignment w:val="auto"/>
        <w:rPr>
          <w:rFonts w:hint="default" w:ascii="Times New Roman" w:hAnsi="Times New Roman" w:eastAsia="宋体" w:cs="Times New Roman"/>
          <w:spacing w:val="9"/>
          <w:sz w:val="24"/>
          <w:szCs w:val="24"/>
          <w:lang w:val="en-US" w:eastAsia="zh-CN"/>
        </w:rPr>
      </w:pPr>
      <w:r>
        <w:rPr>
          <w:rFonts w:hint="default" w:ascii="Times New Roman" w:hAnsi="Times New Roman" w:eastAsia="宋体" w:cs="Times New Roman"/>
          <w:spacing w:val="9"/>
          <w:sz w:val="24"/>
          <w:szCs w:val="24"/>
          <w:lang w:val="en-US" w:eastAsia="zh-CN"/>
        </w:rPr>
        <w:t>本次环境保护验收部分产生的固体废物主要来自于生活垃圾和化粪池污泥， 其中生活垃圾采用袋装化分类收集，在入口与宅间路边设翻盖式垃圾桶作为垃圾 暂存，由环卫部门定期清运至垃圾中转站统一处理， 日产日清。化粪池污泥 90 天清掏一次，清掏后由物业组织专人专车（采用密闭罐车）外运至郊区农户用于 肥田。</w:t>
      </w:r>
    </w:p>
    <w:p w14:paraId="58E4B226">
      <w:pPr>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jc w:val="both"/>
        <w:textAlignment w:val="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四、环保设施调试效果</w:t>
      </w:r>
    </w:p>
    <w:p w14:paraId="3A33F223">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ascii="Times New Roman" w:hAnsi="Times New Roman" w:eastAsia="宋体" w:cs="Times New Roman"/>
          <w:sz w:val="24"/>
          <w:szCs w:val="24"/>
        </w:rPr>
      </w:pPr>
      <w:r>
        <w:rPr>
          <w:rFonts w:hint="eastAsia" w:ascii="Times New Roman" w:hAnsi="Times New Roman" w:eastAsia="宋体" w:cs="Times New Roman"/>
          <w:sz w:val="24"/>
          <w:szCs w:val="24"/>
        </w:rPr>
        <w:t>根据验收监测报告，主要结果如下：</w:t>
      </w:r>
    </w:p>
    <w:p w14:paraId="3B696D67">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cs="Times New Roman"/>
          <w:sz w:val="24"/>
          <w:szCs w:val="24"/>
          <w:lang w:val="en-US" w:eastAsia="zh-CN"/>
        </w:rPr>
      </w:pPr>
      <w:bookmarkStart w:id="0" w:name="_Toc515429968"/>
      <w:r>
        <w:rPr>
          <w:rFonts w:hint="eastAsia" w:cs="Times New Roman"/>
          <w:sz w:val="24"/>
          <w:szCs w:val="24"/>
          <w:lang w:val="en-US" w:eastAsia="zh-CN"/>
        </w:rPr>
        <w:t>废气</w:t>
      </w:r>
    </w:p>
    <w:p w14:paraId="4D72ED96">
      <w:pPr>
        <w:keepNext w:val="0"/>
        <w:keepLines w:val="0"/>
        <w:pageBreakBefore w:val="0"/>
        <w:kinsoku/>
        <w:wordWrap/>
        <w:overflowPunct/>
        <w:topLinePunct w:val="0"/>
        <w:autoSpaceDE/>
        <w:autoSpaceDN/>
        <w:bidi w:val="0"/>
        <w:adjustRightInd/>
        <w:snapToGrid/>
        <w:spacing w:line="360" w:lineRule="auto"/>
        <w:ind w:leftChars="0" w:firstLine="516" w:firstLineChars="200"/>
        <w:textAlignment w:val="auto"/>
        <w:rPr>
          <w:rFonts w:hint="eastAsia" w:ascii="Times New Roman" w:hAnsi="Times New Roman" w:eastAsia="宋体" w:cs="Times New Roman"/>
          <w:sz w:val="24"/>
          <w:szCs w:val="24"/>
        </w:rPr>
      </w:pPr>
      <w:r>
        <w:rPr>
          <w:rFonts w:hint="default" w:ascii="Times New Roman" w:hAnsi="Times New Roman" w:eastAsia="宋体" w:cs="Times New Roman"/>
          <w:spacing w:val="9"/>
          <w:sz w:val="24"/>
          <w:szCs w:val="24"/>
          <w:lang w:val="en-US" w:eastAsia="zh-CN"/>
        </w:rPr>
        <w:t>项目地下车库已安装送排风系统，地下车库汽车尾气经排风系统引至排气口排放，经大气稀释和扩散，对周围环境影响较小。</w:t>
      </w:r>
    </w:p>
    <w:p w14:paraId="2D012B41">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w:t>
      </w:r>
      <w:r>
        <w:rPr>
          <w:rFonts w:hint="eastAsia" w:cs="Times New Roman"/>
          <w:sz w:val="24"/>
          <w:szCs w:val="24"/>
          <w:lang w:val="en-US" w:eastAsia="zh-CN"/>
        </w:rPr>
        <w:t>二</w:t>
      </w:r>
      <w:r>
        <w:rPr>
          <w:rFonts w:hint="eastAsia" w:ascii="Times New Roman" w:hAnsi="Times New Roman" w:eastAsia="宋体" w:cs="Times New Roman"/>
          <w:sz w:val="24"/>
          <w:szCs w:val="24"/>
        </w:rPr>
        <w:t>）废</w:t>
      </w:r>
      <w:r>
        <w:rPr>
          <w:rFonts w:hint="eastAsia" w:cs="Times New Roman"/>
          <w:sz w:val="24"/>
          <w:szCs w:val="24"/>
          <w:lang w:val="en-US" w:eastAsia="zh-CN"/>
        </w:rPr>
        <w:t>水</w:t>
      </w:r>
    </w:p>
    <w:p w14:paraId="471D8EDA">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ascii="Times New Roman" w:hAnsi="Times New Roman" w:eastAsia="宋体" w:cs="Times New Roman"/>
          <w:sz w:val="24"/>
          <w:szCs w:val="24"/>
        </w:rPr>
      </w:pPr>
      <w:r>
        <w:rPr>
          <w:rFonts w:hint="eastAsia" w:ascii="Times New Roman" w:hAnsi="Times New Roman" w:eastAsia="宋体" w:cs="Times New Roman"/>
          <w:sz w:val="24"/>
          <w:szCs w:val="24"/>
        </w:rPr>
        <w:t>验收监测期间，</w:t>
      </w:r>
      <w:bookmarkEnd w:id="0"/>
      <w:r>
        <w:rPr>
          <w:rFonts w:hint="eastAsia" w:ascii="Times New Roman" w:hAnsi="Times New Roman" w:eastAsia="宋体" w:cs="Times New Roman"/>
          <w:sz w:val="24"/>
          <w:szCs w:val="24"/>
        </w:rPr>
        <w:t>项目生活污水经化粪池进行预处理，根据监测结果，化粪池预处理后的生活污水可满足《污水综合排放标准》（GB8978-1996）中表4三级标准限值要求（PH6-9，COD≤500mg/L、BOD</w:t>
      </w:r>
      <w:r>
        <w:rPr>
          <w:rFonts w:hint="eastAsia" w:ascii="Times New Roman" w:hAnsi="Times New Roman" w:eastAsia="宋体" w:cs="Times New Roman"/>
          <w:sz w:val="24"/>
          <w:szCs w:val="24"/>
          <w:vertAlign w:val="subscript"/>
        </w:rPr>
        <w:t>5</w:t>
      </w:r>
      <w:r>
        <w:rPr>
          <w:rFonts w:hint="eastAsia" w:ascii="Times New Roman" w:hAnsi="Times New Roman" w:eastAsia="宋体" w:cs="Times New Roman"/>
          <w:sz w:val="24"/>
          <w:szCs w:val="24"/>
        </w:rPr>
        <w:t>≤300mg/L、SS≤400mg/L），然后经市政污水管网排入新密市金门污水处理有限公司进一步处理，处理达标后最终排入双洎河，符合环评及批复要求。</w:t>
      </w:r>
    </w:p>
    <w:p w14:paraId="2EB87C05">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cs="Times New Roman"/>
          <w:sz w:val="24"/>
          <w:szCs w:val="24"/>
          <w:lang w:val="en-US" w:eastAsia="zh-CN"/>
        </w:rPr>
        <w:t>三</w:t>
      </w:r>
      <w:r>
        <w:rPr>
          <w:rFonts w:hint="eastAsia" w:ascii="Times New Roman" w:hAnsi="Times New Roman" w:eastAsia="宋体" w:cs="Times New Roman"/>
          <w:sz w:val="24"/>
          <w:szCs w:val="24"/>
        </w:rPr>
        <w:t>）噪声</w:t>
      </w:r>
    </w:p>
    <w:p w14:paraId="3883D0CE">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验收监测期间，</w:t>
      </w:r>
      <w:r>
        <w:rPr>
          <w:rFonts w:hint="default" w:ascii="Times New Roman" w:hAnsi="Times New Roman" w:eastAsia="宋体" w:cs="Times New Roman"/>
          <w:spacing w:val="9"/>
          <w:sz w:val="24"/>
          <w:szCs w:val="24"/>
          <w:lang w:val="en-US" w:eastAsia="zh-CN"/>
        </w:rPr>
        <w:t>项目四周厂界噪声均满足《工业企业厂界环境噪声排放标准》（GB12348-2008）2类标准要求：昼间≤60dB(A)，夜间≤50dB(A)。</w:t>
      </w:r>
    </w:p>
    <w:p w14:paraId="37A6ED1D">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cs="Times New Roman"/>
          <w:sz w:val="24"/>
          <w:szCs w:val="24"/>
          <w:lang w:val="en-US" w:eastAsia="zh-CN"/>
        </w:rPr>
        <w:t>四</w:t>
      </w:r>
      <w:r>
        <w:rPr>
          <w:rFonts w:hint="eastAsia" w:ascii="Times New Roman" w:hAnsi="Times New Roman" w:eastAsia="宋体" w:cs="Times New Roman"/>
          <w:sz w:val="24"/>
          <w:szCs w:val="24"/>
        </w:rPr>
        <w:t>）固体废弃物</w:t>
      </w:r>
    </w:p>
    <w:p w14:paraId="37787FE7">
      <w:pPr>
        <w:keepNext w:val="0"/>
        <w:keepLines w:val="0"/>
        <w:pageBreakBefore w:val="0"/>
        <w:kinsoku/>
        <w:wordWrap/>
        <w:overflowPunct/>
        <w:topLinePunct w:val="0"/>
        <w:autoSpaceDE/>
        <w:autoSpaceDN/>
        <w:bidi w:val="0"/>
        <w:adjustRightInd/>
        <w:snapToGrid/>
        <w:spacing w:line="360" w:lineRule="auto"/>
        <w:ind w:leftChars="0" w:firstLine="516" w:firstLineChars="200"/>
        <w:textAlignment w:val="auto"/>
        <w:rPr>
          <w:rFonts w:hint="default" w:ascii="Times New Roman" w:hAnsi="Times New Roman" w:eastAsia="宋体" w:cs="Times New Roman"/>
          <w:spacing w:val="9"/>
          <w:sz w:val="24"/>
          <w:szCs w:val="24"/>
          <w:lang w:val="en-US" w:eastAsia="zh-CN"/>
        </w:rPr>
      </w:pPr>
      <w:r>
        <w:rPr>
          <w:rFonts w:hint="default" w:ascii="Times New Roman" w:hAnsi="Times New Roman" w:eastAsia="宋体" w:cs="Times New Roman"/>
          <w:spacing w:val="9"/>
          <w:sz w:val="24"/>
          <w:szCs w:val="24"/>
          <w:lang w:val="en-US" w:eastAsia="zh-CN"/>
        </w:rPr>
        <w:t>项目生活垃圾经垃圾桶收集后交由环卫部门统一清运；化粪池污泥定期清掏，外运至郊区农户用于肥田。经采取上述措施后，本项目产生的固体废物对居民及周围环境影响较小。</w:t>
      </w:r>
    </w:p>
    <w:p w14:paraId="3A639717">
      <w:pPr>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jc w:val="both"/>
        <w:textAlignment w:val="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五、工程</w:t>
      </w:r>
      <w:r>
        <w:rPr>
          <w:rFonts w:hint="eastAsia" w:cs="Times New Roman"/>
          <w:b/>
          <w:bCs/>
          <w:sz w:val="24"/>
          <w:szCs w:val="24"/>
          <w:lang w:val="en-US" w:eastAsia="zh-CN"/>
        </w:rPr>
        <w:t>建设</w:t>
      </w:r>
      <w:r>
        <w:rPr>
          <w:rFonts w:hint="eastAsia" w:ascii="Times New Roman" w:hAnsi="Times New Roman" w:eastAsia="宋体" w:cs="Times New Roman"/>
          <w:b/>
          <w:bCs/>
          <w:sz w:val="24"/>
          <w:szCs w:val="24"/>
        </w:rPr>
        <w:t>对外环境的影响</w:t>
      </w:r>
    </w:p>
    <w:p w14:paraId="63766FBD">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bookmarkStart w:id="1" w:name="_Hlk148479075"/>
      <w:r>
        <w:rPr>
          <w:rFonts w:hint="eastAsia" w:ascii="Times New Roman" w:hAnsi="Times New Roman" w:eastAsia="宋体" w:cs="Times New Roman"/>
          <w:sz w:val="24"/>
          <w:szCs w:val="24"/>
        </w:rPr>
        <w:t>项目废气经废气治理措施处理后达标排放；生产设备采取隔声、减振措施后四周厂界噪声可达标排放；固体废物均能够妥善处置和合理利用。</w:t>
      </w:r>
    </w:p>
    <w:bookmarkEnd w:id="1"/>
    <w:p w14:paraId="05F853F0">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综上，项目基本落实了环境影响报告表及其审批部门审批决定要求，运营后对外环境影响较小。</w:t>
      </w:r>
    </w:p>
    <w:p w14:paraId="1B8EDF7C">
      <w:pPr>
        <w:keepNext w:val="0"/>
        <w:keepLines w:val="0"/>
        <w:pageBreakBefore w:val="0"/>
        <w:kinsoku/>
        <w:wordWrap/>
        <w:overflowPunct/>
        <w:topLinePunct w:val="0"/>
        <w:autoSpaceDE/>
        <w:autoSpaceDN/>
        <w:bidi w:val="0"/>
        <w:adjustRightInd/>
        <w:snapToGrid/>
        <w:spacing w:line="360" w:lineRule="auto"/>
        <w:ind w:firstLine="482"/>
        <w:textAlignment w:val="auto"/>
        <w:rPr>
          <w:b/>
          <w:bCs/>
        </w:rPr>
      </w:pPr>
      <w:r>
        <w:rPr>
          <w:rFonts w:hint="eastAsia"/>
          <w:b/>
          <w:bCs/>
        </w:rPr>
        <w:t>六、验收结论</w:t>
      </w:r>
    </w:p>
    <w:p w14:paraId="0BEA4C5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rPr>
      </w:pPr>
      <w:r>
        <w:rPr>
          <w:rFonts w:hint="eastAsia"/>
        </w:rPr>
        <w:t>经对照《郑州正升置业有限公司正升阳光城小区建设项目环境影响书(报批版</w:t>
      </w:r>
      <w:r>
        <w:rPr>
          <w:rFonts w:hint="eastAsia"/>
          <w:lang w:eastAsia="zh-CN"/>
        </w:rPr>
        <w:t>）</w:t>
      </w:r>
      <w:r>
        <w:rPr>
          <w:rFonts w:hint="eastAsia"/>
        </w:rPr>
        <w:t>》及其批复“郑环审</w:t>
      </w:r>
      <w:r>
        <w:rPr>
          <w:rFonts w:hint="default" w:ascii="Times New Roman" w:hAnsi="Times New Roman" w:eastAsia="宋体" w:cs="Times New Roman"/>
          <w:spacing w:val="9"/>
          <w:sz w:val="24"/>
          <w:szCs w:val="24"/>
          <w:lang w:val="en-US" w:eastAsia="zh-CN"/>
        </w:rPr>
        <w:t>[</w:t>
      </w:r>
      <w:r>
        <w:rPr>
          <w:rFonts w:hint="default" w:ascii="Times New Roman" w:hAnsi="Times New Roman" w:eastAsia="宋体" w:cs="Times New Roman"/>
          <w:sz w:val="24"/>
          <w:lang w:val="en-US" w:eastAsia="zh-CN"/>
        </w:rPr>
        <w:t>2014]232</w:t>
      </w:r>
      <w:r>
        <w:rPr>
          <w:rFonts w:hint="eastAsia" w:cs="Times New Roman"/>
          <w:sz w:val="24"/>
          <w:lang w:val="en-US" w:eastAsia="zh-CN"/>
        </w:rPr>
        <w:t>号</w:t>
      </w:r>
      <w:r>
        <w:rPr>
          <w:rFonts w:hint="eastAsia"/>
        </w:rPr>
        <w:t>”，本项目</w:t>
      </w:r>
      <w:r>
        <w:rPr>
          <w:rFonts w:hint="eastAsia"/>
          <w:lang w:val="en-US" w:eastAsia="zh-CN"/>
        </w:rPr>
        <w:t>已</w:t>
      </w:r>
      <w:r>
        <w:rPr>
          <w:rFonts w:hint="eastAsia"/>
        </w:rPr>
        <w:t>按环境影响</w:t>
      </w:r>
      <w:r>
        <w:rPr>
          <w:rFonts w:hint="eastAsia"/>
          <w:lang w:val="en-US" w:eastAsia="zh-CN"/>
        </w:rPr>
        <w:t>报告</w:t>
      </w:r>
      <w:r>
        <w:rPr>
          <w:rFonts w:hint="eastAsia"/>
        </w:rPr>
        <w:t>书及其审批部门审批决定要求建成环境保护设施</w:t>
      </w:r>
      <w:r>
        <w:rPr>
          <w:rFonts w:hint="eastAsia"/>
          <w:lang w:eastAsia="zh-CN"/>
        </w:rPr>
        <w:t>；</w:t>
      </w:r>
      <w:r>
        <w:rPr>
          <w:rFonts w:hint="eastAsia"/>
        </w:rPr>
        <w:t>污染物排放符合国家和地</w:t>
      </w:r>
      <w:r>
        <w:rPr>
          <w:rFonts w:hint="eastAsia"/>
          <w:lang w:val="en-US" w:eastAsia="zh-CN"/>
        </w:rPr>
        <w:t>方</w:t>
      </w:r>
      <w:r>
        <w:rPr>
          <w:rFonts w:hint="eastAsia"/>
        </w:rPr>
        <w:t>相关标准、环境影响报告书及其审批部门审批决定，重点污染物排放总量控制指标满足要求</w:t>
      </w:r>
      <w:r>
        <w:rPr>
          <w:rFonts w:hint="eastAsia"/>
          <w:lang w:eastAsia="zh-CN"/>
        </w:rPr>
        <w:t>；</w:t>
      </w:r>
      <w:r>
        <w:rPr>
          <w:rFonts w:hint="eastAsia"/>
        </w:rPr>
        <w:t>建设项目的性质、地点、规模、主要建设内容及污染防护措施均未发生变化，仅总建设面积比原环评批复减少、供热形式和化粪池体积发生了变化，经对比分析《污染影响类建设项目重大变动清单(试行</w:t>
      </w:r>
      <w:r>
        <w:rPr>
          <w:rFonts w:hint="eastAsia"/>
          <w:lang w:eastAsia="zh-CN"/>
        </w:rPr>
        <w:t>）</w:t>
      </w:r>
      <w:r>
        <w:rPr>
          <w:rFonts w:hint="eastAsia"/>
        </w:rPr>
        <w:t>》(环办环评函(2020</w:t>
      </w:r>
      <w:r>
        <w:rPr>
          <w:rFonts w:hint="eastAsia"/>
          <w:lang w:eastAsia="zh-CN"/>
        </w:rPr>
        <w:t>〕</w:t>
      </w:r>
      <w:r>
        <w:rPr>
          <w:rFonts w:hint="eastAsia"/>
        </w:rPr>
        <w:t>688号</w:t>
      </w:r>
      <w:r>
        <w:rPr>
          <w:rFonts w:hint="eastAsia"/>
          <w:lang w:eastAsia="zh-CN"/>
        </w:rPr>
        <w:t>）</w:t>
      </w:r>
      <w:r>
        <w:rPr>
          <w:rFonts w:hint="eastAsia"/>
        </w:rPr>
        <w:t>中相关规定，本项目未发生重大变动</w:t>
      </w:r>
      <w:r>
        <w:rPr>
          <w:rFonts w:hint="eastAsia"/>
          <w:lang w:eastAsia="zh-CN"/>
        </w:rPr>
        <w:t>；</w:t>
      </w:r>
      <w:r>
        <w:rPr>
          <w:rFonts w:hint="eastAsia"/>
        </w:rPr>
        <w:t>本项目建设过程中未造成重大环境污染和重大生态破坏</w:t>
      </w:r>
      <w:r>
        <w:rPr>
          <w:rFonts w:hint="eastAsia"/>
          <w:lang w:eastAsia="zh-CN"/>
        </w:rPr>
        <w:t>；</w:t>
      </w:r>
      <w:r>
        <w:rPr>
          <w:rFonts w:hint="eastAsia"/>
        </w:rPr>
        <w:t>环保设施防治环境污染的能力能够满足主体工程需要</w:t>
      </w:r>
      <w:r>
        <w:rPr>
          <w:rFonts w:hint="eastAsia"/>
          <w:lang w:eastAsia="zh-CN"/>
        </w:rPr>
        <w:t>；</w:t>
      </w:r>
      <w:r>
        <w:rPr>
          <w:rFonts w:hint="eastAsia"/>
        </w:rPr>
        <w:t>调试期间本项目未违反国家和地方环境保护法律法规</w:t>
      </w:r>
      <w:r>
        <w:rPr>
          <w:rFonts w:hint="eastAsia"/>
          <w:lang w:eastAsia="zh-CN"/>
        </w:rPr>
        <w:t>；</w:t>
      </w:r>
      <w:r>
        <w:rPr>
          <w:rFonts w:hint="eastAsia"/>
        </w:rPr>
        <w:t>本项目验收报告的基础资料数据客观、真实，内容不存在重大缺项或者遗漏，符合环保验收要求。</w:t>
      </w:r>
    </w:p>
    <w:p w14:paraId="6CAB2594">
      <w:pPr>
        <w:keepNext w:val="0"/>
        <w:keepLines w:val="0"/>
        <w:pageBreakBefore w:val="0"/>
        <w:kinsoku/>
        <w:wordWrap/>
        <w:overflowPunct/>
        <w:topLinePunct w:val="0"/>
        <w:autoSpaceDE/>
        <w:autoSpaceDN/>
        <w:bidi w:val="0"/>
        <w:adjustRightInd/>
        <w:snapToGrid/>
        <w:spacing w:line="360" w:lineRule="auto"/>
        <w:ind w:firstLine="480"/>
        <w:textAlignment w:val="auto"/>
      </w:pPr>
      <w:r>
        <w:rPr>
          <w:rFonts w:hint="eastAsia"/>
        </w:rPr>
        <w:t>综上所述，采取环保措施后，项目废水、废气、噪声、固废均能满足国家和地方相关标准、且能够满足环评文件及其审批部门审批决定，故满足竣工环保验收条件。</w:t>
      </w:r>
    </w:p>
    <w:p w14:paraId="38C8E1F5">
      <w:pPr>
        <w:keepNext w:val="0"/>
        <w:keepLines w:val="0"/>
        <w:pageBreakBefore w:val="0"/>
        <w:kinsoku/>
        <w:wordWrap/>
        <w:overflowPunct/>
        <w:topLinePunct w:val="0"/>
        <w:autoSpaceDE/>
        <w:autoSpaceDN/>
        <w:bidi w:val="0"/>
        <w:adjustRightInd/>
        <w:snapToGrid/>
        <w:spacing w:line="360" w:lineRule="auto"/>
        <w:ind w:firstLine="482"/>
        <w:textAlignment w:val="auto"/>
        <w:rPr>
          <w:b/>
          <w:bCs/>
        </w:rPr>
      </w:pPr>
      <w:r>
        <w:rPr>
          <w:rFonts w:hint="eastAsia"/>
          <w:b/>
          <w:bCs/>
        </w:rPr>
        <w:t>七、后续要求</w:t>
      </w:r>
    </w:p>
    <w:p w14:paraId="773AE2D2">
      <w:pPr>
        <w:keepNext w:val="0"/>
        <w:keepLines w:val="0"/>
        <w:pageBreakBefore w:val="0"/>
        <w:kinsoku/>
        <w:wordWrap/>
        <w:overflowPunct/>
        <w:topLinePunct w:val="0"/>
        <w:autoSpaceDE/>
        <w:autoSpaceDN/>
        <w:bidi w:val="0"/>
        <w:adjustRightInd/>
        <w:snapToGrid/>
        <w:spacing w:line="360" w:lineRule="auto"/>
        <w:ind w:firstLine="516" w:firstLineChars="200"/>
        <w:textAlignment w:val="auto"/>
        <w:rPr>
          <w:rFonts w:hint="default" w:ascii="Times New Roman" w:hAnsi="Times New Roman" w:eastAsia="宋体" w:cs="Times New Roman"/>
          <w:spacing w:val="9"/>
          <w:sz w:val="24"/>
          <w:szCs w:val="24"/>
          <w:lang w:val="en-US" w:eastAsia="zh-CN"/>
        </w:rPr>
      </w:pPr>
      <w:r>
        <w:rPr>
          <w:rFonts w:hint="default" w:ascii="Times New Roman" w:hAnsi="Times New Roman" w:eastAsia="宋体" w:cs="Times New Roman"/>
          <w:spacing w:val="9"/>
          <w:sz w:val="24"/>
          <w:szCs w:val="24"/>
          <w:lang w:val="en-US" w:eastAsia="zh-CN"/>
        </w:rPr>
        <w:t>定期检修各环保设施，保证污染物长期稳定达标排放</w:t>
      </w:r>
      <w:r>
        <w:rPr>
          <w:rFonts w:hint="eastAsia" w:ascii="Times New Roman" w:hAnsi="Times New Roman" w:eastAsia="宋体" w:cs="Times New Roman"/>
          <w:spacing w:val="9"/>
          <w:sz w:val="24"/>
          <w:szCs w:val="24"/>
          <w:lang w:val="en-US" w:eastAsia="zh-CN"/>
        </w:rPr>
        <w:t>。</w:t>
      </w:r>
    </w:p>
    <w:p w14:paraId="0B7AC86D">
      <w:pPr>
        <w:keepNext w:val="0"/>
        <w:keepLines w:val="0"/>
        <w:pageBreakBefore w:val="0"/>
        <w:kinsoku/>
        <w:wordWrap/>
        <w:overflowPunct/>
        <w:topLinePunct w:val="0"/>
        <w:autoSpaceDE/>
        <w:autoSpaceDN/>
        <w:bidi w:val="0"/>
        <w:spacing w:line="360" w:lineRule="auto"/>
        <w:ind w:firstLine="480"/>
        <w:textAlignment w:val="auto"/>
        <w:rPr>
          <w:color w:val="auto"/>
        </w:rPr>
      </w:pPr>
    </w:p>
    <w:p w14:paraId="641A493E">
      <w:pPr>
        <w:keepNext w:val="0"/>
        <w:keepLines w:val="0"/>
        <w:pageBreakBefore w:val="0"/>
        <w:kinsoku/>
        <w:wordWrap/>
        <w:overflowPunct/>
        <w:topLinePunct w:val="0"/>
        <w:autoSpaceDE/>
        <w:autoSpaceDN/>
        <w:bidi w:val="0"/>
        <w:spacing w:line="360" w:lineRule="auto"/>
        <w:ind w:firstLine="482"/>
        <w:jc w:val="right"/>
        <w:textAlignment w:val="auto"/>
        <w:rPr>
          <w:rFonts w:hint="eastAsia"/>
          <w:b/>
          <w:bCs/>
          <w:color w:val="auto"/>
          <w:lang w:eastAsia="zh-CN"/>
        </w:rPr>
      </w:pPr>
    </w:p>
    <w:p w14:paraId="7BF8FC9F">
      <w:pPr>
        <w:keepNext w:val="0"/>
        <w:keepLines w:val="0"/>
        <w:pageBreakBefore w:val="0"/>
        <w:kinsoku/>
        <w:wordWrap/>
        <w:overflowPunct/>
        <w:topLinePunct w:val="0"/>
        <w:autoSpaceDE/>
        <w:autoSpaceDN/>
        <w:bidi w:val="0"/>
        <w:spacing w:line="360" w:lineRule="auto"/>
        <w:ind w:firstLine="482"/>
        <w:jc w:val="right"/>
        <w:textAlignment w:val="auto"/>
        <w:rPr>
          <w:rFonts w:hint="eastAsia"/>
          <w:b/>
          <w:bCs/>
          <w:color w:val="auto"/>
          <w:lang w:eastAsia="zh-CN"/>
        </w:rPr>
      </w:pPr>
      <w:r>
        <w:rPr>
          <w:rFonts w:hint="eastAsia"/>
          <w:b/>
          <w:bCs/>
          <w:color w:val="auto"/>
          <w:lang w:eastAsia="zh-CN"/>
        </w:rPr>
        <w:t>郑州正升置业有限公司</w:t>
      </w:r>
    </w:p>
    <w:p w14:paraId="343416D0">
      <w:pPr>
        <w:keepNext w:val="0"/>
        <w:keepLines w:val="0"/>
        <w:pageBreakBefore w:val="0"/>
        <w:kinsoku/>
        <w:wordWrap/>
        <w:overflowPunct/>
        <w:topLinePunct w:val="0"/>
        <w:autoSpaceDE/>
        <w:autoSpaceDN/>
        <w:bidi w:val="0"/>
        <w:spacing w:line="360" w:lineRule="auto"/>
        <w:ind w:firstLine="482"/>
        <w:jc w:val="right"/>
        <w:textAlignment w:val="auto"/>
        <w:rPr>
          <w:b/>
          <w:bCs/>
          <w:color w:val="auto"/>
        </w:rPr>
        <w:sectPr>
          <w:headerReference r:id="rId5" w:type="default"/>
          <w:footerReference r:id="rId6" w:type="default"/>
          <w:pgSz w:w="11906" w:h="16838"/>
          <w:pgMar w:top="1417" w:right="1417" w:bottom="1417" w:left="1417" w:header="708" w:footer="708" w:gutter="0"/>
          <w:cols w:space="708" w:num="1"/>
          <w:docGrid w:linePitch="360" w:charSpace="0"/>
        </w:sectPr>
      </w:pPr>
      <w:r>
        <w:rPr>
          <w:b/>
          <w:bCs/>
          <w:color w:val="auto"/>
        </w:rPr>
        <w:t>202</w:t>
      </w:r>
      <w:r>
        <w:rPr>
          <w:rFonts w:hint="eastAsia"/>
          <w:b/>
          <w:bCs/>
          <w:color w:val="auto"/>
          <w:lang w:val="en-US" w:eastAsia="zh-CN"/>
        </w:rPr>
        <w:t>4</w:t>
      </w:r>
      <w:r>
        <w:rPr>
          <w:b/>
          <w:bCs/>
          <w:color w:val="auto"/>
        </w:rPr>
        <w:t>年</w:t>
      </w:r>
      <w:r>
        <w:rPr>
          <w:rFonts w:hint="eastAsia"/>
          <w:b/>
          <w:bCs/>
          <w:color w:val="auto"/>
          <w:lang w:val="en-US" w:eastAsia="zh-CN"/>
        </w:rPr>
        <w:t>8</w:t>
      </w:r>
      <w:r>
        <w:rPr>
          <w:b/>
          <w:bCs/>
          <w:color w:val="auto"/>
        </w:rPr>
        <w:t>月</w:t>
      </w:r>
      <w:r>
        <w:rPr>
          <w:rFonts w:hint="eastAsia"/>
          <w:b/>
          <w:bCs/>
          <w:color w:val="auto"/>
          <w:lang w:val="en-US" w:eastAsia="zh-CN"/>
        </w:rPr>
        <w:t>16</w:t>
      </w:r>
      <w:r>
        <w:rPr>
          <w:b/>
          <w:bCs/>
          <w:color w:val="auto"/>
        </w:rPr>
        <w:t>日</w:t>
      </w:r>
    </w:p>
    <w:p w14:paraId="2886C383">
      <w:pPr>
        <w:pStyle w:val="7"/>
        <w:spacing w:line="240" w:lineRule="auto"/>
        <w:ind w:left="0" w:leftChars="0" w:firstLine="0" w:firstLineChars="0"/>
        <w:jc w:val="both"/>
        <w:rPr>
          <w:rFonts w:hint="eastAsia"/>
          <w:lang w:eastAsia="zh-CN"/>
        </w:rPr>
      </w:pPr>
      <w:r>
        <w:rPr>
          <w:rFonts w:hint="eastAsia"/>
          <w:lang w:eastAsia="zh-CN"/>
        </w:rPr>
        <w:drawing>
          <wp:inline distT="0" distB="0" distL="114300" distR="114300">
            <wp:extent cx="6198235" cy="9726295"/>
            <wp:effectExtent l="0" t="0" r="8255" b="12065"/>
            <wp:docPr id="1" name="图片 1" descr="CCI_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CI_000001"/>
                    <pic:cNvPicPr>
                      <a:picLocks noChangeAspect="1"/>
                    </pic:cNvPicPr>
                  </pic:nvPicPr>
                  <pic:blipFill>
                    <a:blip r:embed="rId8"/>
                    <a:srcRect l="9068"/>
                    <a:stretch>
                      <a:fillRect/>
                    </a:stretch>
                  </pic:blipFill>
                  <pic:spPr>
                    <a:xfrm rot="16200000">
                      <a:off x="0" y="0"/>
                      <a:ext cx="6198235" cy="9726295"/>
                    </a:xfrm>
                    <a:prstGeom prst="rect">
                      <a:avLst/>
                    </a:prstGeom>
                  </pic:spPr>
                </pic:pic>
              </a:graphicData>
            </a:graphic>
          </wp:inline>
        </w:drawing>
      </w:r>
    </w:p>
    <w:sectPr>
      <w:pgSz w:w="16838" w:h="11906" w:orient="landscape"/>
      <w:pgMar w:top="850" w:right="850" w:bottom="850" w:left="85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D2A59">
    <w:pPr>
      <w:pStyle w:val="5"/>
      <w:ind w:firstLine="4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80"/>
      </w:pPr>
      <w:r>
        <w:separator/>
      </w:r>
    </w:p>
  </w:footnote>
  <w:footnote w:type="continuationSeparator" w:id="1">
    <w:p>
      <w:pPr>
        <w:spacing w:before="0" w:after="0"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6EA34">
    <w:pPr>
      <w:pStyle w:val="6"/>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6F709"/>
    <w:multiLevelType w:val="singleLevel"/>
    <w:tmpl w:val="B496F709"/>
    <w:lvl w:ilvl="0" w:tentative="0">
      <w:start w:val="1"/>
      <w:numFmt w:val="bullet"/>
      <w:pStyle w:val="3"/>
      <w:lvlText w:val=""/>
      <w:lvlJc w:val="left"/>
      <w:pPr>
        <w:tabs>
          <w:tab w:val="left" w:pos="2040"/>
        </w:tabs>
        <w:ind w:left="2040" w:hanging="360"/>
      </w:pPr>
      <w:rPr>
        <w:rFonts w:hint="default" w:ascii="Wingdings" w:hAnsi="Wingdings"/>
      </w:rPr>
    </w:lvl>
  </w:abstractNum>
  <w:abstractNum w:abstractNumId="1">
    <w:nsid w:val="4B842B93"/>
    <w:multiLevelType w:val="singleLevel"/>
    <w:tmpl w:val="4B842B93"/>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NjZjk0MzI4MGViNmI5NWE2NDM5MDdhM2VjNWU0OTUifQ=="/>
  </w:docVars>
  <w:rsids>
    <w:rsidRoot w:val="00CC1CB0"/>
    <w:rsid w:val="000E631F"/>
    <w:rsid w:val="0014424A"/>
    <w:rsid w:val="00386361"/>
    <w:rsid w:val="00682A3D"/>
    <w:rsid w:val="00B46918"/>
    <w:rsid w:val="00C813C7"/>
    <w:rsid w:val="00CC1CB0"/>
    <w:rsid w:val="00DE42F6"/>
    <w:rsid w:val="00F17185"/>
    <w:rsid w:val="00FF6B78"/>
    <w:rsid w:val="02CE5F4B"/>
    <w:rsid w:val="039F6809"/>
    <w:rsid w:val="042F5A4E"/>
    <w:rsid w:val="05992F79"/>
    <w:rsid w:val="07B477E2"/>
    <w:rsid w:val="0BB93035"/>
    <w:rsid w:val="0DF26046"/>
    <w:rsid w:val="0EAC50D3"/>
    <w:rsid w:val="0F0E4C57"/>
    <w:rsid w:val="0FEE34C9"/>
    <w:rsid w:val="11250452"/>
    <w:rsid w:val="126D2DCB"/>
    <w:rsid w:val="13294F44"/>
    <w:rsid w:val="13D84274"/>
    <w:rsid w:val="14506500"/>
    <w:rsid w:val="1C6057AF"/>
    <w:rsid w:val="1E8B697F"/>
    <w:rsid w:val="1FF35445"/>
    <w:rsid w:val="21050673"/>
    <w:rsid w:val="216929AF"/>
    <w:rsid w:val="22EC1AEA"/>
    <w:rsid w:val="23D031BA"/>
    <w:rsid w:val="24035F1A"/>
    <w:rsid w:val="2539409D"/>
    <w:rsid w:val="258458FE"/>
    <w:rsid w:val="25F93A57"/>
    <w:rsid w:val="268C786C"/>
    <w:rsid w:val="2714160F"/>
    <w:rsid w:val="28E03E9F"/>
    <w:rsid w:val="297121CD"/>
    <w:rsid w:val="2C920E88"/>
    <w:rsid w:val="2CE83322"/>
    <w:rsid w:val="2E243631"/>
    <w:rsid w:val="2E2B02C6"/>
    <w:rsid w:val="2E943588"/>
    <w:rsid w:val="2ED2428A"/>
    <w:rsid w:val="2FB91E3B"/>
    <w:rsid w:val="307209DC"/>
    <w:rsid w:val="309107BB"/>
    <w:rsid w:val="310D77FB"/>
    <w:rsid w:val="3115045E"/>
    <w:rsid w:val="312B7C81"/>
    <w:rsid w:val="31CA749A"/>
    <w:rsid w:val="331C5AD4"/>
    <w:rsid w:val="33380434"/>
    <w:rsid w:val="35D33412"/>
    <w:rsid w:val="361B141B"/>
    <w:rsid w:val="37AE5AF6"/>
    <w:rsid w:val="3A5956C6"/>
    <w:rsid w:val="3B554279"/>
    <w:rsid w:val="3C073B61"/>
    <w:rsid w:val="3C3976F6"/>
    <w:rsid w:val="3CE468D7"/>
    <w:rsid w:val="3E483C21"/>
    <w:rsid w:val="3F32042D"/>
    <w:rsid w:val="40776A3F"/>
    <w:rsid w:val="43A72166"/>
    <w:rsid w:val="441427F7"/>
    <w:rsid w:val="44E952E8"/>
    <w:rsid w:val="4643754A"/>
    <w:rsid w:val="46571E88"/>
    <w:rsid w:val="47665997"/>
    <w:rsid w:val="4AA20B5D"/>
    <w:rsid w:val="4AD11442"/>
    <w:rsid w:val="4B3F31DE"/>
    <w:rsid w:val="4B9B520B"/>
    <w:rsid w:val="4BA966BF"/>
    <w:rsid w:val="4BF61160"/>
    <w:rsid w:val="4E824F2D"/>
    <w:rsid w:val="4EF92D15"/>
    <w:rsid w:val="521560B8"/>
    <w:rsid w:val="52BB6C5F"/>
    <w:rsid w:val="55482300"/>
    <w:rsid w:val="562675A1"/>
    <w:rsid w:val="584D65AC"/>
    <w:rsid w:val="5A386DE8"/>
    <w:rsid w:val="5AB67D0C"/>
    <w:rsid w:val="5C82610F"/>
    <w:rsid w:val="623C292A"/>
    <w:rsid w:val="62415780"/>
    <w:rsid w:val="644B7717"/>
    <w:rsid w:val="67E255FE"/>
    <w:rsid w:val="6B2C6CFC"/>
    <w:rsid w:val="6B713F07"/>
    <w:rsid w:val="6CB75E83"/>
    <w:rsid w:val="6CBF0CA2"/>
    <w:rsid w:val="70082960"/>
    <w:rsid w:val="71E76CD1"/>
    <w:rsid w:val="721B1F47"/>
    <w:rsid w:val="747D391D"/>
    <w:rsid w:val="74AC7D5E"/>
    <w:rsid w:val="75EF25F8"/>
    <w:rsid w:val="76AC3AF2"/>
    <w:rsid w:val="77324E93"/>
    <w:rsid w:val="77DA67A7"/>
    <w:rsid w:val="789D27E0"/>
    <w:rsid w:val="78AC7C37"/>
    <w:rsid w:val="792C5912"/>
    <w:rsid w:val="7C105077"/>
    <w:rsid w:val="7FE620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0" w:line="480" w:lineRule="exact"/>
      <w:ind w:firstLine="200" w:firstLineChars="200"/>
      <w:jc w:val="both"/>
    </w:pPr>
    <w:rPr>
      <w:rFonts w:ascii="Times New Roman" w:hAnsi="Times New Roman" w:eastAsia="宋体" w:cstheme="minorBidi"/>
      <w:kern w:val="2"/>
      <w:sz w:val="24"/>
      <w:szCs w:val="22"/>
      <w:lang w:eastAsia="zh-CN" w:bidi="ar-SA"/>
      <w14:ligatures w14:val="standardContextual"/>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0"/>
    <w:rPr>
      <w:rFonts w:ascii="Calibri" w:hAnsi="Calibri" w:eastAsia="宋体" w:cs="Times New Roman"/>
      <w:sz w:val="28"/>
    </w:rPr>
  </w:style>
  <w:style w:type="paragraph" w:styleId="3">
    <w:name w:val="List Bullet 5"/>
    <w:basedOn w:val="1"/>
    <w:autoRedefine/>
    <w:semiHidden/>
    <w:unhideWhenUsed/>
    <w:qFormat/>
    <w:uiPriority w:val="99"/>
    <w:pPr>
      <w:numPr>
        <w:ilvl w:val="0"/>
        <w:numId w:val="1"/>
      </w:numPr>
    </w:pPr>
  </w:style>
  <w:style w:type="paragraph" w:styleId="4">
    <w:name w:val="Body Text Indent"/>
    <w:basedOn w:val="1"/>
    <w:autoRedefine/>
    <w:qFormat/>
    <w:uiPriority w:val="0"/>
    <w:pPr>
      <w:ind w:firstLine="560"/>
    </w:pPr>
    <w:rPr>
      <w:rFonts w:ascii="宋体"/>
      <w:sz w:val="24"/>
    </w:rPr>
  </w:style>
  <w:style w:type="paragraph" w:styleId="5">
    <w:name w:val="footer"/>
    <w:basedOn w:val="1"/>
    <w:link w:val="12"/>
    <w:autoRedefine/>
    <w:unhideWhenUsed/>
    <w:qFormat/>
    <w:uiPriority w:val="99"/>
    <w:pPr>
      <w:tabs>
        <w:tab w:val="center" w:pos="4153"/>
        <w:tab w:val="right" w:pos="8306"/>
      </w:tabs>
      <w:spacing w:line="240" w:lineRule="auto"/>
    </w:pPr>
  </w:style>
  <w:style w:type="paragraph" w:styleId="6">
    <w:name w:val="header"/>
    <w:basedOn w:val="1"/>
    <w:link w:val="11"/>
    <w:autoRedefine/>
    <w:unhideWhenUsed/>
    <w:qFormat/>
    <w:uiPriority w:val="99"/>
    <w:pPr>
      <w:tabs>
        <w:tab w:val="center" w:pos="4153"/>
        <w:tab w:val="right" w:pos="8306"/>
      </w:tabs>
      <w:spacing w:line="240" w:lineRule="auto"/>
    </w:pPr>
  </w:style>
  <w:style w:type="paragraph" w:styleId="7">
    <w:name w:val="Body Text First Indent 2"/>
    <w:basedOn w:val="1"/>
    <w:next w:val="1"/>
    <w:autoRedefine/>
    <w:qFormat/>
    <w:uiPriority w:val="0"/>
    <w:pPr>
      <w:spacing w:after="120"/>
      <w:ind w:left="420" w:leftChars="200" w:firstLine="420"/>
    </w:pPr>
  </w:style>
  <w:style w:type="table" w:styleId="9">
    <w:name w:val="Table Grid"/>
    <w:basedOn w:val="8"/>
    <w:autoRedefine/>
    <w:qFormat/>
    <w:uiPriority w:val="0"/>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basedOn w:val="10"/>
    <w:link w:val="6"/>
    <w:autoRedefine/>
    <w:qFormat/>
    <w:uiPriority w:val="99"/>
  </w:style>
  <w:style w:type="character" w:customStyle="1" w:styleId="12">
    <w:name w:val="页脚 字符"/>
    <w:basedOn w:val="10"/>
    <w:link w:val="5"/>
    <w:autoRedefine/>
    <w:qFormat/>
    <w:uiPriority w:val="99"/>
  </w:style>
  <w:style w:type="paragraph" w:customStyle="1" w:styleId="13">
    <w:name w:val="样式 居中"/>
    <w:basedOn w:val="1"/>
    <w:autoRedefine/>
    <w:qFormat/>
    <w:uiPriority w:val="0"/>
    <w:pPr>
      <w:widowControl w:val="0"/>
      <w:adjustRightInd/>
      <w:snapToGrid/>
      <w:spacing w:after="0"/>
      <w:jc w:val="center"/>
    </w:pPr>
    <w:rPr>
      <w:rFonts w:ascii="Times New Roman" w:hAnsi="Times New Roman" w:eastAsia="宋体" w:cs="宋体"/>
      <w:kern w:val="2"/>
      <w:sz w:val="21"/>
      <w:szCs w:val="21"/>
    </w:rPr>
  </w:style>
  <w:style w:type="paragraph" w:styleId="14">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2881</Words>
  <Characters>3088</Characters>
  <Lines>20</Lines>
  <Paragraphs>5</Paragraphs>
  <TotalTime>3</TotalTime>
  <ScaleCrop>false</ScaleCrop>
  <LinksUpToDate>false</LinksUpToDate>
  <CharactersWithSpaces>3096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2023-10-17T15:31:00Z</dcterms:created>
  <dc:creator>KK 萧</dc:creator>
  <cp:lastModifiedBy>若兮</cp:lastModifiedBy>
  <dcterms:modified xsi:type="dcterms:W3CDTF">2024-08-16T09:12:40Z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241DCBB24855443A983E39CB3E53DC96_12</vt:lpwstr>
  </property>
</Properties>
</file>