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0F0ED7">
      <w:pPr>
        <w:keepNext w:val="0"/>
        <w:keepLines w:val="0"/>
        <w:pageBreakBefore w:val="0"/>
        <w:widowControl w:val="0"/>
        <w:kinsoku/>
        <w:overflowPunct/>
        <w:topLinePunct w:val="0"/>
        <w:bidi w:val="0"/>
        <w:adjustRightInd w:val="0"/>
        <w:snapToGrid w:val="0"/>
        <w:spacing w:line="360" w:lineRule="auto"/>
        <w:ind w:firstLine="643" w:firstLineChars="200"/>
        <w:jc w:val="center"/>
        <w:textAlignment w:val="auto"/>
        <w:rPr>
          <w:rFonts w:hint="eastAsia" w:cs="Times New Roman" w:eastAsiaTheme="minorEastAsia"/>
          <w:b/>
          <w:bCs/>
          <w:sz w:val="32"/>
          <w:szCs w:val="32"/>
          <w:lang w:val="en-US" w:eastAsia="zh-CN"/>
        </w:rPr>
      </w:pPr>
      <w:r>
        <w:rPr>
          <w:rFonts w:hint="eastAsia" w:cs="Times New Roman" w:eastAsiaTheme="minorEastAsia"/>
          <w:b/>
          <w:bCs/>
          <w:sz w:val="32"/>
          <w:szCs w:val="32"/>
          <w:lang w:val="en-US" w:eastAsia="zh-CN"/>
        </w:rPr>
        <w:t>海晏县德州南建筑石料用花岗岩矿项目</w:t>
      </w:r>
    </w:p>
    <w:p w14:paraId="41D0ABA5">
      <w:pPr>
        <w:keepNext w:val="0"/>
        <w:keepLines w:val="0"/>
        <w:pageBreakBefore w:val="0"/>
        <w:widowControl w:val="0"/>
        <w:kinsoku/>
        <w:overflowPunct/>
        <w:topLinePunct w:val="0"/>
        <w:bidi w:val="0"/>
        <w:adjustRightInd w:val="0"/>
        <w:snapToGrid w:val="0"/>
        <w:spacing w:line="360" w:lineRule="auto"/>
        <w:ind w:firstLine="643" w:firstLineChars="200"/>
        <w:jc w:val="center"/>
        <w:textAlignment w:val="auto"/>
        <w:rPr>
          <w:rFonts w:hint="default" w:ascii="Times New Roman" w:hAnsi="Times New Roman" w:cs="Times New Roman"/>
          <w:b/>
          <w:bCs/>
          <w:sz w:val="32"/>
          <w:szCs w:val="32"/>
        </w:rPr>
      </w:pPr>
      <w:r>
        <w:rPr>
          <w:rFonts w:hint="default" w:ascii="Times New Roman" w:hAnsi="Times New Roman" w:cs="Times New Roman"/>
          <w:b/>
          <w:bCs/>
          <w:sz w:val="32"/>
          <w:szCs w:val="32"/>
        </w:rPr>
        <w:t>竣工环境保护验收意见</w:t>
      </w:r>
    </w:p>
    <w:p w14:paraId="2CE967A3">
      <w:pPr>
        <w:keepNext w:val="0"/>
        <w:keepLines w:val="0"/>
        <w:pageBreakBefore w:val="0"/>
        <w:widowControl w:val="0"/>
        <w:kinsoku/>
        <w:overflowPunct/>
        <w:topLinePunct w:val="0"/>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lang w:val="en-US" w:eastAsia="zh-CN"/>
        </w:rPr>
        <w:t>202</w:t>
      </w:r>
      <w:r>
        <w:rPr>
          <w:rFonts w:hint="eastAsia" w:ascii="Times New Roman" w:hAnsi="Times New Roman" w:eastAsia="宋体" w:cs="Times New Roman"/>
          <w:sz w:val="24"/>
          <w:szCs w:val="32"/>
          <w:lang w:val="en-US" w:eastAsia="zh-CN"/>
        </w:rPr>
        <w:t>4</w:t>
      </w:r>
      <w:r>
        <w:rPr>
          <w:rFonts w:hint="default" w:ascii="Times New Roman" w:hAnsi="Times New Roman" w:eastAsia="宋体" w:cs="Times New Roman"/>
          <w:sz w:val="24"/>
          <w:szCs w:val="32"/>
        </w:rPr>
        <w:t>年</w:t>
      </w:r>
      <w:r>
        <w:rPr>
          <w:rFonts w:hint="eastAsia" w:ascii="Times New Roman" w:hAnsi="Times New Roman" w:eastAsia="宋体" w:cs="Times New Roman"/>
          <w:sz w:val="24"/>
          <w:szCs w:val="32"/>
          <w:lang w:val="en-US" w:eastAsia="zh-CN"/>
        </w:rPr>
        <w:t>1</w:t>
      </w:r>
      <w:r>
        <w:rPr>
          <w:rFonts w:hint="eastAsia" w:ascii="Times New Roman" w:hAnsi="Times New Roman" w:eastAsia="宋体" w:cs="Times New Roman"/>
          <w:color w:val="auto"/>
          <w:sz w:val="24"/>
          <w:szCs w:val="32"/>
          <w:lang w:val="en-US" w:eastAsia="zh-CN"/>
        </w:rPr>
        <w:t>0</w:t>
      </w:r>
      <w:r>
        <w:rPr>
          <w:rFonts w:hint="default" w:ascii="Times New Roman" w:hAnsi="Times New Roman" w:eastAsia="宋体" w:cs="Times New Roman"/>
          <w:color w:val="auto"/>
          <w:sz w:val="24"/>
          <w:szCs w:val="32"/>
        </w:rPr>
        <w:t>月</w:t>
      </w:r>
      <w:r>
        <w:rPr>
          <w:rFonts w:hint="default" w:ascii="Times New Roman" w:hAnsi="Times New Roman" w:eastAsia="宋体" w:cs="Times New Roman"/>
          <w:color w:val="auto"/>
          <w:sz w:val="24"/>
          <w:szCs w:val="32"/>
          <w:lang w:val="en-US" w:eastAsia="zh-CN"/>
        </w:rPr>
        <w:t>2</w:t>
      </w:r>
      <w:r>
        <w:rPr>
          <w:rFonts w:hint="eastAsia" w:ascii="Times New Roman" w:hAnsi="Times New Roman" w:eastAsia="宋体" w:cs="Times New Roman"/>
          <w:color w:val="auto"/>
          <w:sz w:val="24"/>
          <w:szCs w:val="32"/>
          <w:lang w:val="en-US" w:eastAsia="zh-CN"/>
        </w:rPr>
        <w:t>5</w:t>
      </w:r>
      <w:r>
        <w:rPr>
          <w:rFonts w:hint="default" w:ascii="Times New Roman" w:hAnsi="Times New Roman" w:eastAsia="宋体" w:cs="Times New Roman"/>
          <w:color w:val="auto"/>
          <w:sz w:val="24"/>
          <w:szCs w:val="32"/>
        </w:rPr>
        <w:t>日，</w:t>
      </w:r>
      <w:r>
        <w:rPr>
          <w:rFonts w:hint="eastAsia" w:ascii="Times New Roman" w:hAnsi="Times New Roman" w:eastAsia="宋体" w:cs="Times New Roman"/>
          <w:color w:val="auto"/>
          <w:sz w:val="24"/>
          <w:szCs w:val="32"/>
          <w:lang w:eastAsia="zh-CN"/>
        </w:rPr>
        <w:t>海晏建海工程投资有限公司</w:t>
      </w:r>
      <w:r>
        <w:rPr>
          <w:rFonts w:hint="default" w:ascii="Times New Roman" w:hAnsi="Times New Roman" w:eastAsia="宋体" w:cs="Times New Roman"/>
          <w:sz w:val="24"/>
          <w:szCs w:val="32"/>
        </w:rPr>
        <w:t>根据</w:t>
      </w:r>
      <w:r>
        <w:rPr>
          <w:rFonts w:hint="eastAsia" w:ascii="宋体" w:hAnsi="宋体" w:eastAsia="宋体" w:cs="宋体"/>
          <w:sz w:val="24"/>
          <w:szCs w:val="24"/>
          <w:lang w:val="en-US" w:eastAsia="zh-CN"/>
        </w:rPr>
        <w:t>海晏县德州南建筑石料用花岗岩矿项目</w:t>
      </w:r>
      <w:r>
        <w:rPr>
          <w:rFonts w:hint="eastAsia" w:ascii="宋体" w:hAnsi="宋体" w:eastAsia="宋体" w:cs="宋体"/>
          <w:sz w:val="24"/>
          <w:szCs w:val="32"/>
        </w:rPr>
        <w:t>竣</w:t>
      </w:r>
      <w:r>
        <w:rPr>
          <w:rFonts w:hint="default" w:ascii="Times New Roman" w:hAnsi="Times New Roman" w:eastAsia="宋体" w:cs="Times New Roman"/>
          <w:sz w:val="24"/>
          <w:szCs w:val="32"/>
        </w:rPr>
        <w:t>工环境保护设施验收调查报告表</w:t>
      </w:r>
      <w:r>
        <w:rPr>
          <w:rFonts w:hint="eastAsia" w:ascii="Times New Roman" w:hAnsi="Times New Roman" w:eastAsia="宋体" w:cs="Times New Roman"/>
          <w:sz w:val="24"/>
          <w:szCs w:val="32"/>
          <w:lang w:eastAsia="zh-CN"/>
        </w:rPr>
        <w:t>，</w:t>
      </w:r>
      <w:r>
        <w:rPr>
          <w:rFonts w:hint="default" w:ascii="Times New Roman" w:hAnsi="Times New Roman" w:eastAsia="宋体" w:cs="Times New Roman"/>
          <w:sz w:val="24"/>
          <w:szCs w:val="32"/>
        </w:rPr>
        <w:t>并对照《建设项目竣工环境保护验收暂行办法》</w:t>
      </w:r>
      <w:r>
        <w:rPr>
          <w:rFonts w:hint="default" w:ascii="Times New Roman" w:hAnsi="Times New Roman" w:eastAsia="宋体" w:cs="Times New Roman"/>
          <w:sz w:val="24"/>
          <w:szCs w:val="32"/>
          <w:lang w:eastAsia="zh-CN"/>
        </w:rPr>
        <w:t>，</w:t>
      </w:r>
      <w:r>
        <w:rPr>
          <w:rFonts w:hint="default" w:ascii="Times New Roman" w:hAnsi="Times New Roman" w:eastAsia="宋体" w:cs="Times New Roman"/>
          <w:sz w:val="24"/>
          <w:szCs w:val="32"/>
        </w:rPr>
        <w:t>严格依照国家有关法律法规、建设项目竣工环境保护设施验收技术规范和指南、本项目环境影响报告</w:t>
      </w:r>
      <w:r>
        <w:rPr>
          <w:rFonts w:hint="default" w:ascii="Times New Roman" w:hAnsi="Times New Roman" w:eastAsia="宋体" w:cs="Times New Roman"/>
          <w:sz w:val="24"/>
          <w:szCs w:val="32"/>
          <w:lang w:eastAsia="zh-CN"/>
        </w:rPr>
        <w:t>表</w:t>
      </w:r>
      <w:r>
        <w:rPr>
          <w:rFonts w:hint="default" w:ascii="Times New Roman" w:hAnsi="Times New Roman" w:eastAsia="宋体" w:cs="Times New Roman"/>
          <w:sz w:val="24"/>
          <w:szCs w:val="32"/>
        </w:rPr>
        <w:t>和审批部门审批决定等要求对本项目进行验收，提出意见如下：</w:t>
      </w:r>
    </w:p>
    <w:p w14:paraId="517D3DD1">
      <w:pPr>
        <w:keepNext w:val="0"/>
        <w:keepLines w:val="0"/>
        <w:pageBreakBefore w:val="0"/>
        <w:widowControl w:val="0"/>
        <w:kinsoku/>
        <w:overflowPunct/>
        <w:topLinePunct w:val="0"/>
        <w:bidi w:val="0"/>
        <w:adjustRightInd w:val="0"/>
        <w:snapToGrid w:val="0"/>
        <w:spacing w:line="360" w:lineRule="auto"/>
        <w:jc w:val="both"/>
        <w:textAlignment w:val="auto"/>
        <w:rPr>
          <w:rFonts w:hint="default" w:ascii="Times New Roman" w:hAnsi="Times New Roman" w:eastAsia="宋体" w:cs="Times New Roman"/>
          <w:b/>
          <w:bCs/>
          <w:sz w:val="24"/>
          <w:szCs w:val="32"/>
        </w:rPr>
      </w:pPr>
      <w:r>
        <w:rPr>
          <w:rFonts w:hint="eastAsia" w:ascii="Times New Roman" w:hAnsi="Times New Roman" w:eastAsia="宋体" w:cs="Times New Roman"/>
          <w:b/>
          <w:bCs/>
          <w:sz w:val="24"/>
          <w:szCs w:val="32"/>
          <w:lang w:eastAsia="zh-CN"/>
        </w:rPr>
        <w:t>一</w:t>
      </w:r>
      <w:r>
        <w:rPr>
          <w:rFonts w:hint="default" w:ascii="Times New Roman" w:hAnsi="Times New Roman" w:eastAsia="宋体" w:cs="Times New Roman"/>
          <w:b/>
          <w:bCs/>
          <w:sz w:val="24"/>
          <w:szCs w:val="32"/>
          <w:lang w:eastAsia="zh-CN"/>
        </w:rPr>
        <w:t>、</w:t>
      </w:r>
      <w:r>
        <w:rPr>
          <w:rFonts w:hint="default" w:ascii="Times New Roman" w:hAnsi="Times New Roman" w:eastAsia="宋体" w:cs="Times New Roman"/>
          <w:b/>
          <w:bCs/>
          <w:sz w:val="24"/>
          <w:szCs w:val="32"/>
        </w:rPr>
        <w:t>建设项目基本情况</w:t>
      </w:r>
    </w:p>
    <w:p w14:paraId="16C6764B">
      <w:pPr>
        <w:keepNext w:val="0"/>
        <w:keepLines w:val="0"/>
        <w:pageBreakBefore w:val="0"/>
        <w:widowControl w:val="0"/>
        <w:kinsoku/>
        <w:overflowPunct/>
        <w:topLinePunct w:val="0"/>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1.1建设地点、规模、主要建设内容</w:t>
      </w:r>
    </w:p>
    <w:p w14:paraId="3F45A7C2">
      <w:pPr>
        <w:keepNext w:val="0"/>
        <w:keepLines w:val="0"/>
        <w:pageBreakBefore w:val="0"/>
        <w:widowControl w:val="0"/>
        <w:kinsoku/>
        <w:overflowPunct/>
        <w:topLinePunct w:val="0"/>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eastAsia" w:ascii="Times New Roman" w:hAnsi="Times New Roman" w:eastAsia="宋体" w:cs="Times New Roman"/>
          <w:sz w:val="24"/>
          <w:szCs w:val="24"/>
          <w:lang w:val="en-US" w:eastAsia="zh-CN"/>
        </w:rPr>
        <w:t>本项目</w:t>
      </w:r>
      <w:r>
        <w:rPr>
          <w:rFonts w:hint="default" w:ascii="Times New Roman" w:hAnsi="Times New Roman" w:eastAsia="宋体" w:cs="Times New Roman"/>
          <w:sz w:val="24"/>
          <w:szCs w:val="24"/>
          <w:lang w:val="en-US" w:eastAsia="zh-CN"/>
        </w:rPr>
        <w:t>位于青海省海北藏族自治州海晏县甘子河乡，</w:t>
      </w:r>
      <w:r>
        <w:rPr>
          <w:rFonts w:hint="default" w:ascii="Times New Roman" w:hAnsi="Times New Roman" w:eastAsia="宋体" w:cs="Times New Roman"/>
          <w:color w:val="000000" w:themeColor="text1"/>
          <w:sz w:val="24"/>
          <w:szCs w:val="24"/>
          <w:lang w:eastAsia="zh-CN"/>
          <w14:textFill>
            <w14:solidFill>
              <w14:schemeClr w14:val="tx1"/>
            </w14:solidFill>
          </w14:textFill>
        </w:rPr>
        <w:t>矿山开采规模为35万m</w:t>
      </w:r>
      <w:r>
        <w:rPr>
          <w:rFonts w:hint="default" w:ascii="Times New Roman" w:hAnsi="Times New Roman" w:eastAsia="宋体" w:cs="Times New Roman"/>
          <w:color w:val="000000" w:themeColor="text1"/>
          <w:sz w:val="24"/>
          <w:szCs w:val="24"/>
          <w:vertAlign w:val="superscript"/>
          <w:lang w:eastAsia="zh-CN"/>
          <w14:textFill>
            <w14:solidFill>
              <w14:schemeClr w14:val="tx1"/>
            </w14:solidFill>
          </w14:textFill>
        </w:rPr>
        <w:t>3</w:t>
      </w:r>
      <w:r>
        <w:rPr>
          <w:rFonts w:hint="default" w:ascii="Times New Roman" w:hAnsi="Times New Roman" w:eastAsia="宋体" w:cs="Times New Roman"/>
          <w:color w:val="000000" w:themeColor="text1"/>
          <w:sz w:val="24"/>
          <w:szCs w:val="24"/>
          <w:lang w:eastAsia="zh-CN"/>
          <w14:textFill>
            <w14:solidFill>
              <w14:schemeClr w14:val="tx1"/>
            </w14:solidFill>
          </w14:textFill>
        </w:rPr>
        <w:t>/a，建设内容包括采矿场、加工场地、矿山道路及生活区等几部分组成。</w:t>
      </w:r>
    </w:p>
    <w:p w14:paraId="798126F4">
      <w:pPr>
        <w:keepNext w:val="0"/>
        <w:keepLines w:val="0"/>
        <w:pageBreakBefore w:val="0"/>
        <w:widowControl w:val="0"/>
        <w:kinsoku/>
        <w:overflowPunct/>
        <w:topLinePunct w:val="0"/>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1.2建设过</w:t>
      </w:r>
      <w:r>
        <w:rPr>
          <w:rFonts w:hint="default" w:ascii="Times New Roman" w:hAnsi="Times New Roman" w:eastAsia="宋体" w:cs="Times New Roman"/>
          <w:color w:val="auto"/>
          <w:sz w:val="24"/>
          <w:szCs w:val="32"/>
        </w:rPr>
        <w:t>程及环境保护审批情况</w:t>
      </w:r>
    </w:p>
    <w:p w14:paraId="51A0FD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2024年2月，海晏建海工程投资有限公司委青海领盛工程勘察设计有限公司托编制了《海晏县德州南建筑石料用花岗岩矿项目环境影响报告表》；</w:t>
      </w:r>
    </w:p>
    <w:p w14:paraId="34CFA4C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2024年2月23日，取得了海晏县生态环境局关于《海晏县德州南建筑石料用花岗岩矿项目环境影响报告表的批复》，晏生〔2024〕20号，同意项目开工建设；项目于2024年3月开工建设</w:t>
      </w:r>
      <w:r>
        <w:rPr>
          <w:rFonts w:hint="eastAsia" w:ascii="Times New Roman" w:hAnsi="Times New Roman" w:eastAsia="宋体" w:cs="Times New Roman"/>
          <w:color w:val="auto"/>
          <w:sz w:val="24"/>
          <w:szCs w:val="24"/>
          <w:lang w:val="en-US" w:eastAsia="zh-CN"/>
        </w:rPr>
        <w:t>，2024年4月设备安装完毕，2024年5月完善相关环保设施后投入试运行。</w:t>
      </w:r>
      <w:r>
        <w:rPr>
          <w:rFonts w:hint="default" w:ascii="Times New Roman" w:hAnsi="Times New Roman" w:eastAsia="宋体" w:cs="Times New Roman"/>
          <w:color w:val="auto"/>
          <w:sz w:val="24"/>
          <w:szCs w:val="24"/>
          <w:lang w:eastAsia="zh-CN"/>
        </w:rPr>
        <w:t>项目从立项至调试期间无环境投诉、违法及处罚记录。</w:t>
      </w:r>
    </w:p>
    <w:p w14:paraId="09F21C84">
      <w:pPr>
        <w:keepNext w:val="0"/>
        <w:keepLines w:val="0"/>
        <w:pageBreakBefore w:val="0"/>
        <w:widowControl w:val="0"/>
        <w:kinsoku/>
        <w:overflowPunct/>
        <w:topLinePunct w:val="0"/>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1.3投资情况</w:t>
      </w:r>
    </w:p>
    <w:p w14:paraId="4178BB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本项目环评阶段总投资</w:t>
      </w:r>
      <w:r>
        <w:rPr>
          <w:rFonts w:hint="eastAsia" w:ascii="Times New Roman" w:hAnsi="Times New Roman" w:eastAsia="宋体" w:cs="Times New Roman"/>
          <w:sz w:val="24"/>
          <w:szCs w:val="24"/>
          <w:lang w:val="en-US" w:eastAsia="zh-CN"/>
        </w:rPr>
        <w:t>1937</w:t>
      </w:r>
      <w:r>
        <w:rPr>
          <w:rFonts w:hint="default" w:ascii="Times New Roman" w:hAnsi="Times New Roman" w:eastAsia="宋体" w:cs="Times New Roman"/>
          <w:sz w:val="24"/>
          <w:szCs w:val="24"/>
        </w:rPr>
        <w:t>万元，估算环保投资</w:t>
      </w:r>
      <w:r>
        <w:rPr>
          <w:rFonts w:hint="eastAsia" w:ascii="Times New Roman" w:hAnsi="Times New Roman" w:eastAsia="宋体" w:cs="Times New Roman"/>
          <w:sz w:val="24"/>
          <w:szCs w:val="24"/>
          <w:lang w:val="en-US" w:eastAsia="zh-CN"/>
        </w:rPr>
        <w:t>491.4</w:t>
      </w:r>
      <w:r>
        <w:rPr>
          <w:rFonts w:hint="default" w:ascii="Times New Roman" w:hAnsi="Times New Roman" w:eastAsia="宋体" w:cs="Times New Roman"/>
          <w:sz w:val="24"/>
          <w:szCs w:val="24"/>
        </w:rPr>
        <w:t>万元，占总投资的</w:t>
      </w:r>
      <w:r>
        <w:rPr>
          <w:rFonts w:hint="eastAsia" w:ascii="Times New Roman" w:hAnsi="Times New Roman" w:eastAsia="宋体" w:cs="Times New Roman"/>
          <w:sz w:val="24"/>
          <w:szCs w:val="24"/>
          <w:lang w:val="en-US" w:eastAsia="zh-CN"/>
        </w:rPr>
        <w:t>25.37</w:t>
      </w:r>
      <w:r>
        <w:rPr>
          <w:rFonts w:hint="default" w:ascii="Times New Roman" w:hAnsi="Times New Roman" w:eastAsia="宋体" w:cs="Times New Roman"/>
          <w:sz w:val="24"/>
          <w:szCs w:val="24"/>
        </w:rPr>
        <w:t>%，项目建成后工程实际总投资</w:t>
      </w:r>
      <w:r>
        <w:rPr>
          <w:rFonts w:hint="eastAsia" w:ascii="Times New Roman" w:hAnsi="Times New Roman" w:eastAsia="宋体" w:cs="Times New Roman"/>
          <w:sz w:val="24"/>
          <w:szCs w:val="24"/>
          <w:lang w:val="en-US" w:eastAsia="zh-CN"/>
        </w:rPr>
        <w:t>1937</w:t>
      </w:r>
      <w:r>
        <w:rPr>
          <w:rFonts w:hint="default" w:ascii="Times New Roman" w:hAnsi="Times New Roman" w:eastAsia="宋体" w:cs="Times New Roman"/>
          <w:sz w:val="24"/>
          <w:szCs w:val="24"/>
        </w:rPr>
        <w:t>万元</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其中实际完成环保投资</w:t>
      </w:r>
      <w:r>
        <w:rPr>
          <w:rFonts w:hint="eastAsia" w:ascii="Times New Roman" w:hAnsi="Times New Roman" w:eastAsia="宋体" w:cs="Times New Roman"/>
          <w:sz w:val="24"/>
          <w:szCs w:val="24"/>
          <w:lang w:val="en-US" w:eastAsia="zh-CN"/>
        </w:rPr>
        <w:t>162.9</w:t>
      </w:r>
      <w:r>
        <w:rPr>
          <w:rFonts w:hint="default" w:ascii="Times New Roman" w:hAnsi="Times New Roman" w:eastAsia="宋体" w:cs="Times New Roman"/>
          <w:sz w:val="24"/>
          <w:szCs w:val="24"/>
        </w:rPr>
        <w:t>万元，占实际总投资的</w:t>
      </w:r>
      <w:r>
        <w:rPr>
          <w:rFonts w:hint="eastAsia" w:ascii="Times New Roman" w:hAnsi="Times New Roman" w:eastAsia="宋体" w:cs="Times New Roman"/>
          <w:sz w:val="24"/>
          <w:szCs w:val="24"/>
          <w:lang w:val="en-US" w:eastAsia="zh-CN"/>
        </w:rPr>
        <w:t>8.41</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由于矿山目前还在开采中，目前仅做了施工期和运营期的生态恢复工作，因此</w:t>
      </w:r>
      <w:r>
        <w:rPr>
          <w:rFonts w:hint="default" w:ascii="Times New Roman" w:hAnsi="Times New Roman" w:eastAsia="宋体" w:cs="Times New Roman"/>
          <w:sz w:val="24"/>
          <w:szCs w:val="24"/>
          <w:lang w:val="zh-CN"/>
        </w:rPr>
        <w:t>实际环保投资</w:t>
      </w:r>
      <w:r>
        <w:rPr>
          <w:rFonts w:hint="eastAsia" w:ascii="Times New Roman" w:hAnsi="Times New Roman" w:eastAsia="宋体" w:cs="Times New Roman"/>
          <w:sz w:val="24"/>
          <w:szCs w:val="24"/>
          <w:lang w:val="en-US" w:eastAsia="zh-CN"/>
        </w:rPr>
        <w:t>为162.9</w:t>
      </w:r>
      <w:r>
        <w:rPr>
          <w:rFonts w:hint="default" w:ascii="Times New Roman" w:hAnsi="Times New Roman" w:eastAsia="宋体" w:cs="Times New Roman"/>
          <w:sz w:val="24"/>
          <w:szCs w:val="24"/>
          <w:lang w:val="zh-CN"/>
        </w:rPr>
        <w:t>万元，</w:t>
      </w:r>
      <w:r>
        <w:rPr>
          <w:rFonts w:hint="eastAsia" w:ascii="Times New Roman" w:hAnsi="Times New Roman" w:eastAsia="宋体" w:cs="Times New Roman"/>
          <w:sz w:val="24"/>
          <w:szCs w:val="24"/>
          <w:lang w:val="en-US" w:eastAsia="zh-CN"/>
        </w:rPr>
        <w:t>待闭矿后再进行闭矿后的生态恢复工作</w:t>
      </w:r>
      <w:r>
        <w:rPr>
          <w:rFonts w:hint="default" w:ascii="Times New Roman" w:hAnsi="Times New Roman" w:eastAsia="宋体" w:cs="Times New Roman"/>
          <w:sz w:val="24"/>
          <w:szCs w:val="24"/>
        </w:rPr>
        <w:t>。</w:t>
      </w:r>
    </w:p>
    <w:p w14:paraId="7B226619">
      <w:pPr>
        <w:keepNext w:val="0"/>
        <w:keepLines w:val="0"/>
        <w:pageBreakBefore w:val="0"/>
        <w:widowControl w:val="0"/>
        <w:kinsoku/>
        <w:overflowPunct/>
        <w:topLinePunct w:val="0"/>
        <w:bidi w:val="0"/>
        <w:adjustRightInd w:val="0"/>
        <w:snapToGrid w:val="0"/>
        <w:spacing w:line="360" w:lineRule="auto"/>
        <w:jc w:val="both"/>
        <w:textAlignment w:val="auto"/>
        <w:rPr>
          <w:rFonts w:hint="default" w:ascii="Times New Roman" w:hAnsi="Times New Roman" w:eastAsia="宋体" w:cs="Times New Roman"/>
          <w:b/>
          <w:bCs/>
          <w:sz w:val="24"/>
          <w:szCs w:val="32"/>
        </w:rPr>
      </w:pPr>
      <w:r>
        <w:rPr>
          <w:rFonts w:hint="eastAsia" w:ascii="Times New Roman" w:hAnsi="Times New Roman" w:eastAsia="宋体" w:cs="Times New Roman"/>
          <w:b/>
          <w:bCs/>
          <w:sz w:val="24"/>
          <w:szCs w:val="32"/>
          <w:lang w:eastAsia="zh-CN"/>
        </w:rPr>
        <w:t>二</w:t>
      </w:r>
      <w:r>
        <w:rPr>
          <w:rFonts w:hint="default" w:ascii="Times New Roman" w:hAnsi="Times New Roman" w:eastAsia="宋体" w:cs="Times New Roman"/>
          <w:b/>
          <w:bCs/>
          <w:sz w:val="24"/>
          <w:szCs w:val="32"/>
          <w:lang w:eastAsia="zh-CN"/>
        </w:rPr>
        <w:t>、</w:t>
      </w:r>
      <w:r>
        <w:rPr>
          <w:rFonts w:hint="default" w:ascii="Times New Roman" w:hAnsi="Times New Roman" w:eastAsia="宋体" w:cs="Times New Roman"/>
          <w:b/>
          <w:bCs/>
          <w:sz w:val="24"/>
          <w:szCs w:val="32"/>
        </w:rPr>
        <w:t>工程变动情况</w:t>
      </w:r>
    </w:p>
    <w:p w14:paraId="3D9B732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rPr>
        <w:t>经</w:t>
      </w:r>
      <w:r>
        <w:rPr>
          <w:rFonts w:hint="default" w:ascii="Times New Roman" w:hAnsi="Times New Roman" w:eastAsia="宋体" w:cs="Times New Roman"/>
          <w:sz w:val="24"/>
          <w:szCs w:val="24"/>
          <w:lang w:eastAsia="zh-CN"/>
        </w:rPr>
        <w:t>实际勘察及监理资料</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eastAsia="zh-CN"/>
        </w:rPr>
        <w:t>由于工程实际建设需要，工程发生了以下变化：</w:t>
      </w:r>
    </w:p>
    <w:p w14:paraId="18EBB4B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rPr>
          <w:rFonts w:hint="eastAsia" w:cs="Times New Roman"/>
          <w:sz w:val="24"/>
          <w:szCs w:val="24"/>
          <w:lang w:eastAsia="zh-CN"/>
        </w:rPr>
      </w:pPr>
      <w:r>
        <w:rPr>
          <w:rFonts w:hint="eastAsia" w:cs="Times New Roman"/>
          <w:sz w:val="24"/>
          <w:szCs w:val="24"/>
          <w:lang w:eastAsia="zh-CN"/>
        </w:rPr>
        <w:t>①在采场周围和矿山道路内测设置了截排水沟，但是不太规范。加工场地和生活区全为混凝土地面，西侧有水渠，因此没有设截排水沟，排土场周围没有设截排水沟。</w:t>
      </w:r>
    </w:p>
    <w:p w14:paraId="0ADE26A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rPr>
          <w:rFonts w:hint="eastAsia" w:cs="Times New Roman"/>
          <w:sz w:val="24"/>
          <w:szCs w:val="24"/>
          <w:lang w:eastAsia="zh-CN"/>
        </w:rPr>
      </w:pPr>
      <w:r>
        <w:rPr>
          <w:rFonts w:hint="eastAsia" w:cs="Times New Roman"/>
          <w:sz w:val="24"/>
          <w:szCs w:val="24"/>
          <w:lang w:eastAsia="zh-CN"/>
        </w:rPr>
        <w:t>②环评设计设置车辆冲洗平台，但实际没设置，车辆的定期维修保养和冲洗都到定点，不在厂区内进行，职工的生活污水由环评设计的生活产生的洗漱废水用于场地内泼洒抑尘，粪污利用新建旱厕收集，定期清掏，不外排变为新建水厕，职工生活污水经化粪池收集后定期交由有资质单位抽运处置。</w:t>
      </w:r>
    </w:p>
    <w:p w14:paraId="599E4E6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rPr>
          <w:rFonts w:hint="eastAsia" w:cs="Times New Roman"/>
          <w:sz w:val="24"/>
          <w:szCs w:val="24"/>
          <w:lang w:eastAsia="zh-CN"/>
        </w:rPr>
      </w:pPr>
      <w:r>
        <w:rPr>
          <w:rFonts w:hint="eastAsia" w:cs="Times New Roman"/>
          <w:sz w:val="24"/>
          <w:szCs w:val="24"/>
          <w:lang w:eastAsia="zh-CN"/>
        </w:rPr>
        <w:t>③环评设计堆料场为“三围一顶”结构，实际上为半封闭式结构，但建设单位对堆料进行了防尘网遮盖加定期洒水的措施。</w:t>
      </w:r>
    </w:p>
    <w:p w14:paraId="78D367D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上述变动不属于《建设项目重大变动清单》（环发〔201</w:t>
      </w: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〕52号），不存在重大变动。该项目建设地点、主体工程、辅助工程、公用工程及环保工程没有发生重大</w:t>
      </w:r>
      <w:r>
        <w:rPr>
          <w:rFonts w:hint="default" w:ascii="Times New Roman" w:hAnsi="Times New Roman" w:eastAsia="宋体" w:cs="Times New Roman"/>
          <w:sz w:val="24"/>
          <w:szCs w:val="24"/>
          <w:lang w:eastAsia="zh-CN"/>
        </w:rPr>
        <w:t>变动</w:t>
      </w:r>
      <w:r>
        <w:rPr>
          <w:rFonts w:hint="default" w:ascii="Times New Roman" w:hAnsi="Times New Roman" w:eastAsia="宋体" w:cs="Times New Roman"/>
          <w:sz w:val="24"/>
          <w:szCs w:val="24"/>
        </w:rPr>
        <w:t>，项目建设内容及环保措施基本与环评报告及批复内容基本一致。</w:t>
      </w:r>
    </w:p>
    <w:p w14:paraId="408AB92E">
      <w:pPr>
        <w:keepNext w:val="0"/>
        <w:keepLines w:val="0"/>
        <w:pageBreakBefore w:val="0"/>
        <w:widowControl w:val="0"/>
        <w:kinsoku/>
        <w:overflowPunct/>
        <w:topLinePunct w:val="0"/>
        <w:bidi w:val="0"/>
        <w:adjustRightInd w:val="0"/>
        <w:snapToGrid w:val="0"/>
        <w:spacing w:line="360" w:lineRule="auto"/>
        <w:jc w:val="both"/>
        <w:textAlignment w:val="auto"/>
        <w:rPr>
          <w:rFonts w:hint="default" w:ascii="Times New Roman" w:hAnsi="Times New Roman" w:eastAsia="宋体" w:cs="Times New Roman"/>
          <w:b/>
          <w:bCs/>
          <w:sz w:val="24"/>
          <w:szCs w:val="32"/>
        </w:rPr>
      </w:pPr>
      <w:r>
        <w:rPr>
          <w:rFonts w:hint="eastAsia" w:ascii="Times New Roman" w:hAnsi="Times New Roman" w:eastAsia="宋体" w:cs="Times New Roman"/>
          <w:b/>
          <w:bCs/>
          <w:sz w:val="24"/>
          <w:szCs w:val="32"/>
          <w:lang w:eastAsia="zh-CN"/>
        </w:rPr>
        <w:t>三</w:t>
      </w:r>
      <w:r>
        <w:rPr>
          <w:rFonts w:hint="eastAsia" w:ascii="Times New Roman" w:hAnsi="Times New Roman" w:eastAsia="宋体" w:cs="Times New Roman"/>
          <w:b/>
          <w:bCs/>
          <w:color w:val="auto"/>
          <w:sz w:val="24"/>
          <w:szCs w:val="32"/>
          <w:lang w:eastAsia="zh-CN"/>
        </w:rPr>
        <w:t>、</w:t>
      </w:r>
      <w:r>
        <w:rPr>
          <w:rFonts w:hint="default" w:ascii="Times New Roman" w:hAnsi="Times New Roman" w:eastAsia="宋体" w:cs="Times New Roman"/>
          <w:b/>
          <w:bCs/>
          <w:color w:val="auto"/>
          <w:sz w:val="24"/>
          <w:szCs w:val="32"/>
        </w:rPr>
        <w:t>环境保护设施建设情况</w:t>
      </w:r>
    </w:p>
    <w:p w14:paraId="0E5AB789">
      <w:pPr>
        <w:keepNext w:val="0"/>
        <w:keepLines w:val="0"/>
        <w:pageBreakBefore w:val="0"/>
        <w:widowControl w:val="0"/>
        <w:kinsoku/>
        <w:overflowPunct/>
        <w:topLinePunct w:val="0"/>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3.1生态保护工程和设施建设情况</w:t>
      </w:r>
    </w:p>
    <w:p w14:paraId="5C7D6F20">
      <w:pPr>
        <w:keepNext w:val="0"/>
        <w:keepLines w:val="0"/>
        <w:pageBreakBefore w:val="0"/>
        <w:widowControl w:val="0"/>
        <w:kinsoku/>
        <w:wordWrap/>
        <w:overflowPunct/>
        <w:topLinePunct w:val="0"/>
        <w:autoSpaceDE w:val="0"/>
        <w:autoSpaceDN w:val="0"/>
        <w:bidi w:val="0"/>
        <w:adjustRightInd w:val="0"/>
        <w:snapToGrid w:val="0"/>
        <w:spacing w:line="360" w:lineRule="auto"/>
        <w:ind w:right="0" w:rightChars="0" w:firstLine="482" w:firstLineChars="200"/>
        <w:jc w:val="both"/>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heme="minorEastAsia"/>
          <w:b/>
          <w:bCs/>
          <w:sz w:val="24"/>
          <w:szCs w:val="24"/>
          <w:lang w:val="en-US" w:eastAsia="zh-CN"/>
        </w:rPr>
        <w:t>施工期：</w:t>
      </w:r>
      <w:r>
        <w:rPr>
          <w:rFonts w:hint="eastAsia" w:ascii="Times New Roman" w:hAnsi="Times New Roman" w:eastAsia="宋体" w:cstheme="minorEastAsia"/>
          <w:sz w:val="24"/>
          <w:szCs w:val="24"/>
          <w:lang w:val="en-US" w:eastAsia="zh-CN"/>
        </w:rPr>
        <w:t>在采场周边及矿山道路周边修建了截排水沟，避免了雨水流入采场内造成边坡失稳对采场内生产人员和车辆造成危害。在修建矿山道路、截排水沟开挖时先将表层植被剥离后分区养护在排土场内进行了洒水养护，待第一个开采台阶面开采完毕后将其用于了开采台阶面的生态恢复。严格控制了矿山道路修建宽度，控制了占地面积，并要求机械和车辆固定行车路线，没有随意改道行驶或另行开辟便道，保证了周围地表和生态不受破坏在施工过程中，尽可能减少了占地面积，减小了对植被的破坏面积。施工期严格划定了作业范围，没有超出项目占地范围。</w:t>
      </w:r>
      <w:r>
        <w:rPr>
          <w:rFonts w:hint="default" w:ascii="Times New Roman" w:hAnsi="Times New Roman" w:eastAsia="宋体" w:cs="Times New Roman"/>
          <w:sz w:val="24"/>
          <w:szCs w:val="24"/>
          <w:lang w:val="en-US" w:eastAsia="zh-CN"/>
        </w:rPr>
        <w:t>。</w:t>
      </w:r>
    </w:p>
    <w:p w14:paraId="06490AA0">
      <w:pPr>
        <w:keepNext w:val="0"/>
        <w:keepLines w:val="0"/>
        <w:pageBreakBefore w:val="0"/>
        <w:widowControl w:val="0"/>
        <w:kinsoku/>
        <w:overflowPunct/>
        <w:topLinePunct w:val="0"/>
        <w:bidi w:val="0"/>
        <w:adjustRightInd w:val="0"/>
        <w:snapToGrid w:val="0"/>
        <w:spacing w:line="360" w:lineRule="auto"/>
        <w:ind w:firstLine="482" w:firstLineChars="200"/>
        <w:jc w:val="both"/>
        <w:textAlignment w:val="auto"/>
        <w:rPr>
          <w:rFonts w:hint="eastAsia" w:ascii="Times New Roman" w:hAnsi="Times New Roman" w:eastAsia="宋体" w:cs="Times New Roman"/>
          <w:b w:val="0"/>
          <w:bCs w:val="0"/>
          <w:sz w:val="24"/>
          <w:szCs w:val="32"/>
          <w:lang w:val="en-US" w:eastAsia="zh-CN"/>
        </w:rPr>
      </w:pPr>
      <w:r>
        <w:rPr>
          <w:rFonts w:hint="eastAsia" w:ascii="Times New Roman" w:hAnsi="Times New Roman" w:eastAsia="宋体" w:cs="Times New Roman"/>
          <w:b/>
          <w:bCs/>
          <w:sz w:val="24"/>
          <w:szCs w:val="32"/>
          <w:lang w:val="en-US" w:eastAsia="zh-CN"/>
        </w:rPr>
        <w:t>运营期：</w:t>
      </w:r>
      <w:r>
        <w:rPr>
          <w:rFonts w:hint="eastAsia" w:ascii="Times New Roman" w:hAnsi="Times New Roman" w:eastAsia="宋体" w:cs="Times New Roman"/>
          <w:b w:val="0"/>
          <w:bCs w:val="0"/>
          <w:sz w:val="24"/>
          <w:szCs w:val="32"/>
          <w:lang w:val="en-US" w:eastAsia="zh-CN"/>
        </w:rPr>
        <w:t>严格按照采矿权证规定的开采地点、开采期限、开采范围、开采量、作业方式进行了开采，开采过程中做到了有序开采，循序渐进，没有随意扩大开挖范围；本矿区采取了“自上而下”的开拓方式，矿山开采前首先将采掘工作面表土进行了单独剥离，“分层开挖、分层堆放”，保存在了排土场内。压实后洒水，采取了边开采边恢复措施，每一开采面完成后在进行下一个工作面开采的同时，对上一个已经开采的工作面形成的区域进行了清理恢复；按照有关设计参数进行了项目开采，保障边坡稳定；对临近最终边帮的采掘，采用了控制性开采；定期检查了边坡、边帮的稳定状况，及时清理了松边浮石；严格限制了道路宽度，并要求机械和车辆固定行车路线，没有随意改道行驶或另行开辟便道。同时进场道路严格按规定的路线和范围使用，没有擅自扩大进场道路的范围；加强了宣传教育，严禁采矿人员碾踩植被和土壤，避免了人为活动对植被和土壤造成的不利影响。</w:t>
      </w:r>
    </w:p>
    <w:p w14:paraId="74ED0DA4">
      <w:pPr>
        <w:keepNext w:val="0"/>
        <w:keepLines w:val="0"/>
        <w:pageBreakBefore w:val="0"/>
        <w:widowControl w:val="0"/>
        <w:kinsoku/>
        <w:overflowPunct/>
        <w:topLinePunct w:val="0"/>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32"/>
        </w:rPr>
      </w:pPr>
      <w:r>
        <w:rPr>
          <w:rFonts w:hint="default" w:ascii="Times New Roman" w:hAnsi="Times New Roman" w:eastAsia="宋体" w:cs="Times New Roman"/>
          <w:sz w:val="24"/>
          <w:szCs w:val="32"/>
        </w:rPr>
        <w:t>3.2污染防治和处置设施建设情况</w:t>
      </w:r>
    </w:p>
    <w:p w14:paraId="0DEFDE32">
      <w:pPr>
        <w:pStyle w:val="2"/>
        <w:keepNext w:val="0"/>
        <w:keepLines w:val="0"/>
        <w:pageBreakBefore w:val="0"/>
        <w:widowControl w:val="0"/>
        <w:kinsoku/>
        <w:overflowPunct/>
        <w:topLinePunct w:val="0"/>
        <w:bidi w:val="0"/>
        <w:adjustRightInd w:val="0"/>
        <w:snapToGrid w:val="0"/>
        <w:spacing w:line="360" w:lineRule="auto"/>
        <w:ind w:firstLine="723" w:firstLineChars="300"/>
        <w:textAlignment w:val="auto"/>
        <w:rPr>
          <w:rFonts w:hint="eastAsia" w:eastAsia="宋体"/>
          <w:b/>
          <w:bCs/>
          <w:lang w:eastAsia="zh-CN"/>
        </w:rPr>
      </w:pPr>
      <w:r>
        <w:rPr>
          <w:rFonts w:hint="eastAsia" w:ascii="Times New Roman" w:hAnsi="Times New Roman" w:eastAsia="宋体" w:cs="Times New Roman"/>
          <w:b/>
          <w:bCs/>
          <w:sz w:val="24"/>
          <w:szCs w:val="32"/>
          <w:lang w:eastAsia="zh-CN"/>
        </w:rPr>
        <w:t>施工期</w:t>
      </w:r>
    </w:p>
    <w:p w14:paraId="414F5F9D">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（1）废水：</w:t>
      </w:r>
      <w:r>
        <w:rPr>
          <w:rFonts w:hint="default" w:ascii="Times New Roman" w:hAnsi="Times New Roman" w:eastAsia="宋体" w:cs="Times New Roman"/>
          <w:sz w:val="24"/>
          <w:szCs w:val="24"/>
          <w:lang w:eastAsia="zh-CN"/>
        </w:rPr>
        <w:t>施工废水经沉淀池沉淀后全部回用，没有外排</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eastAsia="zh-CN"/>
        </w:rPr>
        <w:t>施工人员产生的洗漱废水用于了泼洒降尘，粪污利用了旱厕收集，定期清掏，施工结束后进行了填埋。</w:t>
      </w:r>
    </w:p>
    <w:p w14:paraId="1FCD627E">
      <w:pPr>
        <w:pStyle w:val="2"/>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（2）废气：</w:t>
      </w:r>
      <w:r>
        <w:rPr>
          <w:rFonts w:hint="default" w:ascii="Times New Roman" w:hAnsi="Times New Roman" w:eastAsia="宋体" w:cs="Times New Roman"/>
          <w:sz w:val="24"/>
          <w:szCs w:val="24"/>
        </w:rPr>
        <w:t>对各类建筑材料堆放场地采用了防尘网遮盖</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严格限制了施工场地车辆行驶速度。施工现场有专人负责防扬尘工作，配备了相应的洒水设备，及时洒水清扫，减少了扬尘污染</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建筑施工期间，散装物料采用了密闭方式输送</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在车辆运输过程中加盖了篷布。</w:t>
      </w:r>
    </w:p>
    <w:p w14:paraId="367B4111">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（3）噪声：</w:t>
      </w:r>
      <w:r>
        <w:rPr>
          <w:rFonts w:hint="default" w:ascii="Times New Roman" w:hAnsi="Times New Roman" w:eastAsia="宋体" w:cs="Times New Roman"/>
          <w:sz w:val="24"/>
          <w:szCs w:val="24"/>
          <w:lang w:eastAsia="zh-CN"/>
        </w:rPr>
        <w:t>优先选用了低噪声的施工设备，对动力机械设备和运输车辆进行了定期的维修和养护；合理安排了运输路线和运输时间，夜间了禁止运输；加强了施工管理，合理安排了作业时间，高噪声设备错峰作业，避免了同时作业；高噪声设备布置在了加工场地内远离敏感点的一侧；合理布局了施工场地，避免了在同一地点安装大量动力机械设备；</w:t>
      </w:r>
    </w:p>
    <w:p w14:paraId="1647DBF6">
      <w:pPr>
        <w:pStyle w:val="2"/>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val="en-US" w:eastAsia="zh-CN"/>
        </w:rPr>
        <w:t>固体废物</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施工期拆除的原有加工场地的破碎筛分厂房和生活区均为彩钢板，能进行二次利用的进行了利用，不能进行二次利用的废彩钢板和新建加工厂房、生活区等土建时产生的废金属等外售给了资源回收利用部门，其余的废混凝土、废包装材料等集中收集后清运至了海晏县垃圾填埋厂处理。施工期施工人员产生的生活垃圾经垃圾桶收集后定期清运至了海晏县垃圾填埋场进行处置</w:t>
      </w:r>
      <w:r>
        <w:rPr>
          <w:rFonts w:hint="default" w:ascii="Times New Roman" w:hAnsi="Times New Roman" w:eastAsia="宋体" w:cs="Times New Roman"/>
          <w:sz w:val="24"/>
          <w:szCs w:val="24"/>
          <w:lang w:eastAsia="zh-CN"/>
        </w:rPr>
        <w:t>。</w:t>
      </w:r>
    </w:p>
    <w:p w14:paraId="3E435090">
      <w:pPr>
        <w:keepNext w:val="0"/>
        <w:keepLines w:val="0"/>
        <w:pageBreakBefore w:val="0"/>
        <w:widowControl w:val="0"/>
        <w:kinsoku/>
        <w:overflowPunct/>
        <w:topLinePunct w:val="0"/>
        <w:bidi w:val="0"/>
        <w:adjustRightInd w:val="0"/>
        <w:snapToGrid w:val="0"/>
        <w:spacing w:line="360" w:lineRule="auto"/>
        <w:ind w:firstLine="482" w:firstLineChars="200"/>
        <w:textAlignment w:val="auto"/>
        <w:rPr>
          <w:rFonts w:hint="eastAsia" w:cs="Times New Roman"/>
          <w:b w:val="0"/>
          <w:bCs w:val="0"/>
          <w:sz w:val="24"/>
          <w:szCs w:val="24"/>
          <w:lang w:eastAsia="zh-CN"/>
        </w:rPr>
      </w:pPr>
      <w:r>
        <w:rPr>
          <w:rFonts w:hint="default" w:ascii="Times New Roman" w:hAnsi="Times New Roman" w:eastAsia="宋体" w:cs="Times New Roman"/>
          <w:b/>
          <w:bCs/>
          <w:sz w:val="24"/>
          <w:szCs w:val="24"/>
        </w:rPr>
        <w:t>运营期</w:t>
      </w:r>
    </w:p>
    <w:p w14:paraId="5C396B0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1）废气：开采区：大风天气禁止爆破，小风天气爆破时减少了用药量。在对矿山表土进行剥离时进行了洒水喷淋，减少了粉尘产生；合理布置了炮孔，正确选用了爆破参数，加强了装药和填塞作业的管理，降低了爆破工作的产尘量；控制了铲装高度，减少了粉尘产生；采取了湿式凿岩法，降低了砂石在开挖、铲装和运送过程中的起尘量，加工场地：选用了优质燃油；定期对机械设备进行了维护保养。将破碎筛分生产线设置在了封闭式厂房内，产生的粉尘由集气罩收集后进入了布袋除尘器处理后经15m排气筒（DA001）；上料、破碎筛分、成品运输等工序之间的转运采用了皮带廊密闭运输；对矿山道路进行了压实方式，并多次洒水喷淋降尘；对排土场堆存的表土压实后进行了定期洒水；安排专人每天对运输过程中洒落的石料进行了清扫和收集，并洒水降尘。</w:t>
      </w:r>
    </w:p>
    <w:p w14:paraId="364C03F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（2）废水：本项目采矿工程抑尘用水、运输道路抑尘用水、及排土场抑尘水全部蒸发，雾炮喷淋用水进入产品。运营期产生的生活污水经新建的30m</w:t>
      </w:r>
      <w:r>
        <w:rPr>
          <w:rFonts w:hint="eastAsia" w:ascii="Times New Roman" w:hAnsi="Times New Roman" w:eastAsia="宋体" w:cs="Times New Roman"/>
          <w:b w:val="0"/>
          <w:bCs w:val="0"/>
          <w:sz w:val="24"/>
          <w:szCs w:val="24"/>
          <w:vertAlign w:val="superscript"/>
          <w:lang w:val="en-US" w:eastAsia="zh-CN"/>
        </w:rPr>
        <w:t>3</w:t>
      </w:r>
      <w:r>
        <w:rPr>
          <w:rFonts w:hint="eastAsia" w:ascii="Times New Roman" w:hAnsi="Times New Roman" w:eastAsia="宋体" w:cs="Times New Roman"/>
          <w:b w:val="0"/>
          <w:bCs w:val="0"/>
          <w:sz w:val="24"/>
          <w:szCs w:val="24"/>
          <w:lang w:val="en-US" w:eastAsia="zh-CN"/>
        </w:rPr>
        <w:t>化粪池收集后定期交由了有资质单位抽运。</w:t>
      </w:r>
    </w:p>
    <w:p w14:paraId="5D959D7C">
      <w:pPr>
        <w:pStyle w:val="2"/>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lang w:val="en-US" w:eastAsia="zh-CN"/>
        </w:rPr>
      </w:pPr>
      <w:r>
        <w:rPr>
          <w:rFonts w:hint="eastAsia" w:ascii="Times New Roman" w:hAnsi="Times New Roman" w:eastAsia="宋体" w:cs="Times New Roman"/>
          <w:b w:val="0"/>
          <w:bCs w:val="0"/>
          <w:sz w:val="24"/>
          <w:szCs w:val="24"/>
          <w:lang w:val="en-US" w:eastAsia="zh-CN"/>
        </w:rPr>
        <w:t>（3）噪声：选用了低噪声的施工设备，对机械设备和运输车辆进行了定期的维修和养护；合理安排了运输路线和运输时间，夜间了禁止运输；加强了施工管理，合理安排了作业时间，高噪声设备错峰作业，避免了同时作业；进行了合理布局，高噪声设备布置在加工场地内远离敏感点的一侧；合理布局了施工场地，避免了在同一地点安装大量动力机械设备；在矿山道路上设置限速禁鸣标识牌。</w:t>
      </w:r>
    </w:p>
    <w:p w14:paraId="709F59AF">
      <w:pPr>
        <w:pStyle w:val="2"/>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b/>
          <w:bCs/>
          <w:sz w:val="24"/>
          <w:szCs w:val="24"/>
          <w:lang w:eastAsia="zh-CN"/>
        </w:rPr>
      </w:pPr>
      <w:r>
        <w:rPr>
          <w:rFonts w:hint="eastAsia" w:ascii="Times New Roman" w:hAnsi="Times New Roman" w:eastAsia="宋体" w:cs="Times New Roman"/>
          <w:b w:val="0"/>
          <w:bCs w:val="0"/>
          <w:sz w:val="24"/>
          <w:szCs w:val="24"/>
          <w:lang w:val="en-US" w:eastAsia="zh-CN"/>
        </w:rPr>
        <w:t>（4）固废：项目运营期产生的固体废物主要为矿山剥离表土、开采废石、工作人员产生的生活垃圾及设备检修产生的废机油。矿山剥离表土按阶梯式开采后依次分类堆存在了排土场后进行了压实洒水，待各阶梯开采完毕后用于了采空台阶面的绿化覆土。开采的废石部分用于了修路和场地平整，其余的运送至了排土场分类堆存，全部用于闭矿后开采面的填埋和道路整修。生活垃圾经厂区内垃圾箱分类收集后，定期转运至海晏县垃圾填埋场处置；废机油分类收集至危废暂存间后定期交由有资质单位处置。</w:t>
      </w:r>
    </w:p>
    <w:p w14:paraId="45C4067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四、</w:t>
      </w:r>
      <w:r>
        <w:rPr>
          <w:rFonts w:hint="default" w:ascii="Times New Roman" w:hAnsi="Times New Roman" w:eastAsia="宋体" w:cs="Times New Roman"/>
          <w:b/>
          <w:bCs/>
          <w:sz w:val="24"/>
          <w:szCs w:val="24"/>
        </w:rPr>
        <w:t>环境保护设施调试运行效果</w:t>
      </w:r>
    </w:p>
    <w:p w14:paraId="0D077C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4.1工况记录</w:t>
      </w:r>
    </w:p>
    <w:p w14:paraId="3DDE35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本项目</w:t>
      </w:r>
      <w:r>
        <w:rPr>
          <w:rFonts w:hint="default" w:ascii="Times New Roman" w:hAnsi="Times New Roman" w:eastAsia="宋体" w:cs="Times New Roman"/>
          <w:color w:val="auto"/>
          <w:sz w:val="24"/>
          <w:szCs w:val="24"/>
          <w:lang w:eastAsia="zh-CN"/>
        </w:rPr>
        <w:t>为</w:t>
      </w:r>
      <w:r>
        <w:rPr>
          <w:rFonts w:hint="eastAsia" w:cs="Times New Roman"/>
          <w:color w:val="auto"/>
          <w:sz w:val="24"/>
          <w:szCs w:val="24"/>
          <w:lang w:val="en-US" w:eastAsia="zh-CN"/>
        </w:rPr>
        <w:t>矿山开采</w:t>
      </w:r>
      <w:r>
        <w:rPr>
          <w:rFonts w:hint="default" w:ascii="Times New Roman" w:hAnsi="Times New Roman" w:eastAsia="宋体" w:cs="Times New Roman"/>
          <w:color w:val="auto"/>
          <w:sz w:val="24"/>
          <w:szCs w:val="24"/>
        </w:rPr>
        <w:t>，验收调查</w:t>
      </w:r>
      <w:r>
        <w:rPr>
          <w:rFonts w:hint="default" w:ascii="Times New Roman" w:hAnsi="Times New Roman" w:eastAsia="宋体" w:cs="Times New Roman"/>
          <w:color w:val="auto"/>
          <w:sz w:val="24"/>
          <w:szCs w:val="24"/>
          <w:lang w:eastAsia="zh-CN"/>
        </w:rPr>
        <w:t>期间各</w:t>
      </w:r>
      <w:r>
        <w:rPr>
          <w:rFonts w:hint="eastAsia" w:cs="Times New Roman"/>
          <w:color w:val="auto"/>
          <w:sz w:val="24"/>
          <w:szCs w:val="24"/>
          <w:lang w:eastAsia="zh-CN"/>
        </w:rPr>
        <w:t>类管道已埋设完毕</w:t>
      </w:r>
      <w:r>
        <w:rPr>
          <w:rFonts w:hint="default" w:ascii="Times New Roman" w:hAnsi="Times New Roman" w:eastAsia="宋体" w:cs="Times New Roman"/>
          <w:color w:val="auto"/>
          <w:sz w:val="24"/>
          <w:szCs w:val="24"/>
          <w:lang w:eastAsia="zh-CN"/>
        </w:rPr>
        <w:t>并正常运行，</w:t>
      </w:r>
      <w:r>
        <w:rPr>
          <w:rFonts w:hint="eastAsia" w:ascii="Times New Roman" w:hAnsi="Times New Roman" w:eastAsia="宋体"/>
          <w:color w:val="000000"/>
          <w:sz w:val="24"/>
          <w:lang w:val="en-US" w:eastAsia="zh-CN"/>
        </w:rPr>
        <w:t>各个台阶开采后进行了平整覆土后植被恢复工作</w:t>
      </w:r>
      <w:r>
        <w:rPr>
          <w:rFonts w:hint="eastAsia" w:ascii="Times New Roman" w:hAnsi="Times New Roman"/>
          <w:color w:val="000000"/>
          <w:sz w:val="24"/>
          <w:lang w:eastAsia="zh-CN"/>
        </w:rPr>
        <w:t>，</w:t>
      </w:r>
      <w:r>
        <w:rPr>
          <w:rFonts w:hint="default" w:ascii="Times New Roman" w:hAnsi="Times New Roman" w:eastAsia="宋体" w:cs="Times New Roman"/>
          <w:color w:val="auto"/>
          <w:sz w:val="24"/>
          <w:szCs w:val="24"/>
          <w:lang w:eastAsia="zh-CN"/>
        </w:rPr>
        <w:t>满足</w:t>
      </w:r>
      <w:r>
        <w:rPr>
          <w:rFonts w:hint="eastAsia" w:ascii="Times New Roman" w:hAnsi="Times New Roman" w:cs="Times New Roman"/>
          <w:color w:val="auto"/>
          <w:sz w:val="24"/>
          <w:szCs w:val="24"/>
          <w:lang w:eastAsia="zh-CN"/>
        </w:rPr>
        <w:t>本次竣工</w:t>
      </w:r>
      <w:r>
        <w:rPr>
          <w:rFonts w:hint="default" w:ascii="Times New Roman" w:hAnsi="Times New Roman" w:eastAsia="宋体" w:cs="Times New Roman"/>
          <w:color w:val="auto"/>
          <w:sz w:val="24"/>
          <w:szCs w:val="24"/>
          <w:lang w:eastAsia="zh-CN"/>
        </w:rPr>
        <w:t>验收要求。</w:t>
      </w:r>
    </w:p>
    <w:p w14:paraId="2B467E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4.2生态保护工程和设施实施运行效果</w:t>
      </w:r>
    </w:p>
    <w:p w14:paraId="064F66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严格按照采矿权证规定的开采地点、开采期限、开采范围、开采量、作业方式进行了开采，开采过程中做到了有序开采，循序渐进，没有随意扩大开挖范围；本矿区采取了“自上而下”的开拓方式，矿山开采前首先将采掘工作面表土进行了单独剥离，“分层开挖、分层堆放”，保存在了排土场内。压实后洒水，采取了边开采边恢复措施，每一开采面完成后在进行下一个工作面开采的同时，对上一个已经开采的工作面形成的区域进行了清理恢复；按照有关设计参数进行了项目开采，保障边坡稳定；对临近最终边帮的采掘，采用了控制性开采；定期检查了边坡、边帮的稳定状况，及时清理了松边浮石；严格限制了道路宽度，并要求机械和车辆固定行车路线，没有随意改道行驶或另行开辟便道。同时进场道路严格按规定的路线和范围使用，没有擅自扩大进场道路的范围；加强了宣传教育，严禁采矿人员碾踩植被和土壤，避免了人为活动对植被和土壤造成的不利影响。</w:t>
      </w:r>
    </w:p>
    <w:p w14:paraId="60ACE2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4.3污染防治和处置设施处理效果</w:t>
      </w:r>
    </w:p>
    <w:p w14:paraId="42757C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val="en-US" w:eastAsia="zh-CN"/>
        </w:rPr>
        <w:t>大气环境</w:t>
      </w:r>
    </w:p>
    <w:p w14:paraId="73A57A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w:t>
      </w:r>
      <w:r>
        <w:rPr>
          <w:rFonts w:hint="default" w:ascii="Times New Roman" w:hAnsi="Times New Roman" w:eastAsia="宋体" w:cs="Times New Roman"/>
          <w:sz w:val="24"/>
          <w:szCs w:val="24"/>
          <w:lang w:eastAsia="zh-CN"/>
        </w:rPr>
        <w:t>与</w:t>
      </w:r>
      <w:r>
        <w:rPr>
          <w:rFonts w:hint="eastAsia" w:ascii="Times New Roman" w:hAnsi="Times New Roman" w:eastAsia="宋体" w:cs="Times New Roman"/>
          <w:sz w:val="24"/>
          <w:szCs w:val="24"/>
          <w:lang w:val="en-US" w:eastAsia="zh-CN"/>
        </w:rPr>
        <w:t>海晏县</w:t>
      </w:r>
      <w:r>
        <w:rPr>
          <w:rFonts w:hint="default" w:ascii="Times New Roman" w:hAnsi="Times New Roman" w:eastAsia="宋体" w:cs="Times New Roman"/>
          <w:sz w:val="24"/>
          <w:szCs w:val="24"/>
          <w:lang w:eastAsia="zh-CN"/>
        </w:rPr>
        <w:t>环保局和当地村民</w:t>
      </w:r>
      <w:r>
        <w:rPr>
          <w:rFonts w:hint="default" w:ascii="Times New Roman" w:hAnsi="Times New Roman" w:eastAsia="宋体" w:cs="Times New Roman"/>
          <w:sz w:val="24"/>
          <w:szCs w:val="24"/>
        </w:rPr>
        <w:t>访谈、沿线调查及监理资料，施工期噪声处理措施较完善，调查时未发现有居民投诉大气污染事件。</w:t>
      </w:r>
    </w:p>
    <w:p w14:paraId="7AFA25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lang w:val="en-US" w:eastAsia="zh-CN"/>
        </w:rPr>
        <w:t>水环境</w:t>
      </w:r>
    </w:p>
    <w:p w14:paraId="7E6E39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w:t>
      </w:r>
      <w:r>
        <w:rPr>
          <w:rFonts w:hint="default" w:ascii="Times New Roman" w:hAnsi="Times New Roman" w:eastAsia="宋体" w:cs="Times New Roman"/>
          <w:sz w:val="24"/>
          <w:szCs w:val="24"/>
          <w:lang w:eastAsia="zh-CN"/>
        </w:rPr>
        <w:t>与</w:t>
      </w:r>
      <w:r>
        <w:rPr>
          <w:rFonts w:hint="eastAsia" w:ascii="Times New Roman" w:hAnsi="Times New Roman" w:eastAsia="宋体" w:cs="Times New Roman"/>
          <w:sz w:val="24"/>
          <w:szCs w:val="24"/>
          <w:lang w:val="en-US" w:eastAsia="zh-CN"/>
        </w:rPr>
        <w:t>海晏县</w:t>
      </w:r>
      <w:r>
        <w:rPr>
          <w:rFonts w:hint="default" w:ascii="Times New Roman" w:hAnsi="Times New Roman" w:eastAsia="宋体" w:cs="Times New Roman"/>
          <w:sz w:val="24"/>
          <w:szCs w:val="24"/>
          <w:lang w:eastAsia="zh-CN"/>
        </w:rPr>
        <w:t>环保局和当地村民</w:t>
      </w:r>
      <w:r>
        <w:rPr>
          <w:rFonts w:hint="default" w:ascii="Times New Roman" w:hAnsi="Times New Roman" w:eastAsia="宋体" w:cs="Times New Roman"/>
          <w:sz w:val="24"/>
          <w:szCs w:val="24"/>
        </w:rPr>
        <w:t>访谈、沿线调查及监理资料，施工期废水处理措施较完善，调查时未发现废水漫流、乱排现象。</w:t>
      </w:r>
    </w:p>
    <w:p w14:paraId="1870D0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val="en-US" w:eastAsia="zh-CN"/>
        </w:rPr>
        <w:t>声环境</w:t>
      </w:r>
    </w:p>
    <w:p w14:paraId="2A2547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w:t>
      </w:r>
      <w:r>
        <w:rPr>
          <w:rFonts w:hint="default" w:ascii="Times New Roman" w:hAnsi="Times New Roman" w:eastAsia="宋体" w:cs="Times New Roman"/>
          <w:sz w:val="24"/>
          <w:szCs w:val="24"/>
          <w:lang w:eastAsia="zh-CN"/>
        </w:rPr>
        <w:t>与</w:t>
      </w:r>
      <w:r>
        <w:rPr>
          <w:rFonts w:hint="eastAsia" w:ascii="Times New Roman" w:hAnsi="Times New Roman" w:eastAsia="宋体" w:cs="Times New Roman"/>
          <w:sz w:val="24"/>
          <w:szCs w:val="24"/>
          <w:lang w:val="en-US" w:eastAsia="zh-CN"/>
        </w:rPr>
        <w:t>海晏县</w:t>
      </w:r>
      <w:r>
        <w:rPr>
          <w:rFonts w:hint="default" w:ascii="Times New Roman" w:hAnsi="Times New Roman" w:eastAsia="宋体" w:cs="Times New Roman"/>
          <w:sz w:val="24"/>
          <w:szCs w:val="24"/>
          <w:lang w:eastAsia="zh-CN"/>
        </w:rPr>
        <w:t>环保局和当地村民</w:t>
      </w:r>
      <w:r>
        <w:rPr>
          <w:rFonts w:hint="default" w:ascii="Times New Roman" w:hAnsi="Times New Roman" w:eastAsia="宋体" w:cs="Times New Roman"/>
          <w:sz w:val="24"/>
          <w:szCs w:val="24"/>
        </w:rPr>
        <w:t>访谈、沿线调查及监理资料，施工期噪声处理措施较完善，调查时未发现有居民投诉事件。</w:t>
      </w:r>
    </w:p>
    <w:p w14:paraId="5754BF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lang w:val="en-US" w:eastAsia="zh-CN"/>
        </w:rPr>
        <w:t>固体废物</w:t>
      </w:r>
    </w:p>
    <w:p w14:paraId="50C182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根据沿线调查及监理资料，施工期</w:t>
      </w:r>
      <w:r>
        <w:rPr>
          <w:rFonts w:hint="default" w:ascii="Times New Roman" w:hAnsi="Times New Roman" w:eastAsia="宋体" w:cs="Times New Roman"/>
          <w:sz w:val="24"/>
          <w:szCs w:val="24"/>
          <w:lang w:eastAsia="zh-CN"/>
        </w:rPr>
        <w:t>固废</w:t>
      </w:r>
      <w:r>
        <w:rPr>
          <w:rFonts w:hint="default" w:ascii="Times New Roman" w:hAnsi="Times New Roman" w:eastAsia="宋体" w:cs="Times New Roman"/>
          <w:sz w:val="24"/>
          <w:szCs w:val="24"/>
        </w:rPr>
        <w:t>处理措施较完善，调查时无垃圾乱堆现象。</w:t>
      </w:r>
    </w:p>
    <w:p w14:paraId="5A9C25F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bCs/>
          <w:color w:val="auto"/>
          <w:sz w:val="24"/>
          <w:szCs w:val="24"/>
        </w:rPr>
      </w:pPr>
      <w:r>
        <w:rPr>
          <w:rFonts w:hint="eastAsia" w:ascii="Times New Roman" w:hAnsi="Times New Roman" w:eastAsia="宋体" w:cs="Times New Roman"/>
          <w:b/>
          <w:bCs/>
          <w:color w:val="auto"/>
          <w:sz w:val="24"/>
          <w:szCs w:val="24"/>
          <w:lang w:eastAsia="zh-CN"/>
        </w:rPr>
        <w:t>五、</w:t>
      </w:r>
      <w:r>
        <w:rPr>
          <w:rFonts w:hint="default" w:ascii="Times New Roman" w:hAnsi="Times New Roman" w:eastAsia="宋体" w:cs="Times New Roman"/>
          <w:b/>
          <w:bCs/>
          <w:color w:val="auto"/>
          <w:sz w:val="24"/>
          <w:szCs w:val="24"/>
        </w:rPr>
        <w:t>建设项目对环境的影响</w:t>
      </w:r>
    </w:p>
    <w:p w14:paraId="210D34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sz w:val="24"/>
          <w:szCs w:val="24"/>
          <w:lang w:eastAsia="zh-CN"/>
        </w:rPr>
      </w:pPr>
      <w:r>
        <w:rPr>
          <w:sz w:val="24"/>
          <w:szCs w:val="24"/>
        </w:rPr>
        <w:t>项目在建设过程中，严格执行了环评及行政审批的要求，在施工期及运营期均成立了相应的环境管理机构及人员，认真落实了环评及行政审批中的污染防治措施，整个施工期未发生污染事故、扰民纠纷及投诉，总体来看，项目的建设对周边的环境质量</w:t>
      </w:r>
      <w:r>
        <w:rPr>
          <w:rFonts w:hint="eastAsia"/>
          <w:sz w:val="24"/>
          <w:szCs w:val="24"/>
          <w:lang w:eastAsia="zh-CN"/>
        </w:rPr>
        <w:t>影响</w:t>
      </w:r>
      <w:r>
        <w:rPr>
          <w:sz w:val="24"/>
          <w:szCs w:val="24"/>
        </w:rPr>
        <w:t>较小。</w:t>
      </w:r>
    </w:p>
    <w:p w14:paraId="1FBB1E95">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六、</w:t>
      </w:r>
      <w:r>
        <w:rPr>
          <w:rFonts w:hint="default" w:ascii="Times New Roman" w:hAnsi="Times New Roman" w:eastAsia="宋体" w:cs="Times New Roman"/>
          <w:b/>
          <w:bCs/>
          <w:sz w:val="24"/>
          <w:szCs w:val="24"/>
        </w:rPr>
        <w:t>验收建议和后续要求</w:t>
      </w:r>
    </w:p>
    <w:p w14:paraId="4DF007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建议在在排土场周围设截排水沟</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并规范矿区周围及矿山道路内侧截排水沟的建设。</w:t>
      </w:r>
    </w:p>
    <w:p w14:paraId="436D400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对排土场进行临时拦挡，临时拦挡采用石笼格宾挡墙进行拦挡，石笼格宾挡墙堆砌规格为高1.0m，顶宽0.5m，内边坡竖直，外边坡1:1。</w:t>
      </w:r>
    </w:p>
    <w:p w14:paraId="3FA6CB5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（3）加强对矿区洒水频次。</w:t>
      </w:r>
    </w:p>
    <w:p w14:paraId="3D9240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4</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由于本项目正在开采期，要求本项目在闭矿后严格执行环评要求的闭矿后的生态恢复措施，编制矿山闭坑地质报告</w:t>
      </w:r>
      <w:r>
        <w:rPr>
          <w:rFonts w:hint="default" w:ascii="Times New Roman" w:hAnsi="Times New Roman" w:cs="Times New Roman"/>
          <w:sz w:val="24"/>
          <w:szCs w:val="24"/>
        </w:rPr>
        <w:t>。</w:t>
      </w:r>
    </w:p>
    <w:p w14:paraId="541E385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七、</w:t>
      </w:r>
      <w:r>
        <w:rPr>
          <w:rFonts w:hint="default" w:ascii="Times New Roman" w:hAnsi="Times New Roman" w:eastAsia="宋体" w:cs="Times New Roman"/>
          <w:b/>
          <w:bCs/>
          <w:sz w:val="24"/>
          <w:szCs w:val="24"/>
        </w:rPr>
        <w:t>验收结论</w:t>
      </w:r>
    </w:p>
    <w:p w14:paraId="3921759F">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jc w:val="both"/>
        <w:textAlignment w:val="auto"/>
        <w:rPr>
          <w:rFonts w:hint="default"/>
          <w:sz w:val="24"/>
          <w:szCs w:val="24"/>
          <w:lang w:eastAsia="zh-CN"/>
        </w:rPr>
      </w:pPr>
      <w:r>
        <w:rPr>
          <w:rFonts w:hint="default"/>
          <w:sz w:val="24"/>
          <w:szCs w:val="24"/>
        </w:rPr>
        <w:t>根据建设项目竣工环境保护验收调查结果，项目建设地点及建设内容等不存在重大变动，建设项目不包含《建设项目竣工环境保护验收暂行办法》中规定的验收不合格的情形，</w:t>
      </w:r>
      <w:r>
        <w:rPr>
          <w:rFonts w:hint="eastAsia"/>
          <w:sz w:val="24"/>
          <w:szCs w:val="24"/>
          <w:lang w:eastAsia="zh-CN"/>
        </w:rPr>
        <w:t>“</w:t>
      </w:r>
      <w:r>
        <w:rPr>
          <w:rFonts w:hint="eastAsia"/>
          <w:sz w:val="24"/>
          <w:szCs w:val="24"/>
          <w:lang w:val="en-US" w:eastAsia="zh-CN"/>
        </w:rPr>
        <w:t>海晏县德州南建筑石料用花岗岩矿项目</w:t>
      </w:r>
      <w:r>
        <w:rPr>
          <w:rFonts w:hint="eastAsia"/>
          <w:sz w:val="24"/>
          <w:szCs w:val="24"/>
          <w:lang w:eastAsia="zh-CN"/>
        </w:rPr>
        <w:t>”</w:t>
      </w:r>
      <w:r>
        <w:rPr>
          <w:rFonts w:hint="default"/>
          <w:sz w:val="24"/>
          <w:szCs w:val="24"/>
        </w:rPr>
        <w:t>在建设过程中严格执行了环境管理制度，严格履行了环评制度及落实了各项环保措施，施工过程中采取的各项污染防治措施有效，总体满足建设项目竣工环保验收的要求，建议对该项目通过竣工环境保护验收</w:t>
      </w:r>
      <w:r>
        <w:rPr>
          <w:rFonts w:hint="default"/>
          <w:sz w:val="24"/>
          <w:szCs w:val="24"/>
          <w:lang w:eastAsia="zh-CN"/>
        </w:rPr>
        <w:t>。</w:t>
      </w:r>
    </w:p>
    <w:p w14:paraId="5A53027F">
      <w:pPr>
        <w:pStyle w:val="2"/>
        <w:keepNext w:val="0"/>
        <w:keepLines w:val="0"/>
        <w:pageBreakBefore w:val="0"/>
        <w:widowControl w:val="0"/>
        <w:numPr>
          <w:ilvl w:val="0"/>
          <w:numId w:val="0"/>
        </w:numPr>
        <w:kinsoku/>
        <w:overflowPunct/>
        <w:topLinePunct w:val="0"/>
        <w:bidi w:val="0"/>
        <w:adjustRightInd w:val="0"/>
        <w:snapToGrid w:val="0"/>
        <w:spacing w:line="360" w:lineRule="auto"/>
        <w:jc w:val="both"/>
        <w:textAlignment w:val="auto"/>
        <w:rPr>
          <w:rFonts w:hint="eastAsia" w:ascii="Times New Roman" w:hAnsi="Times New Roman" w:eastAsia="宋体" w:cs="Times New Roman"/>
          <w:b/>
          <w:bCs/>
          <w:color w:val="000000" w:themeColor="text1"/>
          <w:sz w:val="24"/>
          <w:szCs w:val="24"/>
          <w:lang w:eastAsia="zh-CN"/>
          <w14:textFill>
            <w14:solidFill>
              <w14:schemeClr w14:val="tx1"/>
            </w14:solidFill>
          </w14:textFill>
        </w:rPr>
      </w:pPr>
      <w:r>
        <w:rPr>
          <w:rFonts w:hint="eastAsia" w:ascii="Times New Roman" w:hAnsi="Times New Roman" w:eastAsia="宋体" w:cs="Times New Roman"/>
          <w:b/>
          <w:bCs/>
          <w:color w:val="000000" w:themeColor="text1"/>
          <w:sz w:val="24"/>
          <w:szCs w:val="24"/>
          <w:lang w:eastAsia="zh-CN"/>
          <w14:textFill>
            <w14:solidFill>
              <w14:schemeClr w14:val="tx1"/>
            </w14:solidFill>
          </w14:textFill>
        </w:rPr>
        <w:t>八、验收人员信息</w:t>
      </w:r>
    </w:p>
    <w:p w14:paraId="0CA671AB">
      <w:pPr>
        <w:keepNext w:val="0"/>
        <w:keepLines w:val="0"/>
        <w:pageBreakBefore w:val="0"/>
        <w:widowControl w:val="0"/>
        <w:kinsoku/>
        <w:overflowPunct/>
        <w:topLinePunct w:val="0"/>
        <w:bidi w:val="0"/>
        <w:adjustRightInd w:val="0"/>
        <w:snapToGrid w:val="0"/>
        <w:spacing w:line="360" w:lineRule="auto"/>
        <w:ind w:firstLine="480" w:firstLineChars="200"/>
        <w:jc w:val="both"/>
        <w:textAlignment w:val="auto"/>
        <w:rPr>
          <w:rFonts w:hint="eastAsia"/>
          <w:lang w:eastAsia="zh-CN"/>
        </w:rPr>
      </w:pPr>
      <w:r>
        <w:rPr>
          <w:rFonts w:hint="default" w:ascii="Times New Roman" w:hAnsi="Times New Roman" w:eastAsia="宋体" w:cs="Times New Roman"/>
          <w:color w:val="000000" w:themeColor="text1"/>
          <w:sz w:val="24"/>
          <w:szCs w:val="24"/>
          <w14:textFill>
            <w14:solidFill>
              <w14:schemeClr w14:val="tx1"/>
            </w14:solidFill>
          </w14:textFill>
        </w:rPr>
        <w:t>本次环境保护验收为</w:t>
      </w:r>
      <w:r>
        <w:rPr>
          <w:rFonts w:hint="default" w:ascii="Times New Roman" w:hAnsi="Times New Roman" w:eastAsia="宋体" w:cs="Times New Roman"/>
          <w:color w:val="000000" w:themeColor="text1"/>
          <w:sz w:val="24"/>
          <w:szCs w:val="24"/>
          <w:lang w:eastAsia="zh-CN"/>
          <w14:textFill>
            <w14:solidFill>
              <w14:schemeClr w14:val="tx1"/>
            </w14:solidFill>
          </w14:textFill>
        </w:rPr>
        <w:t>海晏县德州南建筑石料用花岗岩矿项目</w:t>
      </w:r>
      <w:r>
        <w:rPr>
          <w:rFonts w:hint="default" w:ascii="Times New Roman" w:hAnsi="Times New Roman" w:eastAsia="宋体" w:cs="Times New Roman"/>
          <w:color w:val="000000" w:themeColor="text1"/>
          <w:sz w:val="24"/>
          <w:szCs w:val="24"/>
          <w14:textFill>
            <w14:solidFill>
              <w14:schemeClr w14:val="tx1"/>
            </w14:solidFill>
          </w14:textFill>
        </w:rPr>
        <w:t>自主验收，由</w:t>
      </w:r>
      <w:r>
        <w:rPr>
          <w:rFonts w:hint="eastAsia" w:ascii="Times New Roman" w:hAnsi="Times New Roman" w:eastAsia="宋体" w:cs="Times New Roman"/>
          <w:color w:val="000000" w:themeColor="text1"/>
          <w:sz w:val="24"/>
          <w:szCs w:val="24"/>
          <w:lang w:eastAsia="zh-CN"/>
          <w14:textFill>
            <w14:solidFill>
              <w14:schemeClr w14:val="tx1"/>
            </w14:solidFill>
          </w14:textFill>
        </w:rPr>
        <w:t>单位</w:t>
      </w:r>
      <w:r>
        <w:rPr>
          <w:rFonts w:hint="default" w:ascii="Times New Roman" w:hAnsi="Times New Roman" w:eastAsia="宋体" w:cs="Times New Roman"/>
          <w:color w:val="000000" w:themeColor="text1"/>
          <w:sz w:val="24"/>
          <w:szCs w:val="24"/>
          <w14:textFill>
            <w14:solidFill>
              <w14:schemeClr w14:val="tx1"/>
            </w14:solidFill>
          </w14:textFill>
        </w:rPr>
        <w:t>负责人做组长，各位特评专家出具意见，评审人员名单见附件。</w:t>
      </w:r>
    </w:p>
    <w:p w14:paraId="2EFF00F7">
      <w:pPr>
        <w:keepNext w:val="0"/>
        <w:keepLines w:val="0"/>
        <w:pageBreakBefore w:val="0"/>
        <w:widowControl w:val="0"/>
        <w:kinsoku/>
        <w:wordWrap w:val="0"/>
        <w:overflowPunct/>
        <w:topLinePunct w:val="0"/>
        <w:bidi w:val="0"/>
        <w:adjustRightInd w:val="0"/>
        <w:snapToGrid w:val="0"/>
        <w:spacing w:line="360" w:lineRule="auto"/>
        <w:ind w:firstLine="480" w:firstLineChars="200"/>
        <w:jc w:val="both"/>
        <w:textAlignment w:val="auto"/>
        <w:rPr>
          <w:rFonts w:hint="eastAsia" w:ascii="Times New Roman" w:hAnsi="Times New Roman" w:cs="Times New Roman"/>
          <w:color w:val="000000" w:themeColor="text1"/>
          <w:sz w:val="24"/>
          <w:szCs w:val="24"/>
          <w:lang w:val="en-US" w:eastAsia="zh-CN"/>
          <w14:textFill>
            <w14:solidFill>
              <w14:schemeClr w14:val="tx1"/>
            </w14:solidFill>
          </w14:textFill>
        </w:rPr>
      </w:pPr>
    </w:p>
    <w:p w14:paraId="62028150">
      <w:pPr>
        <w:keepNext w:val="0"/>
        <w:keepLines w:val="0"/>
        <w:pageBreakBefore w:val="0"/>
        <w:widowControl w:val="0"/>
        <w:kinsoku/>
        <w:wordWrap w:val="0"/>
        <w:overflowPunct/>
        <w:topLinePunct w:val="0"/>
        <w:bidi w:val="0"/>
        <w:adjustRightInd w:val="0"/>
        <w:snapToGrid w:val="0"/>
        <w:spacing w:line="360" w:lineRule="auto"/>
        <w:ind w:firstLine="480" w:firstLineChars="200"/>
        <w:jc w:val="both"/>
        <w:textAlignment w:val="auto"/>
        <w:rPr>
          <w:rFonts w:hint="eastAsia"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海晏县德州南建筑石料用花岗岩矿项目</w:t>
      </w:r>
    </w:p>
    <w:p w14:paraId="0B57414E">
      <w:pPr>
        <w:keepNext w:val="0"/>
        <w:keepLines w:val="0"/>
        <w:pageBreakBefore w:val="0"/>
        <w:widowControl w:val="0"/>
        <w:kinsoku/>
        <w:wordWrap w:val="0"/>
        <w:overflowPunct/>
        <w:topLinePunct w:val="0"/>
        <w:bidi w:val="0"/>
        <w:adjustRightInd w:val="0"/>
        <w:snapToGrid w:val="0"/>
        <w:spacing w:line="360" w:lineRule="auto"/>
        <w:ind w:firstLine="480" w:firstLineChars="200"/>
        <w:jc w:val="both"/>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bookmarkStart w:id="0" w:name="_GoBack"/>
      <w:bookmarkEnd w:id="0"/>
      <w:r>
        <w:rPr>
          <w:rFonts w:hint="eastAsia" w:ascii="Times New Roman" w:hAnsi="Times New Roman" w:cs="Times New Roman"/>
          <w:color w:val="auto"/>
          <w:sz w:val="24"/>
          <w:szCs w:val="24"/>
          <w:lang w:val="en-US" w:eastAsia="zh-CN"/>
        </w:rPr>
        <w:t xml:space="preserve">  </w:t>
      </w:r>
      <w:r>
        <w:rPr>
          <w:rFonts w:hint="default" w:ascii="Times New Roman" w:hAnsi="Times New Roman" w:eastAsia="宋体" w:cs="Times New Roman"/>
          <w:color w:val="auto"/>
          <w:sz w:val="24"/>
          <w:szCs w:val="24"/>
        </w:rPr>
        <w:t>20</w:t>
      </w: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4</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10</w:t>
      </w:r>
      <w:r>
        <w:rPr>
          <w:rFonts w:hint="default" w:ascii="Times New Roman" w:hAnsi="Times New Roman" w:eastAsia="宋体" w:cs="Times New Roman"/>
          <w:color w:val="auto"/>
          <w:sz w:val="24"/>
          <w:szCs w:val="24"/>
        </w:rPr>
        <w:t>月</w:t>
      </w:r>
    </w:p>
    <w:p w14:paraId="6BAAB2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p>
    <w:p w14:paraId="6CA4B2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iYjBiYWE3ZGU3ZjA2MWZmNzYwMjlmOTFmZjIzNTAifQ=="/>
  </w:docVars>
  <w:rsids>
    <w:rsidRoot w:val="7B293DAB"/>
    <w:rsid w:val="00934220"/>
    <w:rsid w:val="058E7131"/>
    <w:rsid w:val="059B338B"/>
    <w:rsid w:val="06780612"/>
    <w:rsid w:val="0AA14877"/>
    <w:rsid w:val="0D8F5DD7"/>
    <w:rsid w:val="11607BB1"/>
    <w:rsid w:val="1AAB54FD"/>
    <w:rsid w:val="205D02D7"/>
    <w:rsid w:val="22E6240E"/>
    <w:rsid w:val="250001FE"/>
    <w:rsid w:val="27C66F8B"/>
    <w:rsid w:val="27ED7106"/>
    <w:rsid w:val="2F1631EC"/>
    <w:rsid w:val="30990096"/>
    <w:rsid w:val="3671758F"/>
    <w:rsid w:val="39E4538F"/>
    <w:rsid w:val="3F707EBE"/>
    <w:rsid w:val="42855E1A"/>
    <w:rsid w:val="446C0EF2"/>
    <w:rsid w:val="571E1DB2"/>
    <w:rsid w:val="5C480239"/>
    <w:rsid w:val="6395650A"/>
    <w:rsid w:val="67565F5C"/>
    <w:rsid w:val="69375D78"/>
    <w:rsid w:val="6BED03F8"/>
    <w:rsid w:val="75AF79E4"/>
    <w:rsid w:val="7AEA3837"/>
    <w:rsid w:val="7B293DAB"/>
    <w:rsid w:val="7D75507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1"/>
    <w:next w:val="1"/>
    <w:qFormat/>
    <w:uiPriority w:val="0"/>
    <w:pPr>
      <w:snapToGrid w:val="0"/>
      <w:spacing w:line="312" w:lineRule="auto"/>
      <w:ind w:firstLineChars="200"/>
    </w:pPr>
    <w:rPr>
      <w:rFonts w:ascii="仿宋_GB2312" w:eastAsia="仿宋_GB2312"/>
      <w:sz w:val="28"/>
    </w:rPr>
  </w:style>
  <w:style w:type="paragraph" w:styleId="3">
    <w:name w:val="Body Text Indent 2"/>
    <w:basedOn w:val="1"/>
    <w:qFormat/>
    <w:uiPriority w:val="0"/>
    <w:pPr>
      <w:spacing w:line="520" w:lineRule="exact"/>
      <w:ind w:firstLine="480" w:firstLineChars="200"/>
    </w:pPr>
    <w:rPr>
      <w:rFonts w:ascii="宋体" w:hAnsi="宋体"/>
    </w:rPr>
  </w:style>
  <w:style w:type="paragraph" w:customStyle="1" w:styleId="6">
    <w:name w:val="表文字"/>
    <w:qFormat/>
    <w:uiPriority w:val="0"/>
    <w:pPr>
      <w:adjustRightInd w:val="0"/>
      <w:spacing w:line="270" w:lineRule="exact"/>
      <w:jc w:val="center"/>
    </w:pPr>
    <w:rPr>
      <w:rFonts w:ascii="Times New Roman" w:hAnsi="Times New Roman" w:eastAsia="宋体" w:cs="Times New Roman"/>
      <w:kern w:val="18"/>
      <w:sz w:val="18"/>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4348</Words>
  <Characters>4446</Characters>
  <Lines>0</Lines>
  <Paragraphs>0</Paragraphs>
  <TotalTime>0</TotalTime>
  <ScaleCrop>false</ScaleCrop>
  <LinksUpToDate>false</LinksUpToDate>
  <CharactersWithSpaces>4513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2020-08-26T05:38:00Z</dcterms:created>
  <dc:creator>悲酥清风1405819895</dc:creator>
  <cp:lastModifiedBy>温柔只给意中人</cp:lastModifiedBy>
  <dcterms:modified xsi:type="dcterms:W3CDTF">2024-10-25T06:52:12Z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99DF3D68A197467F8362DE97760792E2_12</vt:lpwstr>
  </property>
</Properties>
</file>