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E533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项目名称：金龙油田金龙54井区金223_H、金226_H井试采地面工程</w:t>
      </w:r>
    </w:p>
    <w:p w14:paraId="56641F2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建设单位：</w:t>
      </w:r>
      <w:r>
        <w:rPr>
          <w:rFonts w:hint="default" w:ascii="Times New Roman" w:hAnsi="Times New Roman" w:cs="Times New Roman"/>
          <w:sz w:val="24"/>
          <w:szCs w:val="24"/>
        </w:rPr>
        <w:t>中国石油新疆油田分公司玛湖勘探开发项目部</w:t>
      </w:r>
    </w:p>
    <w:p w14:paraId="149D3B5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项目性质：改扩建</w:t>
      </w:r>
    </w:p>
    <w:p w14:paraId="008AFDE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地点：金龙54井区行政隶属于新疆维吾尔自治区克拉玛依市及伊犁哈萨克自治州塔城地区沙湾市，构造位置位于准噶尔盆地西北缘中拐凸起。金龙54井区距克拉玛依市区东南约50km、距金龙2井区约8km，本项目金223_H、金226_H井位于塔城地区沙湾市，距沙湾市西北约110km，由中国石油新疆油田分公司重油开发公司负责管理运行</w:t>
      </w:r>
      <w:r>
        <w:rPr>
          <w:rFonts w:hint="default" w:ascii="Times New Roman" w:hAnsi="Times New Roman" w:cs="Times New Roman"/>
          <w:sz w:val="24"/>
          <w:szCs w:val="24"/>
          <w:lang w:val="en-US" w:eastAsia="zh-CN"/>
        </w:rPr>
        <w:t>。</w:t>
      </w:r>
    </w:p>
    <w:p w14:paraId="7203BBB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征求</w:t>
      </w:r>
      <w:r>
        <w:rPr>
          <w:rFonts w:hint="default" w:ascii="Times New Roman" w:hAnsi="Times New Roman" w:cs="Times New Roman"/>
          <w:sz w:val="24"/>
          <w:szCs w:val="24"/>
          <w:lang w:val="en-US" w:eastAsia="zh-CN"/>
        </w:rPr>
        <w:t>时间：202</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年</w:t>
      </w:r>
      <w:r>
        <w:rPr>
          <w:rFonts w:hint="eastAsia" w:ascii="Times New Roman" w:hAnsi="Times New Roman" w:cs="Times New Roman"/>
          <w:sz w:val="24"/>
          <w:szCs w:val="24"/>
          <w:lang w:val="en-US" w:eastAsia="zh-CN"/>
        </w:rPr>
        <w:t>11</w:t>
      </w:r>
      <w:r>
        <w:rPr>
          <w:rFonts w:hint="default" w:ascii="Times New Roman" w:hAnsi="Times New Roman" w:cs="Times New Roman"/>
          <w:sz w:val="24"/>
          <w:szCs w:val="24"/>
          <w:lang w:val="en-US" w:eastAsia="zh-CN"/>
        </w:rPr>
        <w:t>月</w:t>
      </w:r>
      <w:r>
        <w:rPr>
          <w:rFonts w:hint="eastAsia" w:ascii="Times New Roman" w:hAnsi="Times New Roman" w:cs="Times New Roman"/>
          <w:sz w:val="24"/>
          <w:szCs w:val="24"/>
          <w:lang w:val="en-US" w:eastAsia="zh-CN"/>
        </w:rPr>
        <w:t>11</w:t>
      </w:r>
      <w:r>
        <w:rPr>
          <w:rFonts w:hint="default" w:ascii="Times New Roman" w:hAnsi="Times New Roman" w:cs="Times New Roman"/>
          <w:sz w:val="24"/>
          <w:szCs w:val="24"/>
          <w:lang w:val="en-US" w:eastAsia="zh-CN"/>
        </w:rPr>
        <w:t>日</w:t>
      </w:r>
      <w:r>
        <w:rPr>
          <w:rFonts w:hint="eastAsia" w:ascii="Times New Roman" w:hAnsi="Times New Roman" w:cs="Times New Roman"/>
          <w:sz w:val="24"/>
          <w:szCs w:val="24"/>
          <w:lang w:val="en-US" w:eastAsia="zh-CN"/>
        </w:rPr>
        <w:t>-2024年11月15日</w:t>
      </w:r>
    </w:p>
    <w:p w14:paraId="37B5DB7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联系人：</w:t>
      </w:r>
      <w:r>
        <w:rPr>
          <w:rFonts w:hint="eastAsia" w:ascii="Times New Roman" w:hAnsi="Times New Roman" w:cs="Times New Roman"/>
          <w:sz w:val="24"/>
          <w:szCs w:val="24"/>
          <w:lang w:val="en-US" w:eastAsia="zh-CN"/>
        </w:rPr>
        <w:t>王工</w:t>
      </w:r>
    </w:p>
    <w:p w14:paraId="7329CC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联系电话：</w:t>
      </w:r>
      <w:r>
        <w:rPr>
          <w:rFonts w:hint="eastAsia" w:ascii="Times New Roman" w:hAnsi="Times New Roman" w:cs="Times New Roman"/>
          <w:sz w:val="24"/>
          <w:szCs w:val="24"/>
          <w:lang w:val="en-US" w:eastAsia="zh-CN"/>
        </w:rPr>
        <w:t>18690255086</w:t>
      </w:r>
      <w:bookmarkStart w:id="0" w:name="_GoBack"/>
      <w:bookmarkEnd w:id="0"/>
    </w:p>
    <w:p w14:paraId="2677BB6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公示期间，对上述公示内容如有异议，请以书面形式反馈，个人须署真实姓名，单位须加盖公章。</w:t>
      </w:r>
    </w:p>
    <w:p w14:paraId="4A3B853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p>
    <w:p w14:paraId="14A3927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p>
    <w:p w14:paraId="391AAC9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p>
    <w:p w14:paraId="2944954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p>
    <w:p w14:paraId="10844F7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cs="Times New Roman"/>
          <w:sz w:val="24"/>
          <w:szCs w:val="24"/>
          <w:lang w:val="en-US" w:eastAsia="zh-CN"/>
        </w:rPr>
      </w:pPr>
    </w:p>
    <w:p w14:paraId="48920965">
      <w:pPr>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br w:type="page"/>
      </w:r>
    </w:p>
    <w:p w14:paraId="66CC7A3A">
      <w:pPr>
        <w:bidi w:val="0"/>
        <w:rPr>
          <w:rFonts w:hint="default"/>
          <w:lang w:val="en-US" w:eastAsia="zh-CN"/>
        </w:rPr>
      </w:pPr>
    </w:p>
    <w:p w14:paraId="34140B63">
      <w:pPr>
        <w:pStyle w:val="13"/>
        <w:bidi w:val="0"/>
        <w:rPr>
          <w:rFonts w:hint="eastAsia"/>
          <w:lang w:val="en-US" w:eastAsia="zh-CN"/>
        </w:rPr>
      </w:pPr>
      <w:r>
        <w:rPr>
          <w:rFonts w:hint="eastAsia"/>
          <w:lang w:val="en-US" w:eastAsia="zh-CN"/>
        </w:rPr>
        <w:t>金龙油田金龙54井区金223_H、金226_H井试采地面工程</w:t>
      </w:r>
    </w:p>
    <w:p w14:paraId="58885345">
      <w:pPr>
        <w:pStyle w:val="13"/>
        <w:bidi w:val="0"/>
        <w:rPr>
          <w:rFonts w:hint="default"/>
          <w:lang w:val="en-US" w:eastAsia="zh-CN"/>
        </w:rPr>
      </w:pPr>
      <w:r>
        <w:rPr>
          <w:rFonts w:hint="eastAsia"/>
          <w:lang w:val="en-US" w:eastAsia="zh-CN"/>
        </w:rPr>
        <w:t>竣工环境保护验收公众意见调查表</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2"/>
        <w:gridCol w:w="570"/>
        <w:gridCol w:w="617"/>
        <w:gridCol w:w="1295"/>
        <w:gridCol w:w="1423"/>
        <w:gridCol w:w="1423"/>
        <w:gridCol w:w="1418"/>
        <w:gridCol w:w="1411"/>
      </w:tblGrid>
      <w:tr w14:paraId="5B69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gridSpan w:val="2"/>
            <w:tcBorders>
              <w:tl2br w:val="nil"/>
              <w:tr2bl w:val="nil"/>
            </w:tcBorders>
            <w:noWrap w:val="0"/>
            <w:vAlign w:val="center"/>
          </w:tcPr>
          <w:p w14:paraId="4A3C51E8">
            <w:pPr>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姓名</w:t>
            </w:r>
          </w:p>
        </w:tc>
        <w:tc>
          <w:tcPr>
            <w:tcW w:w="1122" w:type="pct"/>
            <w:gridSpan w:val="2"/>
            <w:tcBorders>
              <w:tl2br w:val="nil"/>
              <w:tr2bl w:val="nil"/>
            </w:tcBorders>
            <w:noWrap w:val="0"/>
            <w:vAlign w:val="center"/>
          </w:tcPr>
          <w:p w14:paraId="0B3CE272">
            <w:pPr>
              <w:spacing w:line="240" w:lineRule="auto"/>
              <w:jc w:val="center"/>
              <w:rPr>
                <w:rFonts w:hint="default" w:ascii="Times New Roman" w:hAnsi="Times New Roman" w:cs="Times New Roman"/>
                <w:sz w:val="21"/>
                <w:szCs w:val="21"/>
                <w:vertAlign w:val="baseline"/>
                <w:lang w:val="en-US" w:eastAsia="zh-CN"/>
              </w:rPr>
            </w:pPr>
          </w:p>
        </w:tc>
        <w:tc>
          <w:tcPr>
            <w:tcW w:w="835" w:type="pct"/>
            <w:tcBorders>
              <w:tl2br w:val="nil"/>
              <w:tr2bl w:val="nil"/>
            </w:tcBorders>
            <w:noWrap w:val="0"/>
            <w:vAlign w:val="center"/>
          </w:tcPr>
          <w:p w14:paraId="2A94C36E">
            <w:pPr>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性别</w:t>
            </w:r>
          </w:p>
        </w:tc>
        <w:tc>
          <w:tcPr>
            <w:tcW w:w="835" w:type="pct"/>
            <w:tcBorders>
              <w:tl2br w:val="nil"/>
              <w:tr2bl w:val="nil"/>
            </w:tcBorders>
            <w:noWrap w:val="0"/>
            <w:vAlign w:val="center"/>
          </w:tcPr>
          <w:p w14:paraId="597DB948">
            <w:pPr>
              <w:spacing w:line="240" w:lineRule="auto"/>
              <w:jc w:val="center"/>
              <w:rPr>
                <w:rFonts w:hint="default" w:ascii="Times New Roman" w:hAnsi="Times New Roman" w:cs="Times New Roman"/>
                <w:sz w:val="21"/>
                <w:szCs w:val="21"/>
                <w:vertAlign w:val="baseline"/>
                <w:lang w:val="en-US" w:eastAsia="zh-CN"/>
              </w:rPr>
            </w:pPr>
          </w:p>
        </w:tc>
        <w:tc>
          <w:tcPr>
            <w:tcW w:w="832" w:type="pct"/>
            <w:tcBorders>
              <w:tl2br w:val="nil"/>
              <w:tr2bl w:val="nil"/>
            </w:tcBorders>
            <w:noWrap w:val="0"/>
            <w:vAlign w:val="center"/>
          </w:tcPr>
          <w:p w14:paraId="38EDC954">
            <w:pPr>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年龄</w:t>
            </w:r>
          </w:p>
        </w:tc>
        <w:tc>
          <w:tcPr>
            <w:tcW w:w="825" w:type="pct"/>
            <w:tcBorders>
              <w:tl2br w:val="nil"/>
              <w:tr2bl w:val="nil"/>
            </w:tcBorders>
            <w:noWrap w:val="0"/>
            <w:vAlign w:val="center"/>
          </w:tcPr>
          <w:p w14:paraId="7E263B73">
            <w:pPr>
              <w:spacing w:line="240" w:lineRule="auto"/>
              <w:jc w:val="center"/>
              <w:rPr>
                <w:rFonts w:hint="default" w:ascii="Times New Roman" w:hAnsi="Times New Roman" w:cs="Times New Roman"/>
                <w:sz w:val="21"/>
                <w:szCs w:val="21"/>
                <w:vertAlign w:val="baseline"/>
                <w:lang w:val="en-US" w:eastAsia="zh-CN"/>
              </w:rPr>
            </w:pPr>
          </w:p>
        </w:tc>
      </w:tr>
      <w:tr w14:paraId="1EF5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gridSpan w:val="2"/>
            <w:tcBorders>
              <w:tl2br w:val="nil"/>
              <w:tr2bl w:val="nil"/>
            </w:tcBorders>
            <w:noWrap w:val="0"/>
            <w:vAlign w:val="center"/>
          </w:tcPr>
          <w:p w14:paraId="549BE9A6">
            <w:pPr>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职业</w:t>
            </w:r>
          </w:p>
        </w:tc>
        <w:tc>
          <w:tcPr>
            <w:tcW w:w="1122" w:type="pct"/>
            <w:gridSpan w:val="2"/>
            <w:tcBorders>
              <w:tl2br w:val="nil"/>
              <w:tr2bl w:val="nil"/>
            </w:tcBorders>
            <w:noWrap w:val="0"/>
            <w:vAlign w:val="center"/>
          </w:tcPr>
          <w:p w14:paraId="4BC7C5E2">
            <w:pPr>
              <w:spacing w:line="240" w:lineRule="auto"/>
              <w:jc w:val="center"/>
              <w:rPr>
                <w:rFonts w:hint="default" w:ascii="Times New Roman" w:hAnsi="Times New Roman" w:cs="Times New Roman"/>
                <w:sz w:val="21"/>
                <w:szCs w:val="21"/>
                <w:vertAlign w:val="baseline"/>
                <w:lang w:val="en-US" w:eastAsia="zh-CN"/>
              </w:rPr>
            </w:pPr>
          </w:p>
        </w:tc>
        <w:tc>
          <w:tcPr>
            <w:tcW w:w="835" w:type="pct"/>
            <w:tcBorders>
              <w:tl2br w:val="nil"/>
              <w:tr2bl w:val="nil"/>
            </w:tcBorders>
            <w:noWrap w:val="0"/>
            <w:vAlign w:val="center"/>
          </w:tcPr>
          <w:p w14:paraId="200F162B">
            <w:pPr>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工作单位</w:t>
            </w:r>
          </w:p>
        </w:tc>
        <w:tc>
          <w:tcPr>
            <w:tcW w:w="835" w:type="pct"/>
            <w:tcBorders>
              <w:tl2br w:val="nil"/>
              <w:tr2bl w:val="nil"/>
            </w:tcBorders>
            <w:noWrap w:val="0"/>
            <w:vAlign w:val="center"/>
          </w:tcPr>
          <w:p w14:paraId="1055B78F">
            <w:pPr>
              <w:spacing w:line="240" w:lineRule="auto"/>
              <w:jc w:val="center"/>
              <w:rPr>
                <w:rFonts w:hint="default" w:ascii="Times New Roman" w:hAnsi="Times New Roman" w:cs="Times New Roman"/>
                <w:sz w:val="21"/>
                <w:szCs w:val="21"/>
                <w:vertAlign w:val="baseline"/>
                <w:lang w:val="en-US" w:eastAsia="zh-CN"/>
              </w:rPr>
            </w:pPr>
          </w:p>
        </w:tc>
        <w:tc>
          <w:tcPr>
            <w:tcW w:w="832" w:type="pct"/>
            <w:tcBorders>
              <w:tl2br w:val="nil"/>
              <w:tr2bl w:val="nil"/>
            </w:tcBorders>
            <w:noWrap w:val="0"/>
            <w:vAlign w:val="center"/>
          </w:tcPr>
          <w:p w14:paraId="129C75F0">
            <w:pPr>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文化程度</w:t>
            </w:r>
          </w:p>
        </w:tc>
        <w:tc>
          <w:tcPr>
            <w:tcW w:w="825" w:type="pct"/>
            <w:tcBorders>
              <w:tl2br w:val="nil"/>
              <w:tr2bl w:val="nil"/>
            </w:tcBorders>
            <w:noWrap w:val="0"/>
            <w:vAlign w:val="center"/>
          </w:tcPr>
          <w:p w14:paraId="154E4C0B">
            <w:pPr>
              <w:spacing w:line="240" w:lineRule="auto"/>
              <w:jc w:val="center"/>
              <w:rPr>
                <w:rFonts w:hint="default" w:ascii="Times New Roman" w:hAnsi="Times New Roman" w:cs="Times New Roman"/>
                <w:sz w:val="21"/>
                <w:szCs w:val="21"/>
                <w:vertAlign w:val="baseline"/>
                <w:lang w:val="en-US" w:eastAsia="zh-CN"/>
              </w:rPr>
            </w:pPr>
          </w:p>
        </w:tc>
      </w:tr>
      <w:tr w14:paraId="54D52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0" w:type="pct"/>
            <w:gridSpan w:val="4"/>
            <w:tcBorders>
              <w:tl2br w:val="nil"/>
              <w:tr2bl w:val="nil"/>
            </w:tcBorders>
            <w:noWrap w:val="0"/>
            <w:vAlign w:val="center"/>
          </w:tcPr>
          <w:p w14:paraId="1A8EAAD8">
            <w:pPr>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家庭住址或联系电话</w:t>
            </w:r>
          </w:p>
        </w:tc>
        <w:tc>
          <w:tcPr>
            <w:tcW w:w="3329" w:type="pct"/>
            <w:gridSpan w:val="4"/>
            <w:tcBorders>
              <w:tl2br w:val="nil"/>
              <w:tr2bl w:val="nil"/>
            </w:tcBorders>
            <w:noWrap w:val="0"/>
            <w:vAlign w:val="center"/>
          </w:tcPr>
          <w:p w14:paraId="1E622493">
            <w:pPr>
              <w:spacing w:line="240" w:lineRule="auto"/>
              <w:jc w:val="center"/>
              <w:rPr>
                <w:rFonts w:hint="default" w:ascii="Times New Roman" w:hAnsi="Times New Roman" w:cs="Times New Roman"/>
                <w:sz w:val="21"/>
                <w:szCs w:val="21"/>
                <w:vertAlign w:val="baseline"/>
                <w:lang w:val="en-US" w:eastAsia="zh-CN"/>
              </w:rPr>
            </w:pPr>
          </w:p>
        </w:tc>
      </w:tr>
      <w:tr w14:paraId="3B74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pct"/>
            <w:gridSpan w:val="3"/>
            <w:tcBorders>
              <w:tl2br w:val="nil"/>
              <w:tr2bl w:val="nil"/>
            </w:tcBorders>
            <w:noWrap w:val="0"/>
            <w:vAlign w:val="center"/>
          </w:tcPr>
          <w:p w14:paraId="1EF1BDD3">
            <w:pPr>
              <w:spacing w:line="24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项目基本情况</w:t>
            </w:r>
          </w:p>
        </w:tc>
        <w:tc>
          <w:tcPr>
            <w:tcW w:w="4089" w:type="pct"/>
            <w:gridSpan w:val="5"/>
            <w:tcBorders>
              <w:tl2br w:val="nil"/>
              <w:tr2bl w:val="nil"/>
            </w:tcBorders>
            <w:noWrap w:val="0"/>
            <w:vAlign w:val="top"/>
          </w:tcPr>
          <w:p w14:paraId="6299569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金龙油田金龙54井区金223_H、金226_H井试采地面工程</w:t>
            </w:r>
            <w:r>
              <w:rPr>
                <w:rFonts w:hint="default" w:ascii="Times New Roman" w:hAnsi="Times New Roman" w:cs="Times New Roman"/>
                <w:sz w:val="21"/>
                <w:szCs w:val="21"/>
                <w:vertAlign w:val="baseline"/>
                <w:lang w:val="en-US" w:eastAsia="zh-CN"/>
              </w:rPr>
              <w:t>位于</w:t>
            </w:r>
            <w:r>
              <w:rPr>
                <w:rFonts w:hint="eastAsia" w:ascii="Times New Roman" w:hAnsi="Times New Roman" w:cs="Times New Roman"/>
                <w:sz w:val="21"/>
                <w:szCs w:val="21"/>
                <w:vertAlign w:val="baseline"/>
                <w:lang w:val="en-US" w:eastAsia="zh-CN"/>
              </w:rPr>
              <w:t>克拉玛依市东南约50km，隶属于塔城地区沙湾市，距沙湾市西北约110km</w:t>
            </w:r>
            <w:r>
              <w:rPr>
                <w:rFonts w:hint="default" w:ascii="Times New Roman" w:hAnsi="Times New Roman" w:cs="Times New Roman"/>
                <w:sz w:val="21"/>
                <w:szCs w:val="21"/>
                <w:vertAlign w:val="baseline"/>
                <w:lang w:val="en-US" w:eastAsia="zh-CN"/>
              </w:rPr>
              <w:t>。20</w:t>
            </w:r>
            <w:r>
              <w:rPr>
                <w:rFonts w:hint="eastAsia" w:ascii="Times New Roman" w:hAnsi="Times New Roman" w:cs="Times New Roman"/>
                <w:sz w:val="21"/>
                <w:szCs w:val="21"/>
                <w:vertAlign w:val="baseline"/>
                <w:lang w:val="en-US" w:eastAsia="zh-CN"/>
              </w:rPr>
              <w:t>23</w:t>
            </w:r>
            <w:r>
              <w:rPr>
                <w:rFonts w:hint="default" w:ascii="Times New Roman" w:hAnsi="Times New Roman" w:cs="Times New Roman"/>
                <w:sz w:val="21"/>
                <w:szCs w:val="21"/>
                <w:vertAlign w:val="baseline"/>
                <w:lang w:val="en-US" w:eastAsia="zh-CN"/>
              </w:rPr>
              <w:t>年</w:t>
            </w:r>
            <w:r>
              <w:rPr>
                <w:rFonts w:hint="eastAsia" w:ascii="Times New Roman" w:hAnsi="Times New Roman" w:cs="Times New Roman"/>
                <w:sz w:val="21"/>
                <w:szCs w:val="21"/>
                <w:vertAlign w:val="baseline"/>
                <w:lang w:val="en-US" w:eastAsia="zh-CN"/>
              </w:rPr>
              <w:t>6月</w:t>
            </w:r>
            <w:r>
              <w:rPr>
                <w:rFonts w:hint="default" w:ascii="Times New Roman" w:hAnsi="Times New Roman" w:cs="Times New Roman"/>
                <w:sz w:val="21"/>
                <w:szCs w:val="21"/>
                <w:vertAlign w:val="baseline"/>
                <w:lang w:val="en-US" w:eastAsia="zh-CN"/>
              </w:rPr>
              <w:t>委托</w:t>
            </w:r>
            <w:r>
              <w:rPr>
                <w:rFonts w:hint="eastAsia" w:ascii="Times New Roman" w:hAnsi="Times New Roman" w:cs="Times New Roman"/>
                <w:sz w:val="21"/>
                <w:szCs w:val="21"/>
                <w:vertAlign w:val="baseline"/>
                <w:lang w:val="en-US" w:eastAsia="zh-CN"/>
              </w:rPr>
              <w:t>南京国环科技股份有限公司</w:t>
            </w:r>
            <w:r>
              <w:rPr>
                <w:rFonts w:hint="default" w:ascii="Times New Roman" w:hAnsi="Times New Roman" w:cs="Times New Roman"/>
                <w:sz w:val="21"/>
                <w:szCs w:val="21"/>
                <w:vertAlign w:val="baseline"/>
                <w:lang w:val="en-US" w:eastAsia="zh-CN"/>
              </w:rPr>
              <w:t>编制完成了《</w:t>
            </w:r>
            <w:r>
              <w:rPr>
                <w:rFonts w:hint="eastAsia" w:ascii="Times New Roman" w:hAnsi="Times New Roman" w:cs="Times New Roman"/>
                <w:sz w:val="21"/>
                <w:szCs w:val="21"/>
                <w:vertAlign w:val="baseline"/>
                <w:lang w:val="en-US" w:eastAsia="zh-CN"/>
              </w:rPr>
              <w:t>金龙油田金龙54井区金223_H、金226_H井试采地面工程</w:t>
            </w:r>
            <w:r>
              <w:rPr>
                <w:rFonts w:hint="default" w:ascii="Times New Roman" w:hAnsi="Times New Roman" w:cs="Times New Roman"/>
                <w:sz w:val="21"/>
                <w:szCs w:val="21"/>
                <w:vertAlign w:val="baseline"/>
                <w:lang w:val="en-US" w:eastAsia="zh-CN"/>
              </w:rPr>
              <w:t>环境影响报告书》，20</w:t>
            </w:r>
            <w:r>
              <w:rPr>
                <w:rFonts w:hint="eastAsia" w:ascii="Times New Roman" w:hAnsi="Times New Roman" w:cs="Times New Roman"/>
                <w:sz w:val="21"/>
                <w:szCs w:val="21"/>
                <w:vertAlign w:val="baseline"/>
                <w:lang w:val="en-US" w:eastAsia="zh-CN"/>
              </w:rPr>
              <w:t>23</w:t>
            </w:r>
            <w:r>
              <w:rPr>
                <w:rFonts w:hint="default" w:ascii="Times New Roman" w:hAnsi="Times New Roman" w:cs="Times New Roman"/>
                <w:sz w:val="21"/>
                <w:szCs w:val="21"/>
                <w:vertAlign w:val="baseline"/>
                <w:lang w:val="en-US" w:eastAsia="zh-CN"/>
              </w:rPr>
              <w:t>年</w:t>
            </w:r>
            <w:r>
              <w:rPr>
                <w:rFonts w:hint="eastAsia" w:ascii="Times New Roman" w:hAnsi="Times New Roman" w:cs="Times New Roman"/>
                <w:sz w:val="21"/>
                <w:szCs w:val="21"/>
                <w:vertAlign w:val="baseline"/>
                <w:lang w:val="en-US" w:eastAsia="zh-CN"/>
              </w:rPr>
              <w:t>9</w:t>
            </w:r>
            <w:r>
              <w:rPr>
                <w:rFonts w:hint="default" w:ascii="Times New Roman" w:hAnsi="Times New Roman" w:cs="Times New Roman"/>
                <w:sz w:val="21"/>
                <w:szCs w:val="21"/>
                <w:vertAlign w:val="baseline"/>
                <w:lang w:val="en-US" w:eastAsia="zh-CN"/>
              </w:rPr>
              <w:t>月</w:t>
            </w:r>
            <w:r>
              <w:rPr>
                <w:rFonts w:hint="eastAsia" w:ascii="Times New Roman" w:hAnsi="Times New Roman" w:cs="Times New Roman"/>
                <w:sz w:val="21"/>
                <w:szCs w:val="21"/>
                <w:vertAlign w:val="baseline"/>
                <w:lang w:val="en-US" w:eastAsia="zh-CN"/>
              </w:rPr>
              <w:t>18</w:t>
            </w:r>
            <w:r>
              <w:rPr>
                <w:rFonts w:hint="default" w:ascii="Times New Roman" w:hAnsi="Times New Roman" w:cs="Times New Roman"/>
                <w:sz w:val="21"/>
                <w:szCs w:val="21"/>
                <w:vertAlign w:val="baseline"/>
                <w:lang w:val="en-US" w:eastAsia="zh-CN"/>
              </w:rPr>
              <w:t>取得该项目批复（塔地环字</w:t>
            </w:r>
            <w:r>
              <w:rPr>
                <w:rFonts w:hint="default" w:ascii="Times New Roman" w:hAnsi="Times New Roman" w:eastAsia="宋体" w:cs="Times New Roman"/>
                <w:sz w:val="21"/>
                <w:szCs w:val="21"/>
                <w:vertAlign w:val="baseline"/>
                <w:lang w:val="en-US" w:eastAsia="zh-CN"/>
              </w:rPr>
              <w:t>〔2023〕</w:t>
            </w:r>
            <w:r>
              <w:rPr>
                <w:rFonts w:hint="default" w:ascii="Times New Roman" w:hAnsi="Times New Roman" w:cs="Times New Roman"/>
                <w:sz w:val="21"/>
                <w:szCs w:val="21"/>
                <w:vertAlign w:val="baseline"/>
                <w:lang w:val="en-US" w:eastAsia="zh-CN"/>
              </w:rPr>
              <w:t>19</w:t>
            </w:r>
            <w:r>
              <w:rPr>
                <w:rFonts w:hint="eastAsia" w:ascii="Times New Roman" w:hAnsi="Times New Roman" w:cs="Times New Roman"/>
                <w:sz w:val="21"/>
                <w:szCs w:val="21"/>
                <w:vertAlign w:val="baseline"/>
                <w:lang w:val="en-US" w:eastAsia="zh-CN"/>
              </w:rPr>
              <w:t>6</w:t>
            </w:r>
            <w:r>
              <w:rPr>
                <w:rFonts w:hint="default" w:ascii="Times New Roman" w:hAnsi="Times New Roman" w:cs="Times New Roman"/>
                <w:sz w:val="21"/>
                <w:szCs w:val="21"/>
                <w:vertAlign w:val="baseline"/>
                <w:lang w:val="en-US" w:eastAsia="zh-CN"/>
              </w:rPr>
              <w:t>号）。</w:t>
            </w:r>
          </w:p>
          <w:p w14:paraId="25171D9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本次项目验收的内容为</w:t>
            </w:r>
            <w:r>
              <w:rPr>
                <w:rFonts w:hint="eastAsia" w:ascii="Times New Roman" w:hAnsi="Times New Roman" w:cs="Times New Roman"/>
                <w:sz w:val="21"/>
                <w:szCs w:val="21"/>
                <w:vertAlign w:val="baseline"/>
                <w:lang w:val="en-US" w:eastAsia="zh-CN"/>
              </w:rPr>
              <w:t>环评及批复的建设内容，主要为部署2</w:t>
            </w:r>
            <w:r>
              <w:rPr>
                <w:rFonts w:hint="default" w:ascii="Times New Roman" w:hAnsi="Times New Roman" w:cs="Times New Roman"/>
                <w:sz w:val="21"/>
                <w:szCs w:val="21"/>
                <w:vertAlign w:val="baseline"/>
                <w:lang w:val="en-US" w:eastAsia="zh-CN"/>
              </w:rPr>
              <w:t>口</w:t>
            </w:r>
            <w:r>
              <w:rPr>
                <w:rFonts w:hint="eastAsia" w:ascii="Times New Roman" w:hAnsi="Times New Roman" w:cs="Times New Roman"/>
                <w:sz w:val="21"/>
                <w:szCs w:val="21"/>
                <w:vertAlign w:val="baseline"/>
                <w:lang w:val="en-US" w:eastAsia="zh-CN"/>
              </w:rPr>
              <w:t>探井（评价</w:t>
            </w:r>
            <w:r>
              <w:rPr>
                <w:rFonts w:hint="default" w:ascii="Times New Roman" w:hAnsi="Times New Roman" w:cs="Times New Roman"/>
                <w:sz w:val="21"/>
                <w:szCs w:val="21"/>
                <w:vertAlign w:val="baseline"/>
                <w:lang w:val="en-US" w:eastAsia="zh-CN"/>
              </w:rPr>
              <w:t>井</w:t>
            </w:r>
            <w:r>
              <w:rPr>
                <w:rFonts w:hint="eastAsia" w:ascii="Times New Roman" w:hAnsi="Times New Roman" w:cs="Times New Roman"/>
                <w:sz w:val="21"/>
                <w:szCs w:val="21"/>
                <w:vertAlign w:val="baseline"/>
                <w:lang w:val="en-US" w:eastAsia="zh-CN"/>
              </w:rPr>
              <w:t>）转产能井，新建产能0.193</w:t>
            </w: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10</w:t>
            </w:r>
            <w:r>
              <w:rPr>
                <w:rFonts w:hint="eastAsia" w:ascii="Times New Roman" w:hAnsi="Times New Roman" w:cs="Times New Roman"/>
                <w:sz w:val="21"/>
                <w:szCs w:val="21"/>
                <w:vertAlign w:val="superscript"/>
                <w:lang w:val="en-US" w:eastAsia="zh-CN"/>
              </w:rPr>
              <w:t>4</w:t>
            </w:r>
            <w:r>
              <w:rPr>
                <w:rFonts w:hint="eastAsia" w:ascii="Times New Roman" w:hAnsi="Times New Roman" w:cs="Times New Roman"/>
                <w:sz w:val="21"/>
                <w:szCs w:val="21"/>
                <w:vertAlign w:val="baseline"/>
                <w:lang w:val="en-US" w:eastAsia="zh-CN"/>
              </w:rPr>
              <w:t>t/a</w:t>
            </w: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井场配套建设单井采油管线、单井储油罐及配套建设供电、仪表等工程。</w:t>
            </w:r>
          </w:p>
          <w:p w14:paraId="0D1C390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sz w:val="21"/>
                <w:szCs w:val="21"/>
              </w:rPr>
            </w:pPr>
            <w:r>
              <w:rPr>
                <w:rFonts w:hint="default" w:ascii="Times New Roman" w:hAnsi="Times New Roman" w:cs="Times New Roman"/>
                <w:sz w:val="21"/>
                <w:szCs w:val="21"/>
              </w:rPr>
              <w:t>本项目运营过程中对环境造成的影响主要有</w:t>
            </w:r>
            <w:r>
              <w:rPr>
                <w:rFonts w:hint="default" w:ascii="Times New Roman" w:hAnsi="Times New Roman" w:cs="Times New Roman"/>
                <w:sz w:val="21"/>
                <w:szCs w:val="21"/>
                <w:lang w:eastAsia="zh-CN"/>
              </w:rPr>
              <w:t>无组织</w:t>
            </w:r>
            <w:r>
              <w:rPr>
                <w:rFonts w:hint="default" w:ascii="Times New Roman" w:hAnsi="Times New Roman" w:cs="Times New Roman"/>
                <w:sz w:val="21"/>
                <w:szCs w:val="21"/>
              </w:rPr>
              <w:t>废气、含油污水、含油污泥、设备运行噪声</w:t>
            </w:r>
            <w:r>
              <w:rPr>
                <w:rFonts w:hint="eastAsia" w:ascii="Times New Roman" w:hAnsi="Times New Roman" w:cs="Times New Roman"/>
                <w:sz w:val="21"/>
                <w:szCs w:val="21"/>
                <w:lang w:val="en-US" w:eastAsia="zh-CN"/>
              </w:rPr>
              <w:t>等</w:t>
            </w:r>
            <w:r>
              <w:rPr>
                <w:rFonts w:hint="default" w:ascii="Times New Roman" w:hAnsi="Times New Roman" w:cs="Times New Roman"/>
                <w:sz w:val="21"/>
                <w:szCs w:val="21"/>
              </w:rPr>
              <w:t>。</w:t>
            </w:r>
          </w:p>
          <w:p w14:paraId="5BC4246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cs="Times New Roman"/>
                <w:sz w:val="21"/>
                <w:szCs w:val="21"/>
                <w:vertAlign w:val="baseline"/>
                <w:lang w:val="en-US" w:eastAsia="zh-CN"/>
              </w:rPr>
            </w:pPr>
            <w:r>
              <w:rPr>
                <w:rFonts w:hint="default" w:ascii="Times New Roman" w:hAnsi="Times New Roman" w:cs="Times New Roman"/>
                <w:sz w:val="21"/>
                <w:szCs w:val="21"/>
                <w:lang w:eastAsia="zh-CN"/>
              </w:rPr>
              <w:t>采油过程只有少量挥发的无组织废气</w:t>
            </w:r>
            <w:r>
              <w:rPr>
                <w:rFonts w:hint="default" w:ascii="Times New Roman" w:hAnsi="Times New Roman" w:cs="Times New Roman"/>
                <w:sz w:val="21"/>
                <w:szCs w:val="21"/>
              </w:rPr>
              <w:t>；井下作业废水经罐车拉运至</w:t>
            </w:r>
            <w:r>
              <w:rPr>
                <w:rFonts w:hint="eastAsia" w:ascii="Times New Roman" w:hAnsi="Times New Roman" w:cs="Times New Roman"/>
                <w:sz w:val="21"/>
                <w:szCs w:val="21"/>
                <w:lang w:val="en-US" w:eastAsia="zh-CN"/>
              </w:rPr>
              <w:t>红山嘴油田原油</w:t>
            </w:r>
            <w:r>
              <w:rPr>
                <w:rFonts w:hint="default" w:ascii="Times New Roman" w:hAnsi="Times New Roman" w:cs="Times New Roman"/>
                <w:sz w:val="21"/>
                <w:szCs w:val="21"/>
              </w:rPr>
              <w:t>处理站</w:t>
            </w:r>
            <w:r>
              <w:rPr>
                <w:rFonts w:hint="eastAsia" w:ascii="Times New Roman" w:hAnsi="Times New Roman" w:cs="Times New Roman"/>
                <w:sz w:val="21"/>
                <w:szCs w:val="21"/>
                <w:lang w:val="en-US" w:eastAsia="zh-CN"/>
              </w:rPr>
              <w:t>压裂返排液设施</w:t>
            </w:r>
            <w:r>
              <w:rPr>
                <w:rFonts w:hint="eastAsia"/>
                <w:sz w:val="21"/>
                <w:szCs w:val="21"/>
                <w:lang w:eastAsia="zh-CN"/>
              </w:rPr>
              <w:t>处</w:t>
            </w:r>
            <w:r>
              <w:rPr>
                <w:rFonts w:hint="default" w:ascii="Times New Roman" w:hAnsi="Times New Roman" w:cs="Times New Roman"/>
                <w:sz w:val="21"/>
                <w:szCs w:val="21"/>
                <w:lang w:eastAsia="zh-CN"/>
              </w:rPr>
              <w:t>理达标后</w:t>
            </w:r>
            <w:r>
              <w:rPr>
                <w:rFonts w:hint="default" w:ascii="Times New Roman" w:hAnsi="Times New Roman" w:cs="Times New Roman"/>
                <w:sz w:val="21"/>
                <w:szCs w:val="21"/>
              </w:rPr>
              <w:t>回注油田；</w:t>
            </w:r>
            <w:r>
              <w:rPr>
                <w:rFonts w:hint="eastAsia" w:ascii="Times New Roman" w:hAnsi="Times New Roman" w:cs="Times New Roman"/>
                <w:sz w:val="21"/>
                <w:szCs w:val="21"/>
                <w:lang w:val="en-US" w:eastAsia="zh-CN"/>
              </w:rPr>
              <w:t>采出水依托红山嘴油田原油处理站采出水处理设施处理达标后回注；</w:t>
            </w:r>
            <w:r>
              <w:rPr>
                <w:rFonts w:hint="default" w:ascii="Times New Roman" w:hAnsi="Times New Roman" w:cs="Times New Roman"/>
                <w:sz w:val="21"/>
                <w:szCs w:val="21"/>
              </w:rPr>
              <w:t>作业单位对落地油100%回收</w:t>
            </w:r>
            <w:r>
              <w:rPr>
                <w:rFonts w:hint="eastAsia" w:ascii="Times New Roman" w:hAnsi="Times New Roman" w:cs="Times New Roman"/>
                <w:sz w:val="21"/>
                <w:szCs w:val="21"/>
                <w:lang w:val="en-US" w:eastAsia="zh-CN"/>
              </w:rPr>
              <w:t>和油泥（砂）、沾油废物等</w:t>
            </w:r>
            <w:r>
              <w:rPr>
                <w:rFonts w:hint="default" w:ascii="Times New Roman" w:hAnsi="Times New Roman" w:cs="Times New Roman"/>
                <w:sz w:val="21"/>
                <w:szCs w:val="21"/>
              </w:rPr>
              <w:t>交由具有危废处置资质的单位回收</w:t>
            </w:r>
            <w:r>
              <w:rPr>
                <w:rFonts w:hint="eastAsia" w:ascii="Times New Roman" w:hAnsi="Times New Roman" w:cs="Times New Roman"/>
                <w:sz w:val="21"/>
                <w:szCs w:val="21"/>
                <w:lang w:val="en-US" w:eastAsia="zh-CN"/>
              </w:rPr>
              <w:t>处置</w:t>
            </w:r>
            <w:r>
              <w:rPr>
                <w:rFonts w:hint="default" w:ascii="Times New Roman" w:hAnsi="Times New Roman" w:cs="Times New Roman"/>
                <w:sz w:val="21"/>
                <w:szCs w:val="21"/>
              </w:rPr>
              <w:t>；</w:t>
            </w:r>
            <w:r>
              <w:rPr>
                <w:rFonts w:hint="default" w:ascii="Times New Roman" w:hAnsi="Times New Roman" w:cs="Times New Roman"/>
                <w:sz w:val="21"/>
                <w:szCs w:val="21"/>
                <w:lang w:eastAsia="zh-CN"/>
              </w:rPr>
              <w:t>井场周围</w:t>
            </w:r>
            <w:r>
              <w:rPr>
                <w:rFonts w:hint="default" w:ascii="Times New Roman" w:hAnsi="Times New Roman" w:cs="Times New Roman"/>
                <w:sz w:val="21"/>
                <w:szCs w:val="21"/>
                <w:lang w:val="en-US" w:eastAsia="zh-CN"/>
              </w:rPr>
              <w:t>200m无声环境敏感点，抽油机产生的噪声对周围声环境影响较小</w:t>
            </w:r>
            <w:r>
              <w:rPr>
                <w:rFonts w:hint="default" w:ascii="Times New Roman" w:hAnsi="Times New Roman" w:cs="Times New Roman"/>
                <w:sz w:val="21"/>
                <w:szCs w:val="21"/>
              </w:rPr>
              <w:t>。</w:t>
            </w:r>
          </w:p>
        </w:tc>
      </w:tr>
      <w:tr w14:paraId="4CF2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tcBorders>
              <w:tl2br w:val="nil"/>
              <w:tr2bl w:val="nil"/>
            </w:tcBorders>
            <w:noWrap w:val="0"/>
            <w:vAlign w:val="top"/>
          </w:tcPr>
          <w:p w14:paraId="7A3415DC">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请您逐项在下列为题中选择代表您所认同的观点填“√”，否则不填</w:t>
            </w:r>
          </w:p>
        </w:tc>
      </w:tr>
      <w:tr w14:paraId="67B8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0B565B88">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w:t>
            </w:r>
          </w:p>
        </w:tc>
        <w:tc>
          <w:tcPr>
            <w:tcW w:w="4786" w:type="pct"/>
            <w:gridSpan w:val="7"/>
            <w:tcBorders>
              <w:tl2br w:val="nil"/>
              <w:tr2bl w:val="nil"/>
            </w:tcBorders>
            <w:noWrap w:val="0"/>
            <w:vAlign w:val="top"/>
          </w:tcPr>
          <w:p w14:paraId="693F1C0B">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通过介绍，您对本项目的了解情况：    较清楚</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一般</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不了解</w:t>
            </w:r>
            <w:r>
              <w:rPr>
                <w:rFonts w:hint="default" w:ascii="Times New Roman" w:hAnsi="Times New Roman" w:cs="Times New Roman"/>
                <w:sz w:val="21"/>
                <w:szCs w:val="21"/>
                <w:vertAlign w:val="baseline"/>
                <w:lang w:val="en-US" w:eastAsia="zh-CN"/>
              </w:rPr>
              <w:sym w:font="Wingdings" w:char="00A8"/>
            </w:r>
          </w:p>
        </w:tc>
      </w:tr>
      <w:tr w14:paraId="65E0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7A83913C">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w:t>
            </w:r>
          </w:p>
        </w:tc>
        <w:tc>
          <w:tcPr>
            <w:tcW w:w="4786" w:type="pct"/>
            <w:gridSpan w:val="7"/>
            <w:tcBorders>
              <w:tl2br w:val="nil"/>
              <w:tr2bl w:val="nil"/>
            </w:tcBorders>
            <w:noWrap w:val="0"/>
            <w:vAlign w:val="top"/>
          </w:tcPr>
          <w:p w14:paraId="7620A96F">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您认为本项目的的主要环境问题是什么：</w:t>
            </w:r>
          </w:p>
          <w:p w14:paraId="424B188F">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大气污染</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水污染</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噪声污染</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生态破坏</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没有影响</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不知道</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w:t>
            </w:r>
          </w:p>
        </w:tc>
      </w:tr>
      <w:tr w14:paraId="7BCBF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61399BC2">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w:t>
            </w:r>
          </w:p>
        </w:tc>
        <w:tc>
          <w:tcPr>
            <w:tcW w:w="4786" w:type="pct"/>
            <w:gridSpan w:val="7"/>
            <w:tcBorders>
              <w:tl2br w:val="nil"/>
              <w:tr2bl w:val="nil"/>
            </w:tcBorders>
            <w:noWrap w:val="0"/>
            <w:vAlign w:val="top"/>
          </w:tcPr>
          <w:p w14:paraId="61E85425">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本项目施工期间是否有环境污染事故发生：    是</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否</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w:t>
            </w:r>
          </w:p>
        </w:tc>
      </w:tr>
      <w:tr w14:paraId="16E49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1C7AD414">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4</w:t>
            </w:r>
          </w:p>
        </w:tc>
        <w:tc>
          <w:tcPr>
            <w:tcW w:w="4786" w:type="pct"/>
            <w:gridSpan w:val="7"/>
            <w:tcBorders>
              <w:tl2br w:val="nil"/>
              <w:tr2bl w:val="nil"/>
            </w:tcBorders>
            <w:noWrap w:val="0"/>
            <w:vAlign w:val="top"/>
          </w:tcPr>
          <w:p w14:paraId="5D595078">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本项目施工期间是否有施工扰民事件发生：    是</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否</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w:t>
            </w:r>
          </w:p>
        </w:tc>
      </w:tr>
      <w:tr w14:paraId="1093C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6B0B7620">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5</w:t>
            </w:r>
          </w:p>
        </w:tc>
        <w:tc>
          <w:tcPr>
            <w:tcW w:w="4786" w:type="pct"/>
            <w:gridSpan w:val="7"/>
            <w:tcBorders>
              <w:tl2br w:val="nil"/>
              <w:tr2bl w:val="nil"/>
            </w:tcBorders>
            <w:noWrap w:val="0"/>
            <w:vAlign w:val="top"/>
          </w:tcPr>
          <w:p w14:paraId="6BB38B09">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如果您对本项目的环保工作不满意，您是否向有关部门反映意见：是</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否</w:t>
            </w:r>
            <w:r>
              <w:rPr>
                <w:rFonts w:hint="default" w:ascii="Times New Roman" w:hAnsi="Times New Roman" w:cs="Times New Roman"/>
                <w:sz w:val="21"/>
                <w:szCs w:val="21"/>
                <w:vertAlign w:val="baseline"/>
                <w:lang w:val="en-US" w:eastAsia="zh-CN"/>
              </w:rPr>
              <w:sym w:font="Wingdings" w:char="00A8"/>
            </w:r>
          </w:p>
          <w:p w14:paraId="07AF9232">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如有反映，请写明受理部门及反映的内容：</w:t>
            </w:r>
          </w:p>
          <w:p w14:paraId="2D39CF7E">
            <w:pPr>
              <w:spacing w:line="240" w:lineRule="auto"/>
              <w:rPr>
                <w:rFonts w:hint="default" w:ascii="Times New Roman" w:hAnsi="Times New Roman" w:cs="Times New Roman"/>
                <w:sz w:val="21"/>
                <w:szCs w:val="21"/>
                <w:vertAlign w:val="baseline"/>
                <w:lang w:val="en-US" w:eastAsia="zh-CN"/>
              </w:rPr>
            </w:pPr>
          </w:p>
        </w:tc>
      </w:tr>
      <w:tr w14:paraId="2D0A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58FABB78">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6</w:t>
            </w:r>
          </w:p>
        </w:tc>
        <w:tc>
          <w:tcPr>
            <w:tcW w:w="4786" w:type="pct"/>
            <w:gridSpan w:val="7"/>
            <w:tcBorders>
              <w:tl2br w:val="nil"/>
              <w:tr2bl w:val="nil"/>
            </w:tcBorders>
            <w:noWrap w:val="0"/>
            <w:vAlign w:val="top"/>
          </w:tcPr>
          <w:p w14:paraId="34D4D4F0">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本项目临时占地是否采取了恢复措施：是</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否</w:t>
            </w:r>
            <w:r>
              <w:rPr>
                <w:rFonts w:hint="default" w:ascii="Times New Roman" w:hAnsi="Times New Roman" w:cs="Times New Roman"/>
                <w:sz w:val="21"/>
                <w:szCs w:val="21"/>
                <w:vertAlign w:val="baseline"/>
                <w:lang w:val="en-US" w:eastAsia="zh-CN"/>
              </w:rPr>
              <w:sym w:font="Wingdings" w:char="00A8"/>
            </w:r>
          </w:p>
        </w:tc>
      </w:tr>
      <w:tr w14:paraId="7856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44AA43BF">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7</w:t>
            </w:r>
          </w:p>
        </w:tc>
        <w:tc>
          <w:tcPr>
            <w:tcW w:w="4786" w:type="pct"/>
            <w:gridSpan w:val="7"/>
            <w:tcBorders>
              <w:tl2br w:val="nil"/>
              <w:tr2bl w:val="nil"/>
            </w:tcBorders>
            <w:noWrap w:val="0"/>
            <w:vAlign w:val="top"/>
          </w:tcPr>
          <w:p w14:paraId="7949CD98">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该项目建设对您的工作、生活带来不利的影响：</w:t>
            </w:r>
          </w:p>
          <w:p w14:paraId="15DE2374">
            <w:pPr>
              <w:spacing w:line="240" w:lineRule="auto"/>
              <w:rPr>
                <w:rFonts w:hint="default" w:ascii="Times New Roman" w:hAnsi="Times New Roman" w:cs="Times New Roman"/>
                <w:b/>
                <w:bCs/>
                <w:sz w:val="21"/>
                <w:szCs w:val="21"/>
                <w:vertAlign w:val="baseline"/>
                <w:lang w:val="en-US" w:eastAsia="zh-CN"/>
              </w:rPr>
            </w:pPr>
            <w:r>
              <w:rPr>
                <w:rFonts w:hint="default" w:ascii="Times New Roman" w:hAnsi="Times New Roman" w:cs="Times New Roman"/>
                <w:sz w:val="21"/>
                <w:szCs w:val="21"/>
                <w:vertAlign w:val="baseline"/>
                <w:lang w:val="en-US" w:eastAsia="zh-CN"/>
              </w:rPr>
              <w:t>影响较重</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影响较轻</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有影响，但可以接受</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无影响</w:t>
            </w:r>
            <w:r>
              <w:rPr>
                <w:rFonts w:hint="default" w:ascii="Times New Roman" w:hAnsi="Times New Roman" w:cs="Times New Roman"/>
                <w:sz w:val="21"/>
                <w:szCs w:val="21"/>
                <w:vertAlign w:val="baseline"/>
                <w:lang w:val="en-US" w:eastAsia="zh-CN"/>
              </w:rPr>
              <w:sym w:font="Wingdings" w:char="00A8"/>
            </w:r>
          </w:p>
        </w:tc>
      </w:tr>
      <w:tr w14:paraId="4727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09216036">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8</w:t>
            </w:r>
          </w:p>
        </w:tc>
        <w:tc>
          <w:tcPr>
            <w:tcW w:w="4786" w:type="pct"/>
            <w:gridSpan w:val="7"/>
            <w:tcBorders>
              <w:tl2br w:val="nil"/>
              <w:tr2bl w:val="nil"/>
            </w:tcBorders>
            <w:noWrap w:val="0"/>
            <w:vAlign w:val="top"/>
          </w:tcPr>
          <w:p w14:paraId="69CE3DB6">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您对本项目采取的环保措施总体是否满意：</w:t>
            </w:r>
          </w:p>
          <w:p w14:paraId="1787A931">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满意</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基本满意</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不满意</w:t>
            </w:r>
            <w:r>
              <w:rPr>
                <w:rFonts w:hint="default" w:ascii="Times New Roman" w:hAnsi="Times New Roman" w:cs="Times New Roman"/>
                <w:sz w:val="21"/>
                <w:szCs w:val="21"/>
                <w:vertAlign w:val="baseline"/>
                <w:lang w:val="en-US" w:eastAsia="zh-CN"/>
              </w:rPr>
              <w:sym w:font="Wingdings" w:char="00A8"/>
            </w:r>
            <w:r>
              <w:rPr>
                <w:rFonts w:hint="default" w:ascii="Times New Roman" w:hAnsi="Times New Roman" w:cs="Times New Roman"/>
                <w:sz w:val="21"/>
                <w:szCs w:val="21"/>
                <w:vertAlign w:val="baseline"/>
                <w:lang w:val="en-US" w:eastAsia="zh-CN"/>
              </w:rPr>
              <w:t xml:space="preserve">    不知道</w:t>
            </w:r>
            <w:r>
              <w:rPr>
                <w:rFonts w:hint="default" w:ascii="Times New Roman" w:hAnsi="Times New Roman" w:cs="Times New Roman"/>
                <w:sz w:val="21"/>
                <w:szCs w:val="21"/>
                <w:vertAlign w:val="baseline"/>
                <w:lang w:val="en-US" w:eastAsia="zh-CN"/>
              </w:rPr>
              <w:sym w:font="Wingdings" w:char="00A8"/>
            </w:r>
          </w:p>
        </w:tc>
      </w:tr>
      <w:tr w14:paraId="1F66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 w:type="pct"/>
            <w:tcBorders>
              <w:tl2br w:val="nil"/>
              <w:tr2bl w:val="nil"/>
            </w:tcBorders>
            <w:noWrap w:val="0"/>
            <w:vAlign w:val="top"/>
          </w:tcPr>
          <w:p w14:paraId="5F21467C">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w:t>
            </w:r>
          </w:p>
        </w:tc>
        <w:tc>
          <w:tcPr>
            <w:tcW w:w="4786" w:type="pct"/>
            <w:gridSpan w:val="7"/>
            <w:tcBorders>
              <w:tl2br w:val="nil"/>
              <w:tr2bl w:val="nil"/>
            </w:tcBorders>
            <w:noWrap w:val="0"/>
            <w:vAlign w:val="top"/>
          </w:tcPr>
          <w:p w14:paraId="2380D1DE">
            <w:pPr>
              <w:spacing w:line="240" w:lineRule="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针对您反映的问题，请提出解决建议：</w:t>
            </w:r>
          </w:p>
          <w:p w14:paraId="11C6A20C">
            <w:pPr>
              <w:spacing w:line="240" w:lineRule="auto"/>
              <w:rPr>
                <w:rFonts w:hint="default" w:ascii="Times New Roman" w:hAnsi="Times New Roman" w:cs="Times New Roman"/>
                <w:sz w:val="21"/>
                <w:szCs w:val="21"/>
                <w:vertAlign w:val="baseline"/>
                <w:lang w:val="en-US" w:eastAsia="zh-CN"/>
              </w:rPr>
            </w:pPr>
          </w:p>
        </w:tc>
      </w:tr>
    </w:tbl>
    <w:p w14:paraId="7716985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6326E7"/>
    <w:multiLevelType w:val="multilevel"/>
    <w:tmpl w:val="506326E7"/>
    <w:lvl w:ilvl="0" w:tentative="0">
      <w:start w:val="1"/>
      <w:numFmt w:val="bullet"/>
      <w:pStyle w:val="7"/>
      <w:lvlText w:val=""/>
      <w:lvlJc w:val="left"/>
      <w:pPr>
        <w:tabs>
          <w:tab w:val="left" w:pos="913"/>
        </w:tabs>
        <w:ind w:left="913" w:hanging="420"/>
      </w:pPr>
      <w:rPr>
        <w:rFonts w:hint="default" w:ascii="Wingdings" w:hAnsi="Wingdings"/>
      </w:rPr>
    </w:lvl>
    <w:lvl w:ilvl="1" w:tentative="0">
      <w:start w:val="1"/>
      <w:numFmt w:val="bullet"/>
      <w:lvlText w:val=""/>
      <w:lvlJc w:val="left"/>
      <w:pPr>
        <w:tabs>
          <w:tab w:val="left" w:pos="1333"/>
        </w:tabs>
        <w:ind w:left="1333" w:hanging="420"/>
      </w:pPr>
      <w:rPr>
        <w:rFonts w:hint="default" w:ascii="Wingdings" w:hAnsi="Wingdings"/>
      </w:rPr>
    </w:lvl>
    <w:lvl w:ilvl="2" w:tentative="0">
      <w:start w:val="1"/>
      <w:numFmt w:val="bullet"/>
      <w:lvlText w:val=""/>
      <w:lvlJc w:val="left"/>
      <w:pPr>
        <w:tabs>
          <w:tab w:val="left" w:pos="1753"/>
        </w:tabs>
        <w:ind w:left="1753" w:hanging="420"/>
      </w:pPr>
      <w:rPr>
        <w:rFonts w:hint="default" w:ascii="Wingdings" w:hAnsi="Wingdings"/>
      </w:rPr>
    </w:lvl>
    <w:lvl w:ilvl="3" w:tentative="0">
      <w:start w:val="1"/>
      <w:numFmt w:val="bullet"/>
      <w:lvlText w:val=""/>
      <w:lvlJc w:val="left"/>
      <w:pPr>
        <w:tabs>
          <w:tab w:val="left" w:pos="2173"/>
        </w:tabs>
        <w:ind w:left="2173" w:hanging="420"/>
      </w:pPr>
      <w:rPr>
        <w:rFonts w:hint="default" w:ascii="Wingdings" w:hAnsi="Wingdings"/>
      </w:rPr>
    </w:lvl>
    <w:lvl w:ilvl="4" w:tentative="0">
      <w:start w:val="1"/>
      <w:numFmt w:val="bullet"/>
      <w:lvlText w:val=""/>
      <w:lvlJc w:val="left"/>
      <w:pPr>
        <w:tabs>
          <w:tab w:val="left" w:pos="2593"/>
        </w:tabs>
        <w:ind w:left="2593" w:hanging="420"/>
      </w:pPr>
      <w:rPr>
        <w:rFonts w:hint="default" w:ascii="Wingdings" w:hAnsi="Wingdings"/>
      </w:rPr>
    </w:lvl>
    <w:lvl w:ilvl="5" w:tentative="0">
      <w:start w:val="1"/>
      <w:numFmt w:val="bullet"/>
      <w:lvlText w:val=""/>
      <w:lvlJc w:val="left"/>
      <w:pPr>
        <w:tabs>
          <w:tab w:val="left" w:pos="3013"/>
        </w:tabs>
        <w:ind w:left="3013" w:hanging="420"/>
      </w:pPr>
      <w:rPr>
        <w:rFonts w:hint="default" w:ascii="Wingdings" w:hAnsi="Wingdings"/>
      </w:rPr>
    </w:lvl>
    <w:lvl w:ilvl="6" w:tentative="0">
      <w:start w:val="1"/>
      <w:numFmt w:val="bullet"/>
      <w:lvlText w:val=""/>
      <w:lvlJc w:val="left"/>
      <w:pPr>
        <w:tabs>
          <w:tab w:val="left" w:pos="3433"/>
        </w:tabs>
        <w:ind w:left="3433" w:hanging="420"/>
      </w:pPr>
      <w:rPr>
        <w:rFonts w:hint="default" w:ascii="Wingdings" w:hAnsi="Wingdings"/>
      </w:rPr>
    </w:lvl>
    <w:lvl w:ilvl="7" w:tentative="0">
      <w:start w:val="1"/>
      <w:numFmt w:val="bullet"/>
      <w:lvlText w:val=""/>
      <w:lvlJc w:val="left"/>
      <w:pPr>
        <w:tabs>
          <w:tab w:val="left" w:pos="3853"/>
        </w:tabs>
        <w:ind w:left="3853" w:hanging="420"/>
      </w:pPr>
      <w:rPr>
        <w:rFonts w:hint="default" w:ascii="Wingdings" w:hAnsi="Wingdings"/>
      </w:rPr>
    </w:lvl>
    <w:lvl w:ilvl="8" w:tentative="0">
      <w:start w:val="1"/>
      <w:numFmt w:val="bullet"/>
      <w:lvlText w:val=""/>
      <w:lvlJc w:val="left"/>
      <w:pPr>
        <w:tabs>
          <w:tab w:val="left" w:pos="4273"/>
        </w:tabs>
        <w:ind w:left="4273"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xNWQ4NGJlNzE0ODAwOWMxMDUyNGI5Zjk4ZTUyZTkifQ=="/>
  </w:docVars>
  <w:rsids>
    <w:rsidRoot w:val="5F9B301D"/>
    <w:rsid w:val="04134B5D"/>
    <w:rsid w:val="05AF25AB"/>
    <w:rsid w:val="125E6EA8"/>
    <w:rsid w:val="16460C5B"/>
    <w:rsid w:val="1C667B0E"/>
    <w:rsid w:val="29160628"/>
    <w:rsid w:val="29D92EC8"/>
    <w:rsid w:val="2F8C268B"/>
    <w:rsid w:val="3EBD46BE"/>
    <w:rsid w:val="41FF65C1"/>
    <w:rsid w:val="461B60BF"/>
    <w:rsid w:val="48E10608"/>
    <w:rsid w:val="4D275349"/>
    <w:rsid w:val="58450D79"/>
    <w:rsid w:val="58932051"/>
    <w:rsid w:val="5F9B301D"/>
    <w:rsid w:val="6AC54B32"/>
    <w:rsid w:val="6AC93F55"/>
    <w:rsid w:val="6EFE2111"/>
    <w:rsid w:val="6FAC1340"/>
    <w:rsid w:val="7B5B3E7B"/>
    <w:rsid w:val="7D565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Lines="0" w:beforeAutospacing="0" w:afterLines="0" w:afterAutospacing="0" w:line="360" w:lineRule="auto"/>
      <w:outlineLvl w:val="0"/>
    </w:pPr>
    <w:rPr>
      <w:rFonts w:ascii="Times New Roman" w:hAnsi="Times New Roman" w:eastAsia="宋体"/>
      <w:b/>
      <w:kern w:val="44"/>
      <w:sz w:val="44"/>
      <w:szCs w:val="24"/>
    </w:rPr>
  </w:style>
  <w:style w:type="paragraph" w:styleId="4">
    <w:name w:val="heading 2"/>
    <w:basedOn w:val="1"/>
    <w:next w:val="1"/>
    <w:semiHidden/>
    <w:unhideWhenUsed/>
    <w:qFormat/>
    <w:uiPriority w:val="0"/>
    <w:pPr>
      <w:keepNext/>
      <w:keepLines/>
      <w:spacing w:line="360" w:lineRule="auto"/>
      <w:ind w:firstLine="482" w:firstLineChars="100"/>
      <w:jc w:val="left"/>
      <w:outlineLvl w:val="1"/>
    </w:pPr>
    <w:rPr>
      <w:rFonts w:ascii="Times New Roman" w:hAnsi="Times New Roman" w:eastAsia="宋体"/>
      <w:b/>
      <w:bCs/>
      <w:kern w:val="2"/>
      <w:sz w:val="32"/>
      <w:szCs w:val="32"/>
    </w:rPr>
  </w:style>
  <w:style w:type="paragraph" w:styleId="5">
    <w:name w:val="heading 3"/>
    <w:basedOn w:val="1"/>
    <w:next w:val="1"/>
    <w:semiHidden/>
    <w:unhideWhenUsed/>
    <w:qFormat/>
    <w:uiPriority w:val="0"/>
    <w:pPr>
      <w:keepNext/>
      <w:keepLines/>
      <w:spacing w:beforeLines="0" w:beforeAutospacing="0" w:afterLines="0" w:afterAutospacing="0" w:line="360" w:lineRule="auto"/>
      <w:ind w:firstLine="964" w:firstLineChars="200"/>
      <w:outlineLvl w:val="2"/>
    </w:pPr>
    <w:rPr>
      <w:rFonts w:ascii="Times New Roman" w:hAnsi="Times New Roman" w:eastAsiaTheme="minorEastAsia" w:cstheme="minorBidi"/>
      <w:b/>
      <w:kern w:val="2"/>
      <w:sz w:val="30"/>
      <w:szCs w:val="24"/>
    </w:rPr>
  </w:style>
  <w:style w:type="paragraph" w:styleId="6">
    <w:name w:val="heading 4"/>
    <w:basedOn w:val="1"/>
    <w:next w:val="1"/>
    <w:semiHidden/>
    <w:unhideWhenUsed/>
    <w:qFormat/>
    <w:uiPriority w:val="0"/>
    <w:pPr>
      <w:keepNext/>
      <w:keepLines/>
      <w:spacing w:beforeLines="0" w:beforeAutospacing="0" w:afterLines="0" w:afterAutospacing="0" w:line="360" w:lineRule="auto"/>
      <w:ind w:firstLine="1104" w:firstLineChars="250"/>
      <w:outlineLvl w:val="3"/>
    </w:pPr>
    <w:rPr>
      <w:rFonts w:ascii="Times New Roman" w:hAnsi="Times New Roman" w:eastAsia="宋体" w:cs="Times New Roman"/>
      <w:b/>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7">
    <w:name w:val="Body Text Indent"/>
    <w:basedOn w:val="1"/>
    <w:next w:val="2"/>
    <w:qFormat/>
    <w:uiPriority w:val="0"/>
    <w:pPr>
      <w:numPr>
        <w:ilvl w:val="0"/>
        <w:numId w:val="1"/>
      </w:numPr>
      <w:tabs>
        <w:tab w:val="clear" w:pos="913"/>
      </w:tabs>
      <w:spacing w:line="440" w:lineRule="exact"/>
      <w:ind w:left="0" w:firstLine="510"/>
    </w:pPr>
    <w:rPr>
      <w:rFonts w:ascii="宋体"/>
      <w:spacing w:val="12"/>
      <w:kern w:val="0"/>
      <w:sz w:val="24"/>
    </w:rPr>
  </w:style>
  <w:style w:type="paragraph" w:styleId="8">
    <w:name w:val="List"/>
    <w:basedOn w:val="1"/>
    <w:qFormat/>
    <w:uiPriority w:val="0"/>
    <w:pPr>
      <w:ind w:left="200" w:hanging="200" w:hangingChars="200"/>
    </w:pPr>
  </w:style>
  <w:style w:type="paragraph" w:styleId="9">
    <w:name w:val="Body Text 2"/>
    <w:basedOn w:val="1"/>
    <w:qFormat/>
    <w:uiPriority w:val="0"/>
    <w:pPr>
      <w:spacing w:after="120" w:afterLines="0" w:line="480" w:lineRule="auto"/>
    </w:pPr>
    <w:rPr>
      <w:rFonts w:eastAsia="仿宋_GB231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表头"/>
    <w:basedOn w:val="8"/>
    <w:next w:val="1"/>
    <w:qFormat/>
    <w:uiPriority w:val="0"/>
    <w:pPr>
      <w:overflowPunct w:val="0"/>
      <w:ind w:firstLine="0" w:firstLineChars="0"/>
      <w:jc w:val="center"/>
    </w:pPr>
    <w:rPr>
      <w:rFonts w:ascii="Times New Roman" w:hAnsi="Times New Roman" w:eastAsia="宋体" w:cs="Times New Roman"/>
      <w:b/>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2024-11-12T03:11:00Z</dcterms:created>
  <dc:creator>结局怎么写</dc:creator>
  <cp:lastModifiedBy>结局怎么写</cp:lastModifiedBy>
  <dcterms:modified xsi:type="dcterms:W3CDTF">2024-11-12T03:15:39Z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30B209D2101F4AB5869FCE347CCB92FD_11</vt:lpwstr>
  </property>
</Properties>
</file>