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江苏利之生环保服务有限公司</w:t>
      </w:r>
    </w:p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危险废物污染环境防治信息公开</w:t>
      </w:r>
    </w:p>
    <w:p>
      <w:pPr>
        <w:jc w:val="center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2023年度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）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firstLine="960" w:firstLineChars="4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依据《中华人民共和国固体废物污染环境防治法》第二十九条规定：“产生、收集、贮存、运输、利用、处置固体废物的单位，应当依法及时公开固体废物污染环境防治信息，主动接受社会监督。”现将2023年危险废物污染环境防治信息公开如下，接受公众监督。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2"/>
        <w:gridCol w:w="6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江苏利之生环保服务有限公司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溧阳市绸缪化工园中心路10号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法人代表及电话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赵亚洲 13901495612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环保负责人及电话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李欣 18906140188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环评批复文号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常溧环审【2021】29号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危险废物经营许可证编号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JSCZ0481CSO070-2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危险废物经营许可有效期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2025年5月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核准经营危险废物种类和能力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收集医药废物（HW02）、废药物、药品（HW03）、农药废物（HW04）、废有机溶剂与含有机溶剂废物（HW06）、废矿物油与含矿物油废物（HW08）、油/水、烃/水混合物或乳化液（HW09）、精（蒸）馏残渣（HW11）、染料、涂料废物（HW12）、有机树脂类废物（HW13）、表面处理废物（HW17）、含铜废物（HW22）、含汞废物（HW29）、含铅废物（HW31）、废酸（HW34）、废碱（HW35）、石棉废物（HW36）、其他废物（HW49）、废催化剂（HW50），合计5000吨/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[收集范围限常州市，收集对象限市内年产生量在10吨以下的企事业单位产生的危险废物，科研所、高等学 校、各类检测机构等产生的实验室废物（医疗废物除外），机动车维修机构、加油站等产生的危险废物]。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</w:trPr>
        <w:tc>
          <w:tcPr>
            <w:tcW w:w="173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环境污染防治措施</w:t>
            </w:r>
          </w:p>
        </w:tc>
        <w:tc>
          <w:tcPr>
            <w:tcW w:w="3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公司收集的危险废物贮存于危险废物仓库内，仓库共800平米，地面按要求进行了防渗处理，为全封闭仓库，可防风、防雨、防雷、防扬散、防渗漏，共分为8个隔间，分类贮存收集的危险废物，有泄漏液收集沟和收集池，设置了废气收集处理系统、有毒有害气体报警系统、烟雾报警系统、消防喷淋系统和监控系统等，并配备相应应急物资，厂区内进行了雨污分流，并设有事故应急池。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危险废物收集情况：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22"/>
        <w:gridCol w:w="3804"/>
        <w:gridCol w:w="2464"/>
        <w:gridCol w:w="24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80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数量（吨）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2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80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收集移入危险废物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258.47635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2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80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收集移出危险废物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285.3172</w:t>
            </w:r>
          </w:p>
        </w:tc>
        <w:tc>
          <w:tcPr>
            <w:tcW w:w="24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tabs>
          <w:tab w:val="left" w:pos="68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</w:p>
    <w:p>
      <w:pPr>
        <w:pStyle w:val="2"/>
        <w:keepNext w:val="0"/>
        <w:keepLines w:val="0"/>
        <w:pageBreakBefore w:val="0"/>
        <w:widowControl/>
        <w:suppressLineNumbers w:val="0"/>
        <w:tabs>
          <w:tab w:val="left" w:pos="68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次生危废产生处置情况：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772"/>
        <w:gridCol w:w="1280"/>
        <w:gridCol w:w="1480"/>
        <w:gridCol w:w="1660"/>
        <w:gridCol w:w="1590"/>
        <w:gridCol w:w="30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危废名称</w:t>
            </w:r>
          </w:p>
        </w:tc>
        <w:tc>
          <w:tcPr>
            <w:tcW w:w="14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危废代码</w:t>
            </w:r>
          </w:p>
        </w:tc>
        <w:tc>
          <w:tcPr>
            <w:tcW w:w="16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2023年度产生数量（吨）</w:t>
            </w:r>
          </w:p>
        </w:tc>
        <w:tc>
          <w:tcPr>
            <w:tcW w:w="15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2023年度处置数量（吨）</w:t>
            </w:r>
            <w:bookmarkStart w:id="0" w:name="_GoBack"/>
            <w:bookmarkEnd w:id="0"/>
          </w:p>
        </w:tc>
        <w:tc>
          <w:tcPr>
            <w:tcW w:w="30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处置去向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废活性炭</w:t>
            </w:r>
          </w:p>
        </w:tc>
        <w:tc>
          <w:tcPr>
            <w:tcW w:w="14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900-039-49</w:t>
            </w:r>
          </w:p>
        </w:tc>
        <w:tc>
          <w:tcPr>
            <w:tcW w:w="16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1.682</w:t>
            </w:r>
          </w:p>
        </w:tc>
        <w:tc>
          <w:tcPr>
            <w:tcW w:w="15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1.682</w:t>
            </w:r>
          </w:p>
        </w:tc>
        <w:tc>
          <w:tcPr>
            <w:tcW w:w="3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盐城新宇辉丰环保科技有限公司/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常州碧之源再生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资源利用有限公司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废喷淋液</w:t>
            </w:r>
          </w:p>
        </w:tc>
        <w:tc>
          <w:tcPr>
            <w:tcW w:w="14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900-399-35</w:t>
            </w:r>
          </w:p>
        </w:tc>
        <w:tc>
          <w:tcPr>
            <w:tcW w:w="16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2.576</w:t>
            </w:r>
          </w:p>
        </w:tc>
        <w:tc>
          <w:tcPr>
            <w:tcW w:w="15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2.576</w:t>
            </w:r>
          </w:p>
        </w:tc>
        <w:tc>
          <w:tcPr>
            <w:tcW w:w="30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盐城新宇辉丰环保科技有限公司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实验废液</w:t>
            </w:r>
          </w:p>
        </w:tc>
        <w:tc>
          <w:tcPr>
            <w:tcW w:w="148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900-047-49</w:t>
            </w:r>
          </w:p>
        </w:tc>
        <w:tc>
          <w:tcPr>
            <w:tcW w:w="16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0.02</w:t>
            </w:r>
          </w:p>
        </w:tc>
        <w:tc>
          <w:tcPr>
            <w:tcW w:w="15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30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盐城新宇辉丰环保科技有限公司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/光洁威立雅环境服务（常州）有限公司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tabs>
          <w:tab w:val="left" w:pos="68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 xml:space="preserve">监督举报热线：12369  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                      </w:t>
      </w:r>
      <w:r>
        <w:rPr>
          <w:rFonts w:hint="eastAsia" w:ascii="黑体" w:hAnsi="黑体" w:eastAsia="黑体" w:cs="黑体"/>
          <w:sz w:val="24"/>
        </w:rPr>
        <w:t>网上举报：</w:t>
      </w:r>
      <w:r>
        <w:fldChar w:fldCharType="begin"/>
      </w:r>
      <w:r>
        <w:instrText xml:space="preserve"> HYPERLINK "http://222.190.123.51.8500/" </w:instrText>
      </w:r>
      <w:r>
        <w:fldChar w:fldCharType="separate"/>
      </w:r>
      <w:r>
        <w:rPr>
          <w:rStyle w:val="6"/>
          <w:rFonts w:hint="eastAsia" w:ascii="黑体" w:hAnsi="黑体" w:eastAsia="黑体" w:cs="黑体"/>
          <w:sz w:val="24"/>
        </w:rPr>
        <w:t>http://222.190.123.51.8500/</w:t>
      </w:r>
      <w:r>
        <w:rPr>
          <w:rStyle w:val="6"/>
          <w:rFonts w:hint="eastAsia" w:ascii="黑体" w:hAnsi="黑体" w:eastAsia="黑体" w:cs="黑体"/>
          <w:sz w:val="24"/>
        </w:rPr>
        <w:fldChar w:fldCharType="end"/>
      </w: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xZGY3MmQ0YTEzN2ZjMTUwZmUwZmNiMGQ5Mzk3YzMifQ=="/>
  </w:docVars>
  <w:rsids>
    <w:rsidRoot w:val="00000000"/>
    <w:rsid w:val="00451ED1"/>
    <w:rsid w:val="06802E11"/>
    <w:rsid w:val="0B8F6344"/>
    <w:rsid w:val="13E74B79"/>
    <w:rsid w:val="32B5734A"/>
    <w:rsid w:val="34162CBA"/>
    <w:rsid w:val="4F1413FC"/>
    <w:rsid w:val="50E81293"/>
    <w:rsid w:val="55543A3C"/>
    <w:rsid w:val="5A11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941</Words>
  <Characters>1241</Characters>
  <Lines>0</Lines>
  <Paragraphs>0</Paragraphs>
  <TotalTime>0</TotalTime>
  <ScaleCrop>false</ScaleCrop>
  <LinksUpToDate>false</LinksUpToDate>
  <CharactersWithSpaces>1272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2023-02-24T06:11:00Z</dcterms:created>
  <dc:creator>USER</dc:creator>
  <cp:lastModifiedBy>木子李</cp:lastModifiedBy>
  <dcterms:modified xsi:type="dcterms:W3CDTF">2024-03-02T01:23:51Z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A24F75ACCAA54328840B1D0EF1358493</vt:lpwstr>
  </property>
</Properties>
</file>