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F35B3">
      <w:pPr>
        <w:keepNext w:val="0"/>
        <w:keepLines w:val="0"/>
        <w:pageBreakBefore w:val="0"/>
        <w:widowControl w:val="0"/>
        <w:kinsoku/>
        <w:wordWrap/>
        <w:overflowPunct/>
        <w:topLinePunct w:val="0"/>
        <w:autoSpaceDE w:val="0"/>
        <w:autoSpaceDN w:val="0"/>
        <w:bidi w:val="0"/>
        <w:adjustRightInd/>
        <w:snapToGrid/>
        <w:spacing w:before="157" w:beforeLines="50" w:line="360" w:lineRule="auto"/>
        <w:jc w:val="center"/>
        <w:textAlignment w:val="auto"/>
        <w:rPr>
          <w:rFonts w:hint="eastAsia" w:ascii="仿宋_GB2312" w:hAnsi="仿宋_GB2312" w:eastAsia="仿宋_GB2312" w:cs="仿宋_GB2312"/>
          <w:b/>
          <w:sz w:val="48"/>
          <w:szCs w:val="48"/>
          <w:lang w:eastAsia="zh-CN"/>
        </w:rPr>
      </w:pPr>
      <w:r>
        <w:rPr>
          <w:rFonts w:hint="eastAsia" w:ascii="仿宋_GB2312" w:hAnsi="仿宋_GB2312" w:eastAsia="仿宋_GB2312" w:cs="仿宋_GB2312"/>
          <w:b/>
          <w:sz w:val="48"/>
          <w:szCs w:val="48"/>
          <w:lang w:eastAsia="zh-CN"/>
        </w:rPr>
        <w:t>新建立式粉末喷涂生产线项目</w:t>
      </w:r>
    </w:p>
    <w:p w14:paraId="3CCC7A05">
      <w:pPr>
        <w:keepNext w:val="0"/>
        <w:keepLines w:val="0"/>
        <w:pageBreakBefore w:val="0"/>
        <w:widowControl w:val="0"/>
        <w:kinsoku/>
        <w:wordWrap/>
        <w:overflowPunct/>
        <w:topLinePunct w:val="0"/>
        <w:autoSpaceDE w:val="0"/>
        <w:autoSpaceDN w:val="0"/>
        <w:bidi w:val="0"/>
        <w:adjustRightInd/>
        <w:snapToGrid/>
        <w:spacing w:before="157" w:beforeLines="50" w:line="360" w:lineRule="auto"/>
        <w:jc w:val="center"/>
        <w:textAlignment w:val="auto"/>
        <w:rPr>
          <w:rFonts w:hint="eastAsia" w:ascii="仿宋_GB2312" w:hAnsi="仿宋_GB2312" w:eastAsia="仿宋_GB2312" w:cs="仿宋_GB2312"/>
          <w:b/>
          <w:sz w:val="30"/>
          <w:szCs w:val="30"/>
        </w:rPr>
      </w:pPr>
      <w:r>
        <w:rPr>
          <w:rFonts w:hint="eastAsia" w:ascii="仿宋_GB2312" w:hAnsi="仿宋_GB2312" w:eastAsia="仿宋_GB2312" w:cs="仿宋_GB2312"/>
          <w:b/>
          <w:sz w:val="48"/>
          <w:szCs w:val="48"/>
        </w:rPr>
        <w:t>竣工环境保护验收意见</w:t>
      </w:r>
    </w:p>
    <w:p w14:paraId="1F207716">
      <w:pPr>
        <w:pStyle w:val="13"/>
        <w:rPr>
          <w:rFonts w:hint="eastAsia" w:ascii="仿宋_GB2312" w:hAnsi="仿宋_GB2312" w:eastAsia="仿宋_GB2312" w:cs="仿宋_GB2312"/>
        </w:rPr>
      </w:pPr>
    </w:p>
    <w:p w14:paraId="6E0480C7">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rPr>
      </w:pPr>
      <w:bookmarkStart w:id="0" w:name="2021年3月12日，石屏县水务局组织验收组对石屏县异龙湖入湖河道治理工程竣工环"/>
      <w:bookmarkEnd w:id="0"/>
      <w:r>
        <w:rPr>
          <w:rFonts w:hint="eastAsia" w:ascii="仿宋_GB2312" w:hAnsi="仿宋_GB2312" w:eastAsia="仿宋_GB2312" w:cs="仿宋_GB2312"/>
          <w:sz w:val="28"/>
          <w:szCs w:val="28"/>
          <w:highlight w:val="none"/>
          <w:lang w:val="en-US"/>
        </w:rPr>
        <w:t>202</w:t>
      </w: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lang w:val="en-US"/>
        </w:rPr>
        <w:t>年</w:t>
      </w:r>
      <w:r>
        <w:rPr>
          <w:rFonts w:hint="eastAsia" w:ascii="仿宋_GB2312" w:hAnsi="仿宋_GB2312" w:eastAsia="仿宋_GB2312" w:cs="仿宋_GB2312"/>
          <w:sz w:val="28"/>
          <w:szCs w:val="28"/>
          <w:highlight w:val="none"/>
          <w:lang w:val="en-US" w:eastAsia="zh-CN"/>
        </w:rPr>
        <w:t>9</w:t>
      </w:r>
      <w:r>
        <w:rPr>
          <w:rFonts w:hint="eastAsia" w:ascii="仿宋_GB2312" w:hAnsi="仿宋_GB2312" w:eastAsia="仿宋_GB2312" w:cs="仿宋_GB2312"/>
          <w:sz w:val="28"/>
          <w:szCs w:val="28"/>
          <w:highlight w:val="none"/>
          <w:lang w:val="en-US"/>
        </w:rPr>
        <w:t>月</w:t>
      </w:r>
      <w:r>
        <w:rPr>
          <w:rFonts w:hint="eastAsia" w:ascii="仿宋_GB2312" w:hAnsi="仿宋_GB2312" w:eastAsia="仿宋_GB2312" w:cs="仿宋_GB2312"/>
          <w:sz w:val="28"/>
          <w:szCs w:val="28"/>
          <w:highlight w:val="none"/>
          <w:lang w:val="en-US" w:eastAsia="zh-CN"/>
        </w:rPr>
        <w:t>11</w:t>
      </w:r>
      <w:r>
        <w:rPr>
          <w:rFonts w:hint="eastAsia" w:ascii="仿宋_GB2312" w:hAnsi="仿宋_GB2312" w:eastAsia="仿宋_GB2312" w:cs="仿宋_GB2312"/>
          <w:sz w:val="28"/>
          <w:szCs w:val="28"/>
          <w:highlight w:val="none"/>
          <w:lang w:val="en-US"/>
        </w:rPr>
        <w:t>日</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青海欧莱德新材料科技有限公司</w:t>
      </w:r>
      <w:r>
        <w:rPr>
          <w:rFonts w:hint="eastAsia" w:ascii="仿宋_GB2312" w:hAnsi="仿宋_GB2312" w:eastAsia="仿宋_GB2312" w:cs="仿宋_GB2312"/>
          <w:sz w:val="28"/>
          <w:szCs w:val="28"/>
        </w:rPr>
        <w:t>对照《建设项目竣工环境保护验收暂行办法》，</w:t>
      </w:r>
      <w:r>
        <w:rPr>
          <w:rFonts w:hint="eastAsia" w:ascii="仿宋_GB2312" w:hAnsi="仿宋_GB2312" w:eastAsia="仿宋_GB2312" w:cs="仿宋_GB2312"/>
          <w:sz w:val="28"/>
          <w:szCs w:val="28"/>
          <w:lang w:val="en-US" w:eastAsia="zh-CN"/>
        </w:rPr>
        <w:t>按照</w:t>
      </w:r>
      <w:r>
        <w:rPr>
          <w:rFonts w:hint="eastAsia" w:ascii="仿宋_GB2312" w:hAnsi="仿宋_GB2312" w:eastAsia="仿宋_GB2312" w:cs="仿宋_GB2312"/>
          <w:sz w:val="28"/>
          <w:szCs w:val="28"/>
        </w:rPr>
        <w:t>《建设项目竣工环境保护验收技术指南 污染影响类》等有关法律法规、</w:t>
      </w:r>
      <w:r>
        <w:rPr>
          <w:rFonts w:hint="eastAsia" w:ascii="仿宋_GB2312" w:hAnsi="仿宋_GB2312" w:eastAsia="仿宋_GB2312" w:cs="仿宋_GB2312"/>
          <w:sz w:val="28"/>
          <w:szCs w:val="28"/>
          <w:lang w:eastAsia="zh-CN"/>
        </w:rPr>
        <w:t>新建立式粉末喷涂生产线项目</w:t>
      </w:r>
      <w:r>
        <w:rPr>
          <w:rFonts w:hint="eastAsia" w:ascii="仿宋_GB2312" w:hAnsi="仿宋_GB2312" w:eastAsia="仿宋_GB2312" w:cs="仿宋_GB2312"/>
          <w:sz w:val="28"/>
          <w:szCs w:val="28"/>
        </w:rPr>
        <w:t>环境影响评价报告表和审批部门审批决定要求，邀请相关专家组成专家组（专家人员名单附后）</w:t>
      </w:r>
      <w:r>
        <w:rPr>
          <w:rFonts w:hint="eastAsia" w:ascii="仿宋_GB2312" w:hAnsi="仿宋_GB2312" w:eastAsia="仿宋_GB2312" w:cs="仿宋_GB2312"/>
          <w:sz w:val="28"/>
          <w:szCs w:val="28"/>
          <w:lang w:val="en-US" w:eastAsia="zh-CN"/>
        </w:rPr>
        <w:t>与编制单位共同组成验收组，</w:t>
      </w:r>
      <w:r>
        <w:rPr>
          <w:rFonts w:hint="eastAsia" w:ascii="仿宋_GB2312" w:hAnsi="仿宋_GB2312" w:eastAsia="仿宋_GB2312" w:cs="仿宋_GB2312"/>
          <w:sz w:val="28"/>
          <w:szCs w:val="28"/>
        </w:rPr>
        <w:t>对</w:t>
      </w:r>
      <w:r>
        <w:rPr>
          <w:rFonts w:hint="eastAsia" w:ascii="仿宋_GB2312" w:hAnsi="仿宋_GB2312" w:eastAsia="仿宋_GB2312" w:cs="仿宋_GB2312"/>
          <w:sz w:val="28"/>
          <w:szCs w:val="28"/>
          <w:lang w:eastAsia="zh-CN"/>
        </w:rPr>
        <w:t>新建立式粉末喷涂生产线项目</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val="en-US" w:eastAsia="zh-CN"/>
        </w:rPr>
        <w:t>了</w:t>
      </w:r>
      <w:r>
        <w:rPr>
          <w:rFonts w:hint="eastAsia" w:ascii="仿宋_GB2312" w:hAnsi="仿宋_GB2312" w:eastAsia="仿宋_GB2312" w:cs="仿宋_GB2312"/>
          <w:sz w:val="28"/>
          <w:szCs w:val="28"/>
        </w:rPr>
        <w:t>竣工环境保护验收，</w:t>
      </w:r>
      <w:r>
        <w:rPr>
          <w:rFonts w:hint="eastAsia" w:ascii="仿宋_GB2312" w:hAnsi="仿宋_GB2312" w:eastAsia="仿宋_GB2312" w:cs="仿宋_GB2312"/>
          <w:sz w:val="28"/>
          <w:szCs w:val="28"/>
          <w:lang w:val="en-US" w:eastAsia="zh-CN"/>
        </w:rPr>
        <w:t>验收组对照《</w:t>
      </w:r>
      <w:r>
        <w:rPr>
          <w:rFonts w:hint="eastAsia" w:ascii="仿宋_GB2312" w:hAnsi="仿宋_GB2312" w:eastAsia="仿宋_GB2312" w:cs="仿宋_GB2312"/>
          <w:sz w:val="28"/>
          <w:szCs w:val="28"/>
          <w:lang w:eastAsia="zh-CN"/>
        </w:rPr>
        <w:t>新建立式粉末喷涂生产线项目</w:t>
      </w:r>
      <w:r>
        <w:rPr>
          <w:rFonts w:hint="eastAsia" w:ascii="仿宋_GB2312" w:hAnsi="仿宋_GB2312" w:eastAsia="仿宋_GB2312" w:cs="仿宋_GB2312"/>
          <w:sz w:val="28"/>
          <w:szCs w:val="28"/>
          <w:lang w:val="en-US" w:eastAsia="zh-CN"/>
        </w:rPr>
        <w:t>验收监测报告表》，对项目环保设施的建设、运行情况进行了现场核实、检验，验收组</w:t>
      </w:r>
      <w:r>
        <w:rPr>
          <w:rFonts w:hint="eastAsia" w:ascii="仿宋_GB2312" w:hAnsi="仿宋_GB2312" w:eastAsia="仿宋_GB2312" w:cs="仿宋_GB2312"/>
          <w:sz w:val="28"/>
          <w:szCs w:val="28"/>
        </w:rPr>
        <w:t>经</w:t>
      </w:r>
      <w:r>
        <w:rPr>
          <w:rFonts w:hint="eastAsia" w:ascii="仿宋_GB2312" w:hAnsi="仿宋_GB2312" w:eastAsia="仿宋_GB2312" w:cs="仿宋_GB2312"/>
          <w:sz w:val="28"/>
          <w:szCs w:val="28"/>
          <w:lang w:val="en-US"/>
        </w:rPr>
        <w:t>审查和</w:t>
      </w:r>
      <w:r>
        <w:rPr>
          <w:rFonts w:hint="eastAsia" w:ascii="仿宋_GB2312" w:hAnsi="仿宋_GB2312" w:eastAsia="仿宋_GB2312" w:cs="仿宋_GB2312"/>
          <w:sz w:val="28"/>
          <w:szCs w:val="28"/>
        </w:rPr>
        <w:t>讨论</w:t>
      </w:r>
      <w:r>
        <w:rPr>
          <w:rFonts w:hint="eastAsia" w:ascii="仿宋_GB2312" w:hAnsi="仿宋_GB2312" w:eastAsia="仿宋_GB2312" w:cs="仿宋_GB2312"/>
          <w:sz w:val="28"/>
          <w:szCs w:val="28"/>
          <w:lang w:val="en-US"/>
        </w:rPr>
        <w:t>形成</w:t>
      </w:r>
      <w:r>
        <w:rPr>
          <w:rFonts w:hint="eastAsia" w:ascii="仿宋_GB2312" w:hAnsi="仿宋_GB2312" w:eastAsia="仿宋_GB2312" w:cs="仿宋_GB2312"/>
          <w:sz w:val="28"/>
          <w:szCs w:val="28"/>
        </w:rPr>
        <w:t>验收意见如下：</w:t>
      </w:r>
    </w:p>
    <w:p w14:paraId="71012206">
      <w:pPr>
        <w:pStyle w:val="3"/>
        <w:pageBreakBefore w:val="0"/>
        <w:widowControl w:val="0"/>
        <w:kinsoku/>
        <w:wordWrap/>
        <w:overflowPunct/>
        <w:topLinePunct w:val="0"/>
        <w:autoSpaceDE w:val="0"/>
        <w:autoSpaceDN w:val="0"/>
        <w:bidi w:val="0"/>
        <w:adjustRightInd/>
        <w:snapToGrid/>
        <w:spacing w:beforeLines="0" w:afterLines="0" w:line="240" w:lineRule="auto"/>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一、工程建设基本情况</w:t>
      </w:r>
    </w:p>
    <w:p w14:paraId="16C3DBC5">
      <w:pPr>
        <w:pStyle w:val="7"/>
        <w:pageBreakBefore w:val="0"/>
        <w:widowControl w:val="0"/>
        <w:kinsoku/>
        <w:wordWrap/>
        <w:overflowPunct/>
        <w:topLinePunct w:val="0"/>
        <w:autoSpaceDE w:val="0"/>
        <w:autoSpaceDN w:val="0"/>
        <w:bidi w:val="0"/>
        <w:adjustRightInd/>
        <w:snapToGrid/>
        <w:spacing w:line="240" w:lineRule="auto"/>
        <w:ind w:firstLine="480"/>
        <w:textAlignment w:val="auto"/>
        <w:rPr>
          <w:rFonts w:hint="eastAsia" w:ascii="仿宋_GB2312" w:hAnsi="仿宋_GB2312" w:eastAsia="仿宋_GB2312" w:cs="仿宋_GB2312"/>
          <w:sz w:val="28"/>
          <w:szCs w:val="28"/>
        </w:rPr>
      </w:pPr>
      <w:bookmarkStart w:id="1" w:name="（一）建设地点、规模、主要建设内容"/>
      <w:bookmarkEnd w:id="1"/>
      <w:r>
        <w:rPr>
          <w:rFonts w:hint="eastAsia" w:ascii="仿宋_GB2312" w:hAnsi="仿宋_GB2312" w:eastAsia="仿宋_GB2312" w:cs="仿宋_GB2312"/>
          <w:b/>
          <w:bCs/>
          <w:sz w:val="28"/>
          <w:szCs w:val="28"/>
        </w:rPr>
        <w:t>（一）建设地点、规模、主要建设内容</w:t>
      </w:r>
    </w:p>
    <w:p w14:paraId="2B157391">
      <w:pPr>
        <w:pageBreakBefore w:val="0"/>
        <w:widowControl w:val="0"/>
        <w:kinsoku/>
        <w:wordWrap/>
        <w:overflowPunct/>
        <w:topLinePunct w:val="0"/>
        <w:autoSpaceDE w:val="0"/>
        <w:autoSpaceDN w:val="0"/>
        <w:bidi w:val="0"/>
        <w:adjustRightInd/>
        <w:snapToGrid/>
        <w:spacing w:line="240" w:lineRule="auto"/>
        <w:ind w:firstLine="562" w:firstLineChars="200"/>
        <w:textAlignment w:val="auto"/>
        <w:rPr>
          <w:rFonts w:hint="eastAsia" w:ascii="仿宋_GB2312" w:hAnsi="仿宋_GB2312" w:eastAsia="仿宋_GB2312" w:cs="仿宋_GB2312"/>
          <w:b/>
          <w:bCs/>
          <w:sz w:val="28"/>
          <w:szCs w:val="28"/>
          <w:lang w:val="en-US" w:eastAsia="zh-CN"/>
        </w:rPr>
      </w:pPr>
      <w:bookmarkStart w:id="2" w:name="石屏县异龙湖入湖河道治理工程位于石屏县异龙镇、坝心镇。本工程总占地面积41.50"/>
      <w:bookmarkEnd w:id="2"/>
      <w:r>
        <w:rPr>
          <w:rFonts w:hint="eastAsia" w:ascii="仿宋_GB2312" w:hAnsi="仿宋_GB2312" w:eastAsia="仿宋_GB2312" w:cs="仿宋_GB2312"/>
          <w:b/>
          <w:bCs/>
          <w:sz w:val="28"/>
          <w:szCs w:val="28"/>
          <w:lang w:val="en-US" w:eastAsia="zh-CN"/>
        </w:rPr>
        <w:t>1、建设地点</w:t>
      </w:r>
    </w:p>
    <w:p w14:paraId="59E1E7C2">
      <w:pPr>
        <w:pageBreakBefore w:val="0"/>
        <w:widowControl w:val="0"/>
        <w:kinsoku/>
        <w:wordWrap/>
        <w:overflowPunct/>
        <w:topLinePunct w:val="0"/>
        <w:autoSpaceDE w:val="0"/>
        <w:autoSpaceDN w:val="0"/>
        <w:bidi w:val="0"/>
        <w:adjustRightInd/>
        <w:snapToGrid/>
        <w:spacing w:line="240" w:lineRule="auto"/>
        <w:ind w:firstLine="560" w:firstLineChars="200"/>
        <w:textAlignment w:val="auto"/>
        <w:rPr>
          <w:rFonts w:hint="eastAsia" w:ascii="仿宋_GB2312" w:hAnsi="仿宋_GB2312" w:eastAsia="仿宋_GB2312" w:cs="仿宋_GB2312"/>
          <w:spacing w:val="-8"/>
          <w:sz w:val="28"/>
          <w:szCs w:val="28"/>
          <w:lang w:val="en-US"/>
        </w:rPr>
      </w:pPr>
      <w:r>
        <w:rPr>
          <w:rFonts w:hint="eastAsia" w:ascii="仿宋_GB2312" w:hAnsi="仿宋_GB2312" w:eastAsia="仿宋_GB2312" w:cs="仿宋_GB2312"/>
          <w:sz w:val="28"/>
          <w:szCs w:val="28"/>
          <w:lang w:eastAsia="zh-CN"/>
        </w:rPr>
        <w:t>新建立式粉末喷涂生产线项目</w:t>
      </w:r>
      <w:r>
        <w:rPr>
          <w:rFonts w:hint="eastAsia" w:ascii="仿宋_GB2312" w:hAnsi="仿宋_GB2312" w:eastAsia="仿宋_GB2312" w:cs="仿宋_GB2312"/>
          <w:sz w:val="28"/>
          <w:szCs w:val="28"/>
          <w:lang w:val="en-US" w:eastAsia="zh-CN"/>
        </w:rPr>
        <w:t>位于</w:t>
      </w:r>
      <w:r>
        <w:rPr>
          <w:rFonts w:hint="eastAsia" w:ascii="仿宋_GB2312" w:hAnsi="仿宋_GB2312" w:eastAsia="仿宋_GB2312" w:cs="仿宋_GB2312"/>
          <w:sz w:val="28"/>
          <w:szCs w:val="28"/>
          <w:lang w:eastAsia="zh-CN"/>
        </w:rPr>
        <w:t>大通县北川工业园铝镁高新产业园青海欧莱德新材料有限公司厂内</w:t>
      </w:r>
      <w:r>
        <w:rPr>
          <w:rFonts w:hint="eastAsia" w:ascii="仿宋_GB2312" w:hAnsi="仿宋_GB2312" w:eastAsia="仿宋_GB2312" w:cs="仿宋_GB2312"/>
          <w:spacing w:val="-8"/>
          <w:sz w:val="28"/>
          <w:szCs w:val="28"/>
          <w:lang w:val="en-US"/>
        </w:rPr>
        <w:t>。</w:t>
      </w:r>
    </w:p>
    <w:p w14:paraId="39AB8A50">
      <w:pPr>
        <w:pageBreakBefore w:val="0"/>
        <w:widowControl w:val="0"/>
        <w:kinsoku/>
        <w:wordWrap/>
        <w:overflowPunct/>
        <w:topLinePunct w:val="0"/>
        <w:autoSpaceDE w:val="0"/>
        <w:autoSpaceDN w:val="0"/>
        <w:bidi w:val="0"/>
        <w:adjustRightInd/>
        <w:snapToGrid/>
        <w:spacing w:line="240" w:lineRule="auto"/>
        <w:ind w:firstLine="530" w:firstLineChars="200"/>
        <w:textAlignment w:val="auto"/>
        <w:rPr>
          <w:rFonts w:hint="eastAsia" w:ascii="仿宋_GB2312" w:hAnsi="仿宋_GB2312" w:eastAsia="仿宋_GB2312" w:cs="仿宋_GB2312"/>
          <w:b/>
          <w:bCs/>
          <w:spacing w:val="-8"/>
          <w:sz w:val="28"/>
          <w:szCs w:val="28"/>
          <w:lang w:val="en-US"/>
        </w:rPr>
      </w:pPr>
      <w:r>
        <w:rPr>
          <w:rFonts w:hint="eastAsia" w:ascii="仿宋_GB2312" w:hAnsi="仿宋_GB2312" w:eastAsia="仿宋_GB2312" w:cs="仿宋_GB2312"/>
          <w:b/>
          <w:bCs/>
          <w:spacing w:val="-8"/>
          <w:sz w:val="28"/>
          <w:szCs w:val="28"/>
          <w:lang w:val="en-US"/>
        </w:rPr>
        <w:t>2、建设规模</w:t>
      </w:r>
    </w:p>
    <w:p w14:paraId="0492F5E8">
      <w:pPr>
        <w:pageBreakBefore w:val="0"/>
        <w:widowControl w:val="0"/>
        <w:kinsoku/>
        <w:wordWrap/>
        <w:overflowPunct/>
        <w:topLinePunct w:val="0"/>
        <w:autoSpaceDE w:val="0"/>
        <w:autoSpaceDN w:val="0"/>
        <w:bidi w:val="0"/>
        <w:adjustRightInd/>
        <w:snapToGrid/>
        <w:spacing w:line="240" w:lineRule="auto"/>
        <w:ind w:firstLine="528" w:firstLineChars="200"/>
        <w:textAlignment w:val="auto"/>
        <w:rPr>
          <w:rFonts w:hint="eastAsia" w:ascii="仿宋_GB2312" w:hAnsi="仿宋_GB2312" w:eastAsia="仿宋_GB2312" w:cs="仿宋_GB2312"/>
          <w:spacing w:val="-8"/>
          <w:sz w:val="28"/>
          <w:szCs w:val="28"/>
          <w:lang w:val="en-US" w:eastAsia="zh-CN"/>
        </w:rPr>
      </w:pPr>
      <w:r>
        <w:rPr>
          <w:rFonts w:hint="eastAsia" w:ascii="仿宋_GB2312" w:hAnsi="仿宋_GB2312" w:eastAsia="仿宋_GB2312" w:cs="仿宋_GB2312"/>
          <w:spacing w:val="-8"/>
          <w:sz w:val="28"/>
          <w:szCs w:val="28"/>
          <w:lang w:val="en-US" w:eastAsia="zh-CN"/>
        </w:rPr>
        <w:t>生产粉末喷涂建筑铝型材12500t/a。</w:t>
      </w:r>
    </w:p>
    <w:p w14:paraId="68ED4348">
      <w:pPr>
        <w:pStyle w:val="17"/>
        <w:pageBreakBefore w:val="0"/>
        <w:widowControl w:val="0"/>
        <w:kinsoku/>
        <w:wordWrap/>
        <w:overflowPunct/>
        <w:topLinePunct w:val="0"/>
        <w:autoSpaceDE w:val="0"/>
        <w:autoSpaceDN w:val="0"/>
        <w:bidi w:val="0"/>
        <w:adjustRightInd/>
        <w:snapToGrid/>
        <w:spacing w:line="240" w:lineRule="auto"/>
        <w:textAlignment w:val="auto"/>
        <w:rPr>
          <w:rFonts w:hint="eastAsia" w:ascii="仿宋_GB2312" w:hAnsi="仿宋_GB2312" w:eastAsia="仿宋_GB2312" w:cs="仿宋_GB2312"/>
          <w:b/>
          <w:bCs/>
          <w:lang w:val="en-US" w:eastAsia="zh-CN"/>
        </w:rPr>
      </w:pPr>
      <w:r>
        <w:rPr>
          <w:rFonts w:hint="eastAsia" w:ascii="仿宋_GB2312" w:hAnsi="仿宋_GB2312" w:eastAsia="仿宋_GB2312" w:cs="仿宋_GB2312"/>
          <w:b/>
          <w:bCs/>
          <w:spacing w:val="-8"/>
          <w:sz w:val="28"/>
          <w:szCs w:val="28"/>
          <w:lang w:val="en-US" w:eastAsia="zh-CN"/>
        </w:rPr>
        <w:t>3、建设内容</w:t>
      </w:r>
    </w:p>
    <w:p w14:paraId="037F208D">
      <w:pPr>
        <w:pageBreakBefore w:val="0"/>
        <w:widowControl w:val="0"/>
        <w:kinsoku/>
        <w:wordWrap/>
        <w:overflowPunct/>
        <w:topLinePunct w:val="0"/>
        <w:autoSpaceDE w:val="0"/>
        <w:autoSpaceDN w:val="0"/>
        <w:bidi w:val="0"/>
        <w:adjustRightInd/>
        <w:snapToGrid/>
        <w:spacing w:line="240" w:lineRule="auto"/>
        <w:ind w:firstLine="528" w:firstLineChars="200"/>
        <w:textAlignment w:val="auto"/>
        <w:rPr>
          <w:rFonts w:hint="eastAsia" w:ascii="仿宋_GB2312" w:hAnsi="仿宋_GB2312" w:eastAsia="仿宋_GB2312" w:cs="仿宋_GB2312"/>
          <w:sz w:val="28"/>
          <w:szCs w:val="28"/>
          <w:lang w:val="en-US"/>
        </w:rPr>
      </w:pPr>
      <w:r>
        <w:rPr>
          <w:rFonts w:hint="eastAsia" w:ascii="仿宋_GB2312" w:hAnsi="仿宋_GB2312" w:eastAsia="仿宋_GB2312" w:cs="仿宋_GB2312"/>
          <w:spacing w:val="-8"/>
          <w:sz w:val="28"/>
          <w:szCs w:val="28"/>
          <w:lang w:val="en-US"/>
        </w:rPr>
        <w:t>在青海欧莱德新材料科技有限公司生产车间厂房东南侧闲置车间内新建一条立式粉末喷涂生产线及净化辅助设施，生产能力为年生产12500t粉末喷涂建筑铝型材。立式粉末喷涂生产线主要包括喷粉前处理线、自动喷粉房、固化炉及辅助工程等组成。</w:t>
      </w:r>
    </w:p>
    <w:p w14:paraId="15D7C5A9">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rPr>
      </w:pPr>
      <w:bookmarkStart w:id="3" w:name="（二）建设过程及环保审批情况"/>
      <w:bookmarkEnd w:id="3"/>
      <w:r>
        <w:rPr>
          <w:rFonts w:hint="eastAsia" w:ascii="仿宋_GB2312" w:hAnsi="仿宋_GB2312" w:eastAsia="仿宋_GB2312" w:cs="仿宋_GB2312"/>
          <w:b/>
          <w:bCs/>
          <w:sz w:val="28"/>
          <w:szCs w:val="28"/>
        </w:rPr>
        <w:t>（二）建设过程及环保审批情况</w:t>
      </w:r>
    </w:p>
    <w:p w14:paraId="78584908">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eastAsia="zh-CN"/>
        </w:rPr>
      </w:pPr>
      <w:bookmarkStart w:id="4" w:name="2016年8月9日，石屏县发展和改革局下发了“关于石屏县异龙湖入湖河道治理工程可"/>
      <w:bookmarkEnd w:id="4"/>
      <w:r>
        <w:rPr>
          <w:rFonts w:hint="eastAsia" w:ascii="仿宋_GB2312" w:hAnsi="仿宋_GB2312" w:eastAsia="仿宋_GB2312" w:cs="仿宋_GB2312"/>
          <w:sz w:val="28"/>
          <w:szCs w:val="28"/>
          <w:lang w:eastAsia="zh-CN"/>
        </w:rPr>
        <w:t>2023年9月，青海欧莱德新材料科技有限公司委托环评单位对该项目进行了环境影响评价，编制了《新建立式粉末喷涂生产线项目环境影响报告表》，2023年10月7号取得了西宁市生态环境局大通县生态环境局下发的《关于新建立式粉末喷涂生产线项目环境影响报告表的批复》（宁大生建管〔2023〕32号）。项目于2023年11月开工建设，于2024年4月竣工并投入试运行。</w:t>
      </w:r>
    </w:p>
    <w:p w14:paraId="604C01D0">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（三）投资情况</w:t>
      </w:r>
    </w:p>
    <w:p w14:paraId="7834CB61">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48"/>
        <w:textAlignment w:val="auto"/>
        <w:rPr>
          <w:rFonts w:hint="eastAsia" w:ascii="仿宋_GB2312" w:hAnsi="仿宋_GB2312" w:eastAsia="仿宋_GB2312" w:cs="仿宋_GB2312"/>
          <w:sz w:val="28"/>
          <w:szCs w:val="28"/>
          <w:highlight w:val="none"/>
        </w:rPr>
      </w:pPr>
      <w:bookmarkStart w:id="5" w:name="项目实际总投资8578.85万元，其中环境保护投资为96.8万元，占项目总投资的"/>
      <w:bookmarkEnd w:id="5"/>
      <w:r>
        <w:rPr>
          <w:rFonts w:hint="eastAsia" w:ascii="仿宋_GB2312" w:hAnsi="仿宋_GB2312" w:eastAsia="仿宋_GB2312" w:cs="仿宋_GB2312"/>
          <w:sz w:val="28"/>
          <w:szCs w:val="28"/>
          <w:highlight w:val="none"/>
        </w:rPr>
        <w:t>项目实际总投资为1261.30万元，其中环保投资未61.50万元，环保投资占比为4.88%。</w:t>
      </w:r>
    </w:p>
    <w:p w14:paraId="0729FAFB">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rPr>
      </w:pPr>
      <w:bookmarkStart w:id="6" w:name="（四）验收范围"/>
      <w:bookmarkEnd w:id="6"/>
      <w:r>
        <w:rPr>
          <w:rFonts w:hint="eastAsia" w:ascii="仿宋_GB2312" w:hAnsi="仿宋_GB2312" w:eastAsia="仿宋_GB2312" w:cs="仿宋_GB2312"/>
          <w:b/>
          <w:bCs/>
          <w:sz w:val="28"/>
          <w:szCs w:val="28"/>
        </w:rPr>
        <w:t>（四）验收范围</w:t>
      </w:r>
    </w:p>
    <w:p w14:paraId="1C11CF5F">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rPr>
      </w:pPr>
      <w:bookmarkStart w:id="7" w:name="本次验收范围为石屏县异龙湖入湖河道治理工程主体工程、环保工程。"/>
      <w:bookmarkEnd w:id="7"/>
      <w:r>
        <w:rPr>
          <w:rFonts w:hint="eastAsia" w:ascii="仿宋_GB2312" w:hAnsi="仿宋_GB2312" w:eastAsia="仿宋_GB2312" w:cs="仿宋_GB2312"/>
          <w:sz w:val="28"/>
          <w:szCs w:val="28"/>
        </w:rPr>
        <w:t>本次验收内容为新建立式粉末喷涂生产线项目生产设备设施及环保设施运行情况</w:t>
      </w:r>
      <w:r>
        <w:rPr>
          <w:rFonts w:hint="eastAsia" w:ascii="仿宋_GB2312" w:hAnsi="仿宋_GB2312" w:eastAsia="仿宋_GB2312" w:cs="仿宋_GB2312"/>
          <w:sz w:val="28"/>
          <w:szCs w:val="28"/>
          <w:lang w:val="en-US" w:eastAsia="zh-CN"/>
        </w:rPr>
        <w:t>，项目环境影响报告表及批复文件提出的各类污染防治措施的落实情况，污染物排放达标情况</w:t>
      </w:r>
      <w:r>
        <w:rPr>
          <w:rFonts w:hint="eastAsia" w:ascii="仿宋_GB2312" w:hAnsi="仿宋_GB2312" w:eastAsia="仿宋_GB2312" w:cs="仿宋_GB2312"/>
          <w:sz w:val="28"/>
          <w:szCs w:val="28"/>
        </w:rPr>
        <w:t>。</w:t>
      </w:r>
      <w:bookmarkStart w:id="8" w:name="二、工程变动情况"/>
      <w:bookmarkEnd w:id="8"/>
    </w:p>
    <w:p w14:paraId="5C2A4AF8">
      <w:pPr>
        <w:keepNext/>
        <w:keepLines/>
        <w:pageBreakBefore w:val="0"/>
        <w:widowControl w:val="0"/>
        <w:kinsoku/>
        <w:wordWrap/>
        <w:overflowPunct/>
        <w:topLinePunct w:val="0"/>
        <w:autoSpaceDE w:val="0"/>
        <w:autoSpaceDN w:val="0"/>
        <w:bidi w:val="0"/>
        <w:adjustRightInd/>
        <w:snapToGrid/>
        <w:spacing w:line="240" w:lineRule="auto"/>
        <w:textAlignment w:val="auto"/>
        <w:outlineLvl w:val="0"/>
        <w:rPr>
          <w:rFonts w:hint="eastAsia" w:ascii="仿宋_GB2312" w:hAnsi="仿宋_GB2312" w:eastAsia="仿宋_GB2312" w:cs="仿宋_GB2312"/>
          <w:b/>
          <w:bCs/>
          <w:kern w:val="44"/>
          <w:sz w:val="28"/>
          <w:szCs w:val="28"/>
          <w:lang w:val="zh-CN" w:eastAsia="zh-CN" w:bidi="zh-CN"/>
        </w:rPr>
      </w:pPr>
      <w:r>
        <w:rPr>
          <w:rFonts w:hint="eastAsia" w:ascii="仿宋_GB2312" w:hAnsi="仿宋_GB2312" w:eastAsia="仿宋_GB2312" w:cs="仿宋_GB2312"/>
          <w:b/>
          <w:bCs/>
          <w:kern w:val="44"/>
          <w:sz w:val="28"/>
          <w:szCs w:val="28"/>
          <w:lang w:val="zh-CN" w:eastAsia="zh-CN" w:bidi="zh-CN"/>
        </w:rPr>
        <w:t>二、工程变动情况</w:t>
      </w:r>
    </w:p>
    <w:p w14:paraId="74252EC9">
      <w:pPr>
        <w:pageBreakBefore w:val="0"/>
        <w:widowControl w:val="0"/>
        <w:kinsoku/>
        <w:wordWrap/>
        <w:overflowPunct/>
        <w:topLinePunct w:val="0"/>
        <w:autoSpaceDE w:val="0"/>
        <w:autoSpaceDN w:val="0"/>
        <w:bidi w:val="0"/>
        <w:adjustRightInd/>
        <w:snapToGrid/>
        <w:spacing w:line="240" w:lineRule="auto"/>
        <w:ind w:left="0" w:leftChars="0" w:right="-54" w:rightChars="0" w:firstLine="599" w:firstLineChars="214"/>
        <w:textAlignment w:val="auto"/>
        <w:rPr>
          <w:rFonts w:hint="eastAsia" w:ascii="仿宋_GB2312" w:hAnsi="仿宋_GB2312" w:eastAsia="仿宋_GB2312" w:cs="仿宋_GB2312"/>
          <w:sz w:val="28"/>
          <w:szCs w:val="28"/>
          <w:highlight w:val="none"/>
        </w:rPr>
      </w:pPr>
      <w:bookmarkStart w:id="9" w:name="与环评报告相对比，项目在实际建设过程中，建设内容未发生变更。"/>
      <w:bookmarkEnd w:id="9"/>
      <w:r>
        <w:rPr>
          <w:rFonts w:hint="eastAsia" w:ascii="仿宋_GB2312" w:hAnsi="仿宋_GB2312" w:eastAsia="仿宋_GB2312" w:cs="仿宋_GB2312"/>
          <w:sz w:val="28"/>
          <w:szCs w:val="28"/>
          <w:highlight w:val="none"/>
        </w:rPr>
        <w:t>与环评报告相对比，项目在实际建设过程中，建设内容</w:t>
      </w:r>
      <w:r>
        <w:rPr>
          <w:rFonts w:hint="eastAsia" w:ascii="仿宋_GB2312" w:hAnsi="仿宋_GB2312" w:eastAsia="仿宋_GB2312" w:cs="仿宋_GB2312"/>
          <w:sz w:val="28"/>
          <w:szCs w:val="28"/>
          <w:highlight w:val="none"/>
          <w:lang w:val="en-US" w:eastAsia="zh-CN"/>
        </w:rPr>
        <w:t>未</w:t>
      </w:r>
      <w:r>
        <w:rPr>
          <w:rFonts w:hint="eastAsia" w:ascii="仿宋_GB2312" w:hAnsi="仿宋_GB2312" w:eastAsia="仿宋_GB2312" w:cs="仿宋_GB2312"/>
          <w:sz w:val="28"/>
          <w:szCs w:val="28"/>
          <w:highlight w:val="none"/>
        </w:rPr>
        <w:t>发生</w:t>
      </w:r>
      <w:r>
        <w:rPr>
          <w:rFonts w:hint="eastAsia" w:ascii="仿宋_GB2312" w:hAnsi="仿宋_GB2312" w:eastAsia="仿宋_GB2312" w:cs="仿宋_GB2312"/>
          <w:sz w:val="28"/>
          <w:szCs w:val="28"/>
          <w:highlight w:val="none"/>
          <w:lang w:val="en-US" w:eastAsia="zh-CN"/>
        </w:rPr>
        <w:t>重大</w:t>
      </w:r>
      <w:r>
        <w:rPr>
          <w:rFonts w:hint="eastAsia" w:ascii="仿宋_GB2312" w:hAnsi="仿宋_GB2312" w:eastAsia="仿宋_GB2312" w:cs="仿宋_GB2312"/>
          <w:sz w:val="28"/>
          <w:szCs w:val="28"/>
          <w:highlight w:val="none"/>
        </w:rPr>
        <w:t>变更。</w:t>
      </w:r>
    </w:p>
    <w:p w14:paraId="561D7773">
      <w:pPr>
        <w:keepNext/>
        <w:keepLines/>
        <w:pageBreakBefore w:val="0"/>
        <w:widowControl w:val="0"/>
        <w:kinsoku/>
        <w:wordWrap/>
        <w:overflowPunct/>
        <w:topLinePunct w:val="0"/>
        <w:autoSpaceDE w:val="0"/>
        <w:autoSpaceDN w:val="0"/>
        <w:bidi w:val="0"/>
        <w:adjustRightInd/>
        <w:snapToGrid/>
        <w:spacing w:line="240" w:lineRule="auto"/>
        <w:textAlignment w:val="auto"/>
        <w:outlineLvl w:val="0"/>
        <w:rPr>
          <w:rFonts w:hint="eastAsia" w:ascii="仿宋_GB2312" w:hAnsi="仿宋_GB2312" w:eastAsia="仿宋_GB2312" w:cs="仿宋_GB2312"/>
          <w:b/>
          <w:bCs/>
          <w:kern w:val="44"/>
          <w:sz w:val="28"/>
          <w:szCs w:val="28"/>
          <w:highlight w:val="none"/>
          <w:lang w:val="zh-CN" w:eastAsia="zh-CN" w:bidi="zh-CN"/>
        </w:rPr>
      </w:pPr>
      <w:r>
        <w:rPr>
          <w:rFonts w:hint="eastAsia" w:ascii="仿宋_GB2312" w:hAnsi="仿宋_GB2312" w:eastAsia="仿宋_GB2312" w:cs="仿宋_GB2312"/>
          <w:b/>
          <w:bCs/>
          <w:kern w:val="44"/>
          <w:sz w:val="28"/>
          <w:szCs w:val="28"/>
          <w:highlight w:val="none"/>
          <w:lang w:val="zh-CN" w:eastAsia="zh-CN" w:bidi="zh-CN"/>
        </w:rPr>
        <w:t>三、环保措施落实情况检查</w:t>
      </w:r>
    </w:p>
    <w:p w14:paraId="542D563D">
      <w:pPr>
        <w:pStyle w:val="7"/>
        <w:pageBreakBefore w:val="0"/>
        <w:widowControl w:val="0"/>
        <w:kinsoku/>
        <w:wordWrap/>
        <w:overflowPunct/>
        <w:topLinePunct w:val="0"/>
        <w:autoSpaceDE w:val="0"/>
        <w:autoSpaceDN w:val="0"/>
        <w:bidi w:val="0"/>
        <w:adjustRightInd/>
        <w:snapToGrid/>
        <w:spacing w:line="240" w:lineRule="auto"/>
        <w:ind w:right="237" w:firstLine="448"/>
        <w:jc w:val="both"/>
        <w:textAlignment w:val="auto"/>
        <w:rPr>
          <w:rFonts w:hint="eastAsia" w:ascii="仿宋_GB2312" w:hAnsi="仿宋_GB2312" w:eastAsia="仿宋_GB2312" w:cs="仿宋_GB2312"/>
          <w:sz w:val="28"/>
          <w:szCs w:val="28"/>
          <w:lang w:eastAsia="zh-CN"/>
        </w:rPr>
      </w:pPr>
      <w:bookmarkStart w:id="10" w:name="项目施工期已完成，在项目施工期间未被投诉，未出现过环境纠纷。在运行期间基本不产生"/>
      <w:bookmarkEnd w:id="10"/>
      <w:r>
        <w:rPr>
          <w:rFonts w:hint="eastAsia" w:ascii="仿宋_GB2312" w:hAnsi="仿宋_GB2312" w:eastAsia="仿宋_GB2312" w:cs="仿宋_GB2312"/>
          <w:spacing w:val="-8"/>
          <w:sz w:val="28"/>
          <w:szCs w:val="28"/>
        </w:rPr>
        <w:t>项目施工期已完成，在项目施工期间未被投诉，未出现过环境纠纷。在运行</w:t>
      </w:r>
      <w:r>
        <w:rPr>
          <w:rFonts w:hint="eastAsia" w:ascii="仿宋_GB2312" w:hAnsi="仿宋_GB2312" w:eastAsia="仿宋_GB2312" w:cs="仿宋_GB2312"/>
          <w:spacing w:val="-4"/>
          <w:sz w:val="28"/>
          <w:szCs w:val="28"/>
        </w:rPr>
        <w:t>期间</w:t>
      </w:r>
      <w:r>
        <w:rPr>
          <w:rFonts w:hint="eastAsia" w:ascii="仿宋_GB2312" w:hAnsi="仿宋_GB2312" w:eastAsia="仿宋_GB2312" w:cs="仿宋_GB2312"/>
          <w:spacing w:val="-4"/>
          <w:sz w:val="28"/>
          <w:szCs w:val="28"/>
          <w:lang w:eastAsia="zh-CN"/>
        </w:rPr>
        <w:t>废水、废气、固体废弃物、噪声等环境影响因素均进行合理有效的防治措施，对环境影响不大。</w:t>
      </w:r>
    </w:p>
    <w:p w14:paraId="7609E1C5">
      <w:pPr>
        <w:pStyle w:val="7"/>
        <w:pageBreakBefore w:val="0"/>
        <w:widowControl w:val="0"/>
        <w:kinsoku/>
        <w:wordWrap/>
        <w:overflowPunct/>
        <w:topLinePunct w:val="0"/>
        <w:autoSpaceDE w:val="0"/>
        <w:autoSpaceDN w:val="0"/>
        <w:bidi w:val="0"/>
        <w:adjustRightInd/>
        <w:snapToGrid/>
        <w:spacing w:line="240" w:lineRule="auto"/>
        <w:ind w:firstLine="480"/>
        <w:textAlignment w:val="auto"/>
        <w:rPr>
          <w:rFonts w:hint="eastAsia" w:ascii="仿宋_GB2312" w:hAnsi="仿宋_GB2312" w:eastAsia="仿宋_GB2312" w:cs="仿宋_GB2312"/>
          <w:b/>
          <w:bCs/>
          <w:sz w:val="28"/>
          <w:szCs w:val="28"/>
        </w:rPr>
      </w:pPr>
      <w:bookmarkStart w:id="11" w:name="（一）施工期"/>
      <w:bookmarkEnd w:id="11"/>
      <w:r>
        <w:rPr>
          <w:rFonts w:hint="eastAsia" w:ascii="仿宋_GB2312" w:hAnsi="仿宋_GB2312" w:eastAsia="仿宋_GB2312" w:cs="仿宋_GB2312"/>
          <w:b/>
          <w:bCs/>
          <w:sz w:val="28"/>
          <w:szCs w:val="28"/>
        </w:rPr>
        <w:t>（一）施工期</w:t>
      </w:r>
    </w:p>
    <w:p w14:paraId="670F2DC2">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施工过程中生活废水利用厂区内现有的卫生设施收集后经化粪池处理后排入厂区污水后进入园区污水管网，最终进入西宁市第五污水处理厂；施工过程中严格落实“10个100%措施”控制施工扬尘，施工过程全部在厂房内进行，利用厂房进行降尘，对施工现场采取洒水降尘。利用车间厂房对施工噪声进行隔声；施工过程中产生的生活垃圾、建筑垃圾收集后及时转运至垃圾填埋场；本项目施工期间未受到上级部门的通报和周边企业的环保投诉。</w:t>
      </w:r>
      <w:bookmarkStart w:id="12" w:name="（二）运行期"/>
      <w:bookmarkEnd w:id="12"/>
    </w:p>
    <w:p w14:paraId="636899E4">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（二）运行期</w:t>
      </w:r>
    </w:p>
    <w:p w14:paraId="4BDA552A">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bookmarkStart w:id="13" w:name="项目运营期河道工程不产生废水。大水河景观工程公厕产生的公厕废水排入化粪池处理后排"/>
      <w:bookmarkEnd w:id="13"/>
      <w:r>
        <w:rPr>
          <w:rFonts w:hint="eastAsia" w:ascii="仿宋_GB2312" w:hAnsi="仿宋_GB2312" w:eastAsia="仿宋_GB2312" w:cs="仿宋_GB2312"/>
          <w:sz w:val="28"/>
          <w:szCs w:val="28"/>
          <w:lang w:val="en-US" w:eastAsia="zh-CN"/>
        </w:rPr>
        <w:t>项目运营期会产生废水、废气、噪声、固体废物。</w:t>
      </w:r>
    </w:p>
    <w:p w14:paraId="4AD6ADA8">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1.废水</w:t>
      </w:r>
    </w:p>
    <w:p w14:paraId="63F64771">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项目未增加员工，未新增生活废水产生和排放。生产过程中产生的喷涂表面预处理清洗废水、喷淋塔喷淋废水利用原有废水处理站采用“水质化学处理＋酸碱中和处理＋混合物理絮凝沉淀＋MBR膜过滤”工艺处理，处理后废水37.04%回用于生产，62.96%排入园区污水管网，最终进入西宁市第五污水处理厂。</w:t>
      </w:r>
    </w:p>
    <w:p w14:paraId="7929E6B3">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2.废气</w:t>
      </w:r>
    </w:p>
    <w:p w14:paraId="5E97A673">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项目静电喷涂工序产生的粉尘经旋风除尘＋布袋除尘处理后，由15m高排气筒（DA003）排放；固化工序产生的有机废气、烘干炉和固化炉天然气燃烧废气收集后通过2级气旋混动喷淋塔＋干式过滤活性炭一体机处理后由15m高排气筒（DA004）排放。</w:t>
      </w:r>
    </w:p>
    <w:p w14:paraId="30AF991B">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b/>
          <w:bCs/>
          <w:sz w:val="28"/>
          <w:szCs w:val="28"/>
          <w:lang w:val="en-US" w:eastAsia="zh-CN"/>
        </w:rPr>
        <w:t>3.噪声</w:t>
      </w:r>
    </w:p>
    <w:p w14:paraId="0334BDF9">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选用低噪声设备，所有产生噪声设备均布置于室内，设备基础采取基础减震措施。</w:t>
      </w:r>
    </w:p>
    <w:p w14:paraId="3D3DF986">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4.固废</w:t>
      </w:r>
    </w:p>
    <w:p w14:paraId="03374CE9">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一般固废：</w:t>
      </w:r>
      <w:r>
        <w:rPr>
          <w:rFonts w:hint="eastAsia" w:ascii="仿宋_GB2312" w:hAnsi="仿宋_GB2312" w:eastAsia="仿宋_GB2312" w:cs="仿宋_GB2312"/>
          <w:b w:val="0"/>
          <w:bCs w:val="0"/>
          <w:sz w:val="28"/>
          <w:szCs w:val="28"/>
          <w:lang w:val="en-US" w:eastAsia="zh-CN"/>
        </w:rPr>
        <w:t>废包装材料收集后外售处理；项目未增加生活垃圾。</w:t>
      </w:r>
    </w:p>
    <w:p w14:paraId="49615262">
      <w:pPr>
        <w:pStyle w:val="7"/>
        <w:keepNext w:val="0"/>
        <w:keepLines w:val="0"/>
        <w:pageBreakBefore w:val="0"/>
        <w:widowControl w:val="0"/>
        <w:kinsoku/>
        <w:wordWrap/>
        <w:overflowPunct/>
        <w:topLinePunct w:val="0"/>
        <w:autoSpaceDE w:val="0"/>
        <w:autoSpaceDN w:val="0"/>
        <w:bidi w:val="0"/>
        <w:adjustRightInd/>
        <w:snapToGrid/>
        <w:spacing w:line="240" w:lineRule="auto"/>
        <w:ind w:right="0" w:firstLine="48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危险废物：</w:t>
      </w:r>
      <w:r>
        <w:rPr>
          <w:rFonts w:hint="eastAsia" w:ascii="仿宋_GB2312" w:hAnsi="仿宋_GB2312" w:eastAsia="仿宋_GB2312" w:cs="仿宋_GB2312"/>
          <w:sz w:val="28"/>
          <w:szCs w:val="28"/>
          <w:lang w:val="en-US" w:eastAsia="zh-CN"/>
        </w:rPr>
        <w:t>废机油依托原有危废库房暂存后，最后交由青海德胜环能科技有限公司处理。目前尚未产生废活性炭，废活性炭依托原有危废库房暂存后，最后有处理资质单位处理，废水处理污泥利用原有污泥暂存间，按照现有项目环评文件及批复要求处置。</w:t>
      </w:r>
    </w:p>
    <w:p w14:paraId="360F431B">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四、环境保护设施调试效果</w:t>
      </w:r>
    </w:p>
    <w:p w14:paraId="76EAB7CF">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（一）环保设施处理效率</w:t>
      </w:r>
    </w:p>
    <w:p w14:paraId="2F74D04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1.废气治理设施</w:t>
      </w:r>
    </w:p>
    <w:p w14:paraId="3076D54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监测期间，静电喷涂除尘器排放口(DA003)颗粒物排放浓度、排放速率均满足（GB16279-1996）表2二级排放限值要求；烘干炉、固化炉废气处理装置排放口(DA004）废气颗粒物、NOx、非甲烷总烃排放浓度和排放速率均满足（GB16279-1996）表2二级排放限值要求；本项目废气治理设施对污染物的治理措施满足环境影响报告表及批复文件要求。</w:t>
      </w:r>
    </w:p>
    <w:p w14:paraId="41146EEC">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2.废水</w:t>
      </w:r>
    </w:p>
    <w:p w14:paraId="0A2BA1D5">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验收监测期间：青海欧莱德新材料科技有限公司废水处理站排放口废水各种污染物放浓度满足《电镀污染物排放标准》（GB21900-2008）中的特排标准限值要求，废水处理站的废水处理设施能够满足项目生产废水处理要求。</w:t>
      </w:r>
    </w:p>
    <w:p w14:paraId="43C67882">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3.厂界噪声治理设施</w:t>
      </w:r>
    </w:p>
    <w:p w14:paraId="7C1961C1">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验收监测期间，企业厂界噪声排放满足《工业企业厂界环境噪声排放标准》（GB12348-2008）3类标准值要求，本项目噪声治理措施有效。</w:t>
      </w:r>
    </w:p>
    <w:p w14:paraId="0A1F251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4.固废</w:t>
      </w:r>
    </w:p>
    <w:p w14:paraId="51695CED">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本项目运营不增加生活垃圾产生；废包装材料主要为废纸盒和废塑料膜等，全部外售处理；喷涂工序布袋除尘器的收尘主要为环氧树脂粉末全部回用于粉末喷涂生产工序；</w:t>
      </w:r>
    </w:p>
    <w:p w14:paraId="1CA0E9A8">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废机油设置专门回收桶收集，暂存于厂区危险废物库房，定期交由青海德胜环能科技有限公司转运处置。验收阶段尚未产生废活性炭，废活性炭暂存于厂区危险废物库房，定期交有处理资质的单位转运处置；污水处理系统产生的污泥依托原有污泥渣库房暂存，按照原环评批复要求进行处置。</w:t>
      </w:r>
    </w:p>
    <w:p w14:paraId="6CD4C73F">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（二）污染物排放情况</w:t>
      </w:r>
    </w:p>
    <w:p w14:paraId="42EB2F8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1.废气</w:t>
      </w:r>
    </w:p>
    <w:p w14:paraId="0376597E">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监测期间：本项目静电喷涂除尘器排放口(DA003)颗粒物排放浓度、排放速率均满足（GB16279-1996）表2二级排放限值要求；烘干炉、固化炉废气处理装置排放口(DA004）颗粒物、NOx、非甲烷总烃排放浓度和排放速率满足（GB16279-1996）表2二级排放限值要求；烘干炉、固化炉废气处理装置排放口(DA004）SO</w:t>
      </w:r>
      <w:r>
        <w:rPr>
          <w:rFonts w:hint="eastAsia" w:ascii="仿宋_GB2312" w:hAnsi="仿宋_GB2312" w:eastAsia="仿宋_GB2312" w:cs="仿宋_GB2312"/>
          <w:sz w:val="28"/>
          <w:szCs w:val="28"/>
          <w:vertAlign w:val="subscript"/>
          <w:lang w:val="en-US" w:eastAsia="zh-CN"/>
        </w:rPr>
        <w:t>2</w:t>
      </w:r>
      <w:r>
        <w:rPr>
          <w:rFonts w:hint="eastAsia" w:ascii="仿宋_GB2312" w:hAnsi="仿宋_GB2312" w:eastAsia="仿宋_GB2312" w:cs="仿宋_GB2312"/>
          <w:sz w:val="28"/>
          <w:szCs w:val="28"/>
          <w:lang w:val="en-US" w:eastAsia="zh-CN"/>
        </w:rPr>
        <w:t>排放浓度《工业炉窑大气污染物排放标准》（GB9078-1996）中大气污染物排放限值；厂界无组织排放废气颗粒物、非甲烷总烃的浓度满足《大气污染物综合排放标准》（GB16279-1996）表2中无组织排放监控浓度限值要求。</w:t>
      </w:r>
    </w:p>
    <w:p w14:paraId="20819564">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2.废水</w:t>
      </w:r>
    </w:p>
    <w:p w14:paraId="412EBF25">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验收监测期间：青海欧莱德新材料科技有限公司废水处理站排放口废水各种污染物放浓度满足《电镀污染物排放标准》（GB21900-2008）中的特排标准限值要求。</w:t>
      </w:r>
    </w:p>
    <w:p w14:paraId="0054EBEE">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3.噪声</w:t>
      </w:r>
    </w:p>
    <w:p w14:paraId="70670AD4">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验收监测期间：本项目厂界噪声昼夜监测值满足《工业企业厂界环境噪声排放标准》（GB12348-2008）3类标准值要求。</w:t>
      </w:r>
    </w:p>
    <w:p w14:paraId="322E8AA3">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4.污染物排放总量</w:t>
      </w:r>
    </w:p>
    <w:p w14:paraId="096514C1">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根据该项目环评文件及其批复文件核算,本项目投入运营后，立式粉末喷涂生产线各类污染物排放总量指标为：二氧化硫0.063t/a、氮氧化物0.42t/a、COD 0.06t/a，根据验收监测结果核实，本项目运行过程中二氧化硫、氮氧化物、COD实际排放总量分别为0.024t/a、0.309t/a、0.0166t/a，满足项目环境影响报告表及其批复文件审核批准的污染物排放总量指标要求。项目实施后全厂二氧化硫、氮氧化物、COD排放总量分别为：0.0532t/a、0.4894t/a、0.0281t/a，未超过确认购买总量指标（COD7.69t/a、SO20.15t/a、NOx0.945t/a。</w:t>
      </w:r>
    </w:p>
    <w:p w14:paraId="1B6C068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五、工程建设对环境的影响</w:t>
      </w:r>
    </w:p>
    <w:p w14:paraId="3D1EF1D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根据监测结果，本项目静电喷涂除尘器排放口颗粒物排放浓度、排放速率和烘干炉、固化炉废气处理装置排放口颗粒物、NOx、非甲烷总烃排放浓度和排放速率满足（GB16279-1996）表2二级排放限值要求；烘干炉、固化炉废气处理装置排放口SO</w:t>
      </w:r>
      <w:r>
        <w:rPr>
          <w:rFonts w:hint="eastAsia" w:ascii="仿宋_GB2312" w:hAnsi="仿宋_GB2312" w:eastAsia="仿宋_GB2312" w:cs="仿宋_GB2312"/>
          <w:sz w:val="28"/>
          <w:szCs w:val="28"/>
          <w:vertAlign w:val="subscript"/>
          <w:lang w:val="en-US" w:eastAsia="zh-CN"/>
        </w:rPr>
        <w:t>2</w:t>
      </w:r>
      <w:r>
        <w:rPr>
          <w:rFonts w:hint="eastAsia" w:ascii="仿宋_GB2312" w:hAnsi="仿宋_GB2312" w:eastAsia="仿宋_GB2312" w:cs="仿宋_GB2312"/>
          <w:sz w:val="28"/>
          <w:szCs w:val="28"/>
          <w:lang w:val="en-US" w:eastAsia="zh-CN"/>
        </w:rPr>
        <w:t>排放浓度《工业炉窑大气污染物排放标准》（GB9078-1996）中大气污染物排放限值；厂界无组织排放废气颗粒物、非甲烷总烃的浓度满足《大气污染物综合排放标准》（GB16279-1996）表2中无组织排放监控浓度限值要求；废水处理站排放口废水各种污染物放浓度满足《电镀污染物排放标准》（GB21900-2008）中的特排标准限值要求；厂界噪声满足《工业企业厂界环境噪声排放标准》(GB12348-2008)中3类标准要求。因此本项目废气、废水、噪声排放对项目周边环境不会造成大的影响。</w:t>
      </w:r>
    </w:p>
    <w:p w14:paraId="0239E3FE">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六、验收结论</w:t>
      </w:r>
    </w:p>
    <w:p w14:paraId="1C59C59E">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建设单位履行了环境保护“三同时”制度，基本落实了环境影响报告表及批复文件提出的各项环保措施，施工和营运过程中采取的污染防治措施基本有效，各类固体废弃物均有合理的处置措施，建议通过竣工环境保护验收。</w:t>
      </w:r>
    </w:p>
    <w:p w14:paraId="64FAB3CC">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七、后续要求</w:t>
      </w:r>
    </w:p>
    <w:p w14:paraId="51783AFE">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1、加强环保设施运行管理，定期检查及维修环保设备，提高环保设施完好率和运行效率，避免出现故障后才停机维修；</w:t>
      </w:r>
    </w:p>
    <w:p w14:paraId="77ABE4D6">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2、按照《危险废物贮存污染控制标准》（GB18597—2023）、《危险废物转移管理办法》的要求加强废机油产生、贮存、转移管理，建立危险废物产生、贮存转移管理台账和转移联单制度；</w:t>
      </w:r>
    </w:p>
    <w:p w14:paraId="76B8282A">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目前尚无废活性炭产生，建议在后期活性炭更改过程中，加强废活性炭产生、贮存、转移管理。严格按照《危险废物贮存污染控制标准》（GB18597—2023）、《危险废物转移管理办法》的要求加强废废活性炭产生、贮存、转移管理；</w:t>
      </w:r>
    </w:p>
    <w:p w14:paraId="164B7CAF">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4、根据本项目实施后环境风险变化情况，及时组织开展突发环境事件风险评估、应急预案修订，并定期开展</w:t>
      </w:r>
      <w:bookmarkStart w:id="14" w:name="_GoBack"/>
      <w:bookmarkEnd w:id="14"/>
      <w:r>
        <w:rPr>
          <w:rFonts w:hint="eastAsia" w:ascii="仿宋_GB2312" w:hAnsi="仿宋_GB2312" w:eastAsia="仿宋_GB2312" w:cs="仿宋_GB2312"/>
          <w:sz w:val="28"/>
          <w:szCs w:val="28"/>
          <w:lang w:val="en-US" w:eastAsia="zh-CN"/>
        </w:rPr>
        <w:t>应急演练，提高突发环境事件预防、应急救援能力；</w:t>
      </w:r>
    </w:p>
    <w:p w14:paraId="712E311F">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5、根据修订后的环境监测计划，做好监测计划的落实执行。</w:t>
      </w:r>
    </w:p>
    <w:p w14:paraId="516805AD">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61"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八、验收人员信息</w:t>
      </w:r>
    </w:p>
    <w:p w14:paraId="7C223C1F">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参加本项目竣工环境保护验收的单位、人员情况详见项目竣工环境保护验收人员签到表。</w:t>
      </w:r>
    </w:p>
    <w:p w14:paraId="6D689128">
      <w:pPr>
        <w:pStyle w:val="8"/>
        <w:pageBreakBefore w:val="0"/>
        <w:widowControl w:val="0"/>
        <w:kinsoku/>
        <w:wordWrap/>
        <w:overflowPunct/>
        <w:topLinePunct w:val="0"/>
        <w:autoSpaceDE w:val="0"/>
        <w:autoSpaceDN w:val="0"/>
        <w:bidi w:val="0"/>
        <w:adjustRightInd/>
        <w:snapToGrid/>
        <w:spacing w:after="0" w:afterLines="0" w:line="240" w:lineRule="auto"/>
        <w:ind w:left="0" w:leftChars="0" w:firstLine="658" w:firstLineChars="235"/>
        <w:textAlignment w:val="auto"/>
        <w:rPr>
          <w:rFonts w:hint="eastAsia" w:ascii="仿宋_GB2312" w:hAnsi="仿宋_GB2312" w:eastAsia="仿宋_GB2312" w:cs="仿宋_GB2312"/>
          <w:sz w:val="28"/>
          <w:szCs w:val="28"/>
          <w:lang w:val="en-US" w:eastAsia="zh-CN"/>
        </w:rPr>
      </w:pPr>
    </w:p>
    <w:p w14:paraId="6E12FD14">
      <w:pPr>
        <w:pStyle w:val="8"/>
        <w:pageBreakBefore w:val="0"/>
        <w:widowControl w:val="0"/>
        <w:kinsoku/>
        <w:wordWrap/>
        <w:overflowPunct/>
        <w:topLinePunct w:val="0"/>
        <w:autoSpaceDE w:val="0"/>
        <w:autoSpaceDN w:val="0"/>
        <w:bidi w:val="0"/>
        <w:adjustRightInd/>
        <w:snapToGrid/>
        <w:spacing w:after="0" w:afterLines="0" w:line="240" w:lineRule="auto"/>
        <w:textAlignment w:val="auto"/>
        <w:rPr>
          <w:rFonts w:hint="eastAsia" w:ascii="仿宋_GB2312" w:hAnsi="仿宋_GB2312" w:eastAsia="仿宋_GB2312" w:cs="仿宋_GB2312"/>
          <w:lang w:val="en-US" w:eastAsia="zh-CN"/>
        </w:rPr>
      </w:pPr>
    </w:p>
    <w:p w14:paraId="453DA60C">
      <w:pPr>
        <w:pStyle w:val="8"/>
        <w:pageBreakBefore w:val="0"/>
        <w:widowControl w:val="0"/>
        <w:kinsoku/>
        <w:wordWrap/>
        <w:overflowPunct/>
        <w:topLinePunct w:val="0"/>
        <w:autoSpaceDE w:val="0"/>
        <w:autoSpaceDN w:val="0"/>
        <w:bidi w:val="0"/>
        <w:adjustRightInd/>
        <w:snapToGrid/>
        <w:spacing w:after="0" w:afterLines="0" w:line="240" w:lineRule="auto"/>
        <w:textAlignment w:val="auto"/>
        <w:rPr>
          <w:rFonts w:hint="eastAsia" w:ascii="仿宋_GB2312" w:hAnsi="仿宋_GB2312" w:eastAsia="仿宋_GB2312" w:cs="仿宋_GB2312"/>
          <w:sz w:val="24"/>
          <w:szCs w:val="24"/>
          <w:lang w:val="en-US" w:eastAsia="zh-CN"/>
        </w:rPr>
      </w:pPr>
    </w:p>
    <w:p w14:paraId="5599156E">
      <w:pPr>
        <w:pStyle w:val="8"/>
        <w:pageBreakBefore w:val="0"/>
        <w:widowControl w:val="0"/>
        <w:kinsoku/>
        <w:wordWrap/>
        <w:overflowPunct/>
        <w:topLinePunct w:val="0"/>
        <w:autoSpaceDE w:val="0"/>
        <w:autoSpaceDN w:val="0"/>
        <w:bidi w:val="0"/>
        <w:adjustRightInd/>
        <w:snapToGrid/>
        <w:spacing w:after="0" w:afterLines="0" w:line="240" w:lineRule="auto"/>
        <w:ind w:left="0" w:leftChars="0" w:right="1485" w:rightChars="675" w:firstLine="658" w:firstLineChars="235"/>
        <w:jc w:val="righ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验收组组长签字：        </w:t>
      </w:r>
    </w:p>
    <w:p w14:paraId="1EAD0BFC">
      <w:pPr>
        <w:pStyle w:val="8"/>
        <w:pageBreakBefore w:val="0"/>
        <w:widowControl w:val="0"/>
        <w:tabs>
          <w:tab w:val="left" w:pos="7260"/>
        </w:tabs>
        <w:kinsoku/>
        <w:wordWrap/>
        <w:overflowPunct/>
        <w:topLinePunct w:val="0"/>
        <w:autoSpaceDE w:val="0"/>
        <w:autoSpaceDN w:val="0"/>
        <w:bidi w:val="0"/>
        <w:adjustRightInd/>
        <w:snapToGrid/>
        <w:spacing w:after="0" w:afterLines="0" w:line="240" w:lineRule="auto"/>
        <w:ind w:left="0" w:leftChars="0" w:right="1045" w:rightChars="475" w:firstLine="658" w:firstLineChars="235"/>
        <w:jc w:val="righ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年    月  日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45B5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1F82D6">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1F82D6">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1NWUxZDk0OTNmY2ZkZTFkNDZmMWRjOWQ5Mzk2NjUifQ=="/>
  </w:docVars>
  <w:rsids>
    <w:rsidRoot w:val="52513090"/>
    <w:rsid w:val="016D705C"/>
    <w:rsid w:val="038F01B9"/>
    <w:rsid w:val="03A5247A"/>
    <w:rsid w:val="03CB058F"/>
    <w:rsid w:val="03D5358D"/>
    <w:rsid w:val="048E2E68"/>
    <w:rsid w:val="04E0293B"/>
    <w:rsid w:val="06432D91"/>
    <w:rsid w:val="076D737F"/>
    <w:rsid w:val="09533892"/>
    <w:rsid w:val="10430E2B"/>
    <w:rsid w:val="104724C1"/>
    <w:rsid w:val="18223446"/>
    <w:rsid w:val="19C51916"/>
    <w:rsid w:val="1A343034"/>
    <w:rsid w:val="1D28337C"/>
    <w:rsid w:val="1D9A3858"/>
    <w:rsid w:val="1E097ACC"/>
    <w:rsid w:val="1E577C2F"/>
    <w:rsid w:val="20E13B90"/>
    <w:rsid w:val="22B76FAB"/>
    <w:rsid w:val="26297135"/>
    <w:rsid w:val="28C26C46"/>
    <w:rsid w:val="29EC2EC6"/>
    <w:rsid w:val="34BE4233"/>
    <w:rsid w:val="35092510"/>
    <w:rsid w:val="365F7371"/>
    <w:rsid w:val="371C2AEA"/>
    <w:rsid w:val="3E1117C1"/>
    <w:rsid w:val="3E2F2514"/>
    <w:rsid w:val="3F740E19"/>
    <w:rsid w:val="42E64648"/>
    <w:rsid w:val="46467D8B"/>
    <w:rsid w:val="48730AC3"/>
    <w:rsid w:val="487A6743"/>
    <w:rsid w:val="4A7521AE"/>
    <w:rsid w:val="4C5061C1"/>
    <w:rsid w:val="4F563D61"/>
    <w:rsid w:val="52513090"/>
    <w:rsid w:val="52DA0153"/>
    <w:rsid w:val="53B93154"/>
    <w:rsid w:val="54E341E4"/>
    <w:rsid w:val="580A7312"/>
    <w:rsid w:val="590F629D"/>
    <w:rsid w:val="5C7B2B05"/>
    <w:rsid w:val="5DA3306C"/>
    <w:rsid w:val="66BC64C2"/>
    <w:rsid w:val="6780659C"/>
    <w:rsid w:val="6BAF5808"/>
    <w:rsid w:val="6BF01619"/>
    <w:rsid w:val="6D274CB7"/>
    <w:rsid w:val="73D72E30"/>
    <w:rsid w:val="747C22D6"/>
    <w:rsid w:val="77144C83"/>
    <w:rsid w:val="7C2A5A7C"/>
    <w:rsid w:val="7CC32A21"/>
    <w:rsid w:val="7EDD5C1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1"/>
    <w:pPr>
      <w:widowControl w:val="0"/>
      <w:autoSpaceDE w:val="0"/>
      <w:autoSpaceDN w:val="0"/>
    </w:pPr>
    <w:rPr>
      <w:rFonts w:ascii="仿宋" w:hAnsi="仿宋" w:eastAsia="仿宋" w:cs="仿宋"/>
      <w:sz w:val="22"/>
      <w:szCs w:val="22"/>
      <w:lang w:val="zh-CN" w:eastAsia="zh-CN" w:bidi="zh-CN"/>
    </w:rPr>
  </w:style>
  <w:style w:type="paragraph" w:styleId="3">
    <w:name w:val="heading 1"/>
    <w:basedOn w:val="1"/>
    <w:next w:val="1"/>
    <w:autoRedefine/>
    <w:qFormat/>
    <w:uiPriority w:val="0"/>
    <w:pPr>
      <w:keepNext/>
      <w:keepLines/>
      <w:spacing w:beforeLines="0" w:beforeAutospacing="0" w:afterLines="0" w:afterAutospacing="0" w:line="240" w:lineRule="auto"/>
      <w:ind w:firstLine="0" w:firstLineChars="0"/>
      <w:jc w:val="left"/>
      <w:outlineLvl w:val="0"/>
    </w:pPr>
    <w:rPr>
      <w:b/>
      <w:kern w:val="44"/>
    </w:rPr>
  </w:style>
  <w:style w:type="paragraph" w:styleId="4">
    <w:name w:val="heading 2"/>
    <w:basedOn w:val="1"/>
    <w:next w:val="1"/>
    <w:link w:val="19"/>
    <w:autoRedefine/>
    <w:semiHidden/>
    <w:unhideWhenUsed/>
    <w:qFormat/>
    <w:uiPriority w:val="0"/>
    <w:pPr>
      <w:keepNext/>
      <w:keepLines/>
      <w:spacing w:beforeAutospacing="0" w:afterAutospacing="0" w:line="240" w:lineRule="auto"/>
      <w:ind w:firstLine="0" w:firstLineChars="0"/>
      <w:jc w:val="left"/>
      <w:outlineLvl w:val="1"/>
    </w:pPr>
    <w:rPr>
      <w:b/>
    </w:rPr>
  </w:style>
  <w:style w:type="paragraph" w:styleId="5">
    <w:name w:val="heading 3"/>
    <w:basedOn w:val="1"/>
    <w:next w:val="1"/>
    <w:autoRedefine/>
    <w:semiHidden/>
    <w:unhideWhenUsed/>
    <w:qFormat/>
    <w:uiPriority w:val="0"/>
    <w:pPr>
      <w:keepNext/>
      <w:keepLines/>
      <w:spacing w:beforeLines="0" w:beforeAutospacing="0" w:afterLines="0" w:afterAutospacing="0" w:line="240" w:lineRule="auto"/>
      <w:ind w:firstLine="0" w:firstLineChars="0"/>
      <w:jc w:val="left"/>
      <w:outlineLvl w:val="2"/>
    </w:pPr>
    <w:rPr>
      <w:b/>
    </w:rPr>
  </w:style>
  <w:style w:type="paragraph" w:styleId="6">
    <w:name w:val="heading 4"/>
    <w:basedOn w:val="1"/>
    <w:next w:val="1"/>
    <w:autoRedefine/>
    <w:semiHidden/>
    <w:unhideWhenUsed/>
    <w:qFormat/>
    <w:uiPriority w:val="0"/>
    <w:pPr>
      <w:keepNext/>
      <w:keepLines/>
      <w:spacing w:before="280" w:beforeLines="0" w:beforeAutospacing="0" w:after="290" w:afterLines="0" w:afterAutospacing="0" w:line="240" w:lineRule="auto"/>
      <w:ind w:firstLine="0" w:firstLineChars="0"/>
      <w:outlineLvl w:val="3"/>
    </w:pPr>
    <w:rPr>
      <w:b/>
    </w:rPr>
  </w:style>
  <w:style w:type="character" w:default="1" w:styleId="16">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2">
    <w:name w:val="正文＋首行缩进2字符"/>
    <w:basedOn w:val="1"/>
    <w:qFormat/>
    <w:uiPriority w:val="0"/>
    <w:pPr>
      <w:adjustRightInd/>
      <w:snapToGrid/>
      <w:jc w:val="both"/>
    </w:pPr>
    <w:rPr>
      <w:rFonts w:ascii="Calibri" w:hAnsi="Calibri"/>
      <w:spacing w:val="14"/>
      <w:szCs w:val="20"/>
    </w:rPr>
  </w:style>
  <w:style w:type="paragraph" w:styleId="7">
    <w:name w:val="Body Text"/>
    <w:basedOn w:val="1"/>
    <w:next w:val="8"/>
    <w:autoRedefine/>
    <w:qFormat/>
    <w:uiPriority w:val="0"/>
    <w:pPr>
      <w:spacing w:line="360" w:lineRule="auto"/>
      <w:ind w:firstLine="400" w:firstLineChars="200"/>
    </w:pPr>
    <w:rPr>
      <w:rFonts w:ascii="宋体" w:hAnsi="宋体" w:eastAsia="宋体" w:cs="宋体"/>
      <w:sz w:val="24"/>
      <w:szCs w:val="24"/>
    </w:rPr>
  </w:style>
  <w:style w:type="paragraph" w:styleId="8">
    <w:name w:val="Body Text Indent"/>
    <w:basedOn w:val="1"/>
    <w:autoRedefine/>
    <w:qFormat/>
    <w:uiPriority w:val="0"/>
    <w:pPr>
      <w:spacing w:after="120" w:afterLines="0" w:afterAutospacing="0"/>
      <w:ind w:left="420" w:leftChars="2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ind w:firstLine="0" w:firstLineChars="0"/>
      <w:jc w:val="both"/>
      <w:outlineLvl w:val="9"/>
    </w:pPr>
    <w:rPr>
      <w:sz w:val="18"/>
    </w:rPr>
  </w:style>
  <w:style w:type="paragraph" w:styleId="11">
    <w:name w:val="toc 1"/>
    <w:basedOn w:val="1"/>
    <w:next w:val="1"/>
    <w:autoRedefine/>
    <w:qFormat/>
    <w:uiPriority w:val="0"/>
    <w:rPr>
      <w:rFonts w:ascii="Times New Roman" w:hAnsi="Times New Roman" w:cs="仿宋_GB2312"/>
      <w:b/>
    </w:rPr>
  </w:style>
  <w:style w:type="paragraph" w:styleId="12">
    <w:name w:val="toc 2"/>
    <w:basedOn w:val="1"/>
    <w:next w:val="1"/>
    <w:autoRedefine/>
    <w:qFormat/>
    <w:uiPriority w:val="0"/>
    <w:pPr>
      <w:ind w:left="0" w:leftChars="0" w:firstLine="0" w:firstLineChars="0"/>
    </w:pPr>
    <w:rPr>
      <w:rFonts w:cs="仿宋_GB2312"/>
    </w:rPr>
  </w:style>
  <w:style w:type="paragraph" w:styleId="13">
    <w:name w:val="Body Text First Indent 2"/>
    <w:basedOn w:val="8"/>
    <w:autoRedefine/>
    <w:qFormat/>
    <w:uiPriority w:val="0"/>
    <w:pPr>
      <w:ind w:firstLine="420" w:firstLineChars="200"/>
    </w:pPr>
  </w:style>
  <w:style w:type="table" w:styleId="15">
    <w:name w:val="Table Grid"/>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paragraph" w:customStyle="1" w:styleId="17">
    <w:name w:val="列出段落1"/>
    <w:basedOn w:val="1"/>
    <w:autoRedefine/>
    <w:unhideWhenUsed/>
    <w:qFormat/>
    <w:uiPriority w:val="99"/>
    <w:pPr>
      <w:ind w:firstLine="420" w:firstLineChars="200"/>
    </w:pPr>
  </w:style>
  <w:style w:type="paragraph" w:customStyle="1" w:styleId="18">
    <w:name w:val="表格文字"/>
    <w:basedOn w:val="1"/>
    <w:autoRedefine/>
    <w:qFormat/>
    <w:uiPriority w:val="0"/>
    <w:pPr>
      <w:ind w:firstLine="0" w:firstLineChars="0"/>
      <w:jc w:val="center"/>
    </w:pPr>
    <w:rPr>
      <w:rFonts w:hint="eastAsia" w:ascii="Times New Roman" w:hAnsi="Times New Roman" w:cs="Times New Roman"/>
      <w:sz w:val="21"/>
    </w:rPr>
  </w:style>
  <w:style w:type="character" w:customStyle="1" w:styleId="19">
    <w:name w:val="标题 2 Char"/>
    <w:link w:val="4"/>
    <w:autoRedefine/>
    <w:qFormat/>
    <w:uiPriority w:val="0"/>
    <w:rPr>
      <w:rFonts w:ascii="Times New Roman" w:hAnsi="Times New Roman" w:eastAsia="仿宋_GB2312"/>
      <w:b/>
      <w:sz w:val="28"/>
    </w:rPr>
  </w:style>
  <w:style w:type="paragraph" w:customStyle="1" w:styleId="20">
    <w:name w:val="声明表格"/>
    <w:basedOn w:val="1"/>
    <w:autoRedefine/>
    <w:qFormat/>
    <w:uiPriority w:val="1"/>
    <w:rPr>
      <w:rFonts w:ascii="Times New Roman" w:hAnsi="Times New Roman" w:eastAsia="仿宋_GB2312" w:cs="仿宋_GB2312"/>
    </w:rPr>
  </w:style>
  <w:style w:type="paragraph" w:customStyle="1" w:styleId="21">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2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3503</Words>
  <Characters>3910</Characters>
  <Lines>0</Lines>
  <Paragraphs>0</Paragraphs>
  <TotalTime>1</TotalTime>
  <ScaleCrop>false</ScaleCrop>
  <LinksUpToDate>false</LinksUpToDate>
  <CharactersWithSpaces>3932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2023-08-17T05:46:00Z</dcterms:created>
  <dc:creator>Administrator</dc:creator>
  <cp:lastModifiedBy>test</cp:lastModifiedBy>
  <cp:lastPrinted>2024-09-13T03:56:00Z</cp:lastPrinted>
  <dcterms:modified xsi:type="dcterms:W3CDTF">2024-09-13T05:41:38Z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B47F65A985574F18A1CA8C55A7B2928C_11</vt:lpwstr>
  </property>
</Properties>
</file>