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2B3" w:rsidRDefault="00E40E3E">
      <w:pPr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厦门</w:t>
      </w:r>
      <w:r>
        <w:rPr>
          <w:rFonts w:ascii="仿宋_GB2312" w:eastAsia="仿宋_GB2312"/>
          <w:b/>
          <w:sz w:val="32"/>
          <w:szCs w:val="32"/>
        </w:rPr>
        <w:t>市</w:t>
      </w:r>
      <w:r>
        <w:rPr>
          <w:rFonts w:ascii="仿宋_GB2312" w:eastAsia="仿宋_GB2312" w:hint="eastAsia"/>
          <w:b/>
          <w:sz w:val="32"/>
          <w:szCs w:val="32"/>
        </w:rPr>
        <w:t>挥发性有机物污染防治企业自查表</w:t>
      </w:r>
    </w:p>
    <w:p w:rsidR="001A62B3" w:rsidRDefault="00E40E3E">
      <w:pPr>
        <w:adjustRightInd w:val="0"/>
        <w:snapToGrid w:val="0"/>
        <w:jc w:val="left"/>
        <w:rPr>
          <w:rFonts w:ascii="仿宋_GB2312" w:eastAsia="仿宋_GB2312" w:hAnsi="宋体" w:cs="宋体"/>
          <w:kern w:val="0"/>
          <w:sz w:val="22"/>
          <w:szCs w:val="22"/>
        </w:rPr>
      </w:pPr>
      <w:r>
        <w:rPr>
          <w:rFonts w:ascii="仿宋_GB2312" w:eastAsia="仿宋_GB2312" w:hAnsi="宋体" w:cs="宋体" w:hint="eastAsia"/>
          <w:kern w:val="0"/>
          <w:sz w:val="22"/>
          <w:szCs w:val="22"/>
        </w:rPr>
        <w:t>企业</w:t>
      </w:r>
      <w:r>
        <w:rPr>
          <w:rFonts w:ascii="仿宋_GB2312" w:eastAsia="仿宋_GB2312" w:hAnsi="宋体" w:cs="宋体"/>
          <w:kern w:val="0"/>
          <w:sz w:val="22"/>
          <w:szCs w:val="22"/>
        </w:rPr>
        <w:t>名称：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    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>捷</w:t>
      </w:r>
      <w:r w:rsidR="005E1156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>太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>格特管柱系统（厦门）有限公司</w:t>
      </w:r>
      <w:r w:rsidR="00B528F6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    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>所属</w:t>
      </w:r>
      <w:r>
        <w:rPr>
          <w:rFonts w:ascii="仿宋_GB2312" w:eastAsia="仿宋_GB2312" w:hAnsi="宋体" w:cs="宋体"/>
          <w:kern w:val="0"/>
          <w:sz w:val="22"/>
          <w:szCs w:val="22"/>
        </w:rPr>
        <w:t>行业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>：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 w:rsidR="00B528F6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>汽车</w:t>
      </w:r>
      <w:r w:rsidR="00C40252"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>制造业</w:t>
      </w:r>
      <w:r>
        <w:rPr>
          <w:rFonts w:ascii="仿宋_GB2312" w:eastAsia="仿宋_GB2312" w:hAnsi="宋体" w:cs="宋体"/>
          <w:kern w:val="0"/>
          <w:sz w:val="22"/>
          <w:szCs w:val="22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 xml:space="preserve"> 联系人</w:t>
      </w:r>
      <w:r>
        <w:rPr>
          <w:rFonts w:ascii="仿宋_GB2312" w:eastAsia="仿宋_GB2312" w:hAnsi="宋体" w:cs="宋体"/>
          <w:kern w:val="0"/>
          <w:sz w:val="22"/>
          <w:szCs w:val="22"/>
        </w:rPr>
        <w:t>：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</w:t>
      </w:r>
      <w:r>
        <w:rPr>
          <w:rFonts w:ascii="仿宋_GB2312" w:eastAsia="仿宋_GB2312" w:hAnsi="宋体" w:cs="宋体"/>
          <w:kern w:val="0"/>
          <w:sz w:val="22"/>
          <w:szCs w:val="22"/>
          <w:u w:val="single"/>
        </w:rPr>
        <w:t xml:space="preserve"> </w:t>
      </w:r>
      <w:r w:rsidR="00396E2B">
        <w:rPr>
          <w:rFonts w:ascii="仿宋_GB2312" w:eastAsia="仿宋_GB2312" w:hAnsi="宋体" w:cs="宋体"/>
          <w:kern w:val="0"/>
          <w:sz w:val="22"/>
          <w:szCs w:val="22"/>
          <w:u w:val="single"/>
        </w:rPr>
        <w:t>徐佳龙</w:t>
      </w:r>
      <w:r w:rsidR="00C40252">
        <w:rPr>
          <w:rFonts w:ascii="仿宋_GB2312" w:eastAsia="仿宋_GB2312" w:hAnsi="宋体" w:cs="宋体"/>
          <w:kern w:val="0"/>
          <w:sz w:val="22"/>
          <w:szCs w:val="2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>
        <w:rPr>
          <w:rFonts w:ascii="仿宋_GB2312" w:eastAsia="仿宋_GB2312" w:hAnsi="宋体" w:cs="宋体"/>
          <w:kern w:val="0"/>
          <w:sz w:val="22"/>
          <w:szCs w:val="22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>电话</w:t>
      </w:r>
      <w:r>
        <w:rPr>
          <w:rFonts w:ascii="仿宋_GB2312" w:eastAsia="仿宋_GB2312" w:hAnsi="宋体" w:cs="宋体"/>
          <w:kern w:val="0"/>
          <w:sz w:val="22"/>
          <w:szCs w:val="22"/>
        </w:rPr>
        <w:t>：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 w:rsidR="00B528F6">
        <w:rPr>
          <w:rFonts w:ascii="仿宋_GB2312" w:eastAsia="仿宋_GB2312" w:hAnsi="宋体" w:cs="宋体"/>
          <w:kern w:val="0"/>
          <w:sz w:val="22"/>
          <w:szCs w:val="22"/>
          <w:u w:val="single"/>
        </w:rPr>
        <w:t>1</w:t>
      </w:r>
      <w:r w:rsidR="00396E2B">
        <w:rPr>
          <w:rFonts w:ascii="仿宋_GB2312" w:eastAsia="仿宋_GB2312" w:hAnsi="宋体" w:cs="宋体"/>
          <w:kern w:val="0"/>
          <w:sz w:val="22"/>
          <w:szCs w:val="22"/>
          <w:u w:val="single"/>
        </w:rPr>
        <w:t>5134461236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</w:t>
      </w:r>
      <w:r>
        <w:rPr>
          <w:rFonts w:ascii="仿宋_GB2312" w:eastAsia="仿宋_GB2312" w:hAnsi="宋体" w:cs="宋体"/>
          <w:kern w:val="0"/>
          <w:sz w:val="22"/>
          <w:szCs w:val="22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2"/>
          <w:szCs w:val="22"/>
          <w:u w:val="single"/>
        </w:rPr>
        <w:t xml:space="preserve">      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>自查</w:t>
      </w:r>
      <w:r>
        <w:rPr>
          <w:rFonts w:ascii="仿宋_GB2312" w:eastAsia="仿宋_GB2312" w:hAnsi="宋体" w:cs="宋体"/>
          <w:kern w:val="0"/>
          <w:sz w:val="22"/>
          <w:szCs w:val="22"/>
        </w:rPr>
        <w:t>日期：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 xml:space="preserve">  </w:t>
      </w:r>
      <w:r w:rsidR="007D3D92">
        <w:rPr>
          <w:rFonts w:ascii="仿宋_GB2312" w:eastAsia="仿宋_GB2312" w:hAnsi="宋体" w:cs="宋体"/>
          <w:kern w:val="0"/>
          <w:sz w:val="22"/>
          <w:szCs w:val="22"/>
        </w:rPr>
        <w:t>202</w:t>
      </w:r>
      <w:r w:rsidR="00B60DBA">
        <w:rPr>
          <w:rFonts w:ascii="仿宋_GB2312" w:eastAsia="仿宋_GB2312" w:hAnsi="宋体" w:cs="宋体"/>
          <w:kern w:val="0"/>
          <w:sz w:val="22"/>
          <w:szCs w:val="22"/>
        </w:rPr>
        <w:t>4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 xml:space="preserve"> 年</w:t>
      </w:r>
      <w:r w:rsidR="004F57F0">
        <w:rPr>
          <w:rFonts w:ascii="仿宋_GB2312" w:eastAsia="仿宋_GB2312" w:hAnsi="宋体" w:cs="宋体"/>
          <w:kern w:val="0"/>
          <w:sz w:val="22"/>
          <w:szCs w:val="22"/>
        </w:rPr>
        <w:t>9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 xml:space="preserve"> 月 </w:t>
      </w:r>
      <w:r w:rsidR="00396E2B">
        <w:rPr>
          <w:rFonts w:ascii="仿宋_GB2312" w:eastAsia="仿宋_GB2312" w:hAnsi="宋体" w:cs="宋体"/>
          <w:kern w:val="0"/>
          <w:sz w:val="22"/>
          <w:szCs w:val="22"/>
        </w:rPr>
        <w:t>1</w:t>
      </w:r>
      <w:r w:rsidR="004F57F0">
        <w:rPr>
          <w:rFonts w:ascii="仿宋_GB2312" w:eastAsia="仿宋_GB2312" w:hAnsi="宋体" w:cs="宋体"/>
          <w:kern w:val="0"/>
          <w:sz w:val="22"/>
          <w:szCs w:val="22"/>
        </w:rPr>
        <w:t>9</w:t>
      </w:r>
      <w:r>
        <w:rPr>
          <w:rFonts w:ascii="仿宋_GB2312" w:eastAsia="仿宋_GB2312" w:hAnsi="宋体" w:cs="宋体" w:hint="eastAsia"/>
          <w:kern w:val="0"/>
          <w:sz w:val="22"/>
          <w:szCs w:val="22"/>
        </w:rPr>
        <w:t xml:space="preserve">  日</w:t>
      </w:r>
    </w:p>
    <w:tbl>
      <w:tblPr>
        <w:tblW w:w="14246" w:type="dxa"/>
        <w:tblInd w:w="-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902"/>
        <w:gridCol w:w="899"/>
        <w:gridCol w:w="1724"/>
        <w:gridCol w:w="1276"/>
        <w:gridCol w:w="992"/>
        <w:gridCol w:w="1267"/>
        <w:gridCol w:w="904"/>
        <w:gridCol w:w="903"/>
        <w:gridCol w:w="904"/>
      </w:tblGrid>
      <w:tr w:rsidR="001A62B3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自查内容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是否</w:t>
            </w:r>
          </w:p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符合（或</w:t>
            </w:r>
            <w:r>
              <w:rPr>
                <w:rFonts w:ascii="仿宋_GB2312" w:eastAsia="仿宋_GB2312" w:hAnsi="宋体" w:cs="宋体"/>
                <w:kern w:val="0"/>
                <w:sz w:val="22"/>
                <w:szCs w:val="22"/>
              </w:rPr>
              <w:t>不涉及）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存在问题描述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自查</w:t>
            </w:r>
          </w:p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日期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自查人员签名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整改措施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整改完成日期</w:t>
            </w: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整改负责人签名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主管</w:t>
            </w:r>
          </w:p>
          <w:p w:rsidR="001A62B3" w:rsidRDefault="00E40E3E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签名</w:t>
            </w:r>
          </w:p>
        </w:tc>
      </w:tr>
      <w:tr w:rsidR="001A62B3" w:rsidTr="00B528F6">
        <w:trPr>
          <w:trHeight w:val="317"/>
        </w:trPr>
        <w:tc>
          <w:tcPr>
            <w:tcW w:w="14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一、台账要求</w:t>
            </w:r>
          </w:p>
        </w:tc>
      </w:tr>
      <w:tr w:rsidR="001A62B3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E40E3E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是否建立</w:t>
            </w:r>
            <w:r>
              <w:rPr>
                <w:rFonts w:ascii="仿宋_GB2312" w:eastAsia="仿宋_GB2312" w:hAnsi="宋体"/>
                <w:sz w:val="22"/>
                <w:szCs w:val="22"/>
              </w:rPr>
              <w:t>原辅材料台账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，包含采购、使用消耗、库存结余情况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B528F6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B60DBA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>
              <w:rPr>
                <w:rFonts w:ascii="仿宋_GB2312" w:eastAsia="仿宋_GB2312" w:hAnsi="宋体"/>
                <w:sz w:val="22"/>
                <w:szCs w:val="22"/>
              </w:rPr>
              <w:t>024.</w:t>
            </w:r>
            <w:r w:rsidR="004F57F0">
              <w:rPr>
                <w:rFonts w:ascii="仿宋_GB2312" w:eastAsia="仿宋_GB2312" w:hAnsi="宋体"/>
                <w:sz w:val="22"/>
                <w:szCs w:val="22"/>
              </w:rPr>
              <w:t>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B76A0B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A62B3" w:rsidRDefault="001A62B3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DF54B8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是否建立生产产品</w:t>
            </w:r>
            <w:r>
              <w:rPr>
                <w:rFonts w:ascii="仿宋_GB2312" w:eastAsia="仿宋_GB2312" w:hAnsi="宋体"/>
                <w:sz w:val="22"/>
                <w:szCs w:val="22"/>
              </w:rPr>
              <w:t>台账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，包含产品名称、产量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4B8" w:rsidRDefault="004F57F0" w:rsidP="00DF54B8">
            <w:r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是否保存原辅材料成分说明书、检验报告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B444DB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B444DB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是否保存原辅材料送货单、购入发票等原始单据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B444DB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B444DB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含VOCs的危险废物产生量、回收量、转移量、转移去向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B444DB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B444DB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71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台账</w:t>
            </w:r>
            <w:r>
              <w:rPr>
                <w:rFonts w:ascii="仿宋_GB2312" w:eastAsia="仿宋_GB2312" w:hAnsi="宋体"/>
                <w:sz w:val="22"/>
                <w:szCs w:val="22"/>
              </w:rPr>
              <w:t>是否保存三年以上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B444DB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B444DB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DF54B8" w:rsidTr="00B528F6">
        <w:trPr>
          <w:trHeight w:val="239"/>
        </w:trPr>
        <w:tc>
          <w:tcPr>
            <w:tcW w:w="14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left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  <w:szCs w:val="22"/>
              </w:rPr>
              <w:t>二、</w:t>
            </w:r>
            <w:r>
              <w:rPr>
                <w:rFonts w:ascii="仿宋_GB2312" w:eastAsia="仿宋_GB2312" w:hAnsi="宋体" w:cs="宋体"/>
                <w:kern w:val="0"/>
                <w:sz w:val="22"/>
                <w:szCs w:val="22"/>
              </w:rPr>
              <w:t>源头控制</w:t>
            </w: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是否生产应淘汰类的产品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1C679F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1C679F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是否使用应淘汰类的生产装置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1C679F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1C679F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DF54B8" w:rsidTr="00B528F6">
        <w:trPr>
          <w:trHeight w:val="420"/>
        </w:trPr>
        <w:tc>
          <w:tcPr>
            <w:tcW w:w="14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left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三</w:t>
            </w:r>
            <w:r>
              <w:rPr>
                <w:rFonts w:ascii="仿宋_GB2312" w:eastAsia="仿宋_GB2312" w:hAnsi="宋体"/>
                <w:sz w:val="22"/>
                <w:szCs w:val="22"/>
              </w:rPr>
              <w:t>、密闭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要求</w:t>
            </w: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含VOCs的原料储存过程是否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含VOCs的原料转移、输送过程是否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含VOCs的原料调制</w:t>
            </w:r>
            <w:r>
              <w:rPr>
                <w:rFonts w:ascii="仿宋_GB2312" w:eastAsia="仿宋_GB2312" w:hAnsi="宋体"/>
                <w:sz w:val="22"/>
                <w:szCs w:val="22"/>
              </w:rPr>
              <w:t>（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预处理</w:t>
            </w:r>
            <w:r>
              <w:rPr>
                <w:rFonts w:ascii="仿宋_GB2312" w:eastAsia="仿宋_GB2312" w:hAnsi="宋体"/>
                <w:sz w:val="22"/>
                <w:szCs w:val="22"/>
              </w:rPr>
              <w:t>）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过程</w:t>
            </w:r>
            <w:r>
              <w:rPr>
                <w:rFonts w:ascii="仿宋_GB2312" w:eastAsia="仿宋_GB2312" w:hAnsi="宋体"/>
                <w:sz w:val="22"/>
                <w:szCs w:val="22"/>
              </w:rPr>
              <w:t>是否密闭（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如</w:t>
            </w:r>
            <w:r>
              <w:rPr>
                <w:rFonts w:ascii="仿宋_GB2312" w:eastAsia="仿宋_GB2312" w:hAnsi="宋体"/>
                <w:sz w:val="22"/>
                <w:szCs w:val="22"/>
              </w:rPr>
              <w:t>调漆间、调漆位置）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含VOCs的原料投加、卸放过程是否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int="eastAsia"/>
              </w:rPr>
              <w:t>含VOCs物料的反应、搅拌、混合过程</w:t>
            </w:r>
            <w:r>
              <w:rPr>
                <w:rFonts w:ascii="仿宋_GB2312" w:eastAsia="仿宋_GB2312"/>
              </w:rPr>
              <w:t>是否密闭</w:t>
            </w:r>
            <w:r>
              <w:rPr>
                <w:rFonts w:ascii="仿宋_GB2312" w:eastAsia="仿宋_GB2312" w:hint="eastAsia"/>
              </w:rPr>
              <w:t>，产生的废气是否</w:t>
            </w:r>
            <w:r>
              <w:rPr>
                <w:rFonts w:ascii="仿宋_GB2312" w:eastAsia="仿宋_GB2312"/>
              </w:rPr>
              <w:t>收集</w:t>
            </w:r>
            <w:r>
              <w:rPr>
                <w:rFonts w:ascii="仿宋_GB2312" w:eastAsia="仿宋_GB2312" w:hint="eastAsia"/>
              </w:rPr>
              <w:t>处理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72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含VOCs物料分离精制过程</w:t>
            </w:r>
            <w:r>
              <w:rPr>
                <w:rFonts w:ascii="仿宋_GB2312" w:eastAsia="仿宋_GB2312"/>
              </w:rPr>
              <w:t>是否</w:t>
            </w:r>
            <w:r>
              <w:rPr>
                <w:rFonts w:ascii="仿宋_GB2312" w:eastAsia="仿宋_GB2312" w:hint="eastAsia"/>
              </w:rPr>
              <w:t>使用</w:t>
            </w:r>
            <w:r>
              <w:rPr>
                <w:rFonts w:ascii="仿宋_GB2312" w:eastAsia="仿宋_GB2312"/>
              </w:rPr>
              <w:t>密闭</w:t>
            </w:r>
            <w:r>
              <w:rPr>
                <w:rFonts w:ascii="仿宋_GB2312" w:eastAsia="仿宋_GB2312" w:hint="eastAsia"/>
              </w:rPr>
              <w:t>设备，废气是否</w:t>
            </w:r>
            <w:r>
              <w:rPr>
                <w:rFonts w:ascii="仿宋_GB2312" w:eastAsia="仿宋_GB2312"/>
              </w:rPr>
              <w:t>收集</w:t>
            </w:r>
            <w:r>
              <w:rPr>
                <w:rFonts w:ascii="仿宋_GB2312" w:eastAsia="仿宋_GB2312" w:hint="eastAsia"/>
              </w:rPr>
              <w:t>处理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含VOCs的中间产品储存过程是否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含VOCs的中间产品转移、输送过程是否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含VOCs的中间产品投加过程是否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含VOCs的成品（产品）储存过程是否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含VOCs的成品（产品）转移、输送过程是否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含VOCs的成品（产品）卸料、</w:t>
            </w:r>
            <w:r>
              <w:rPr>
                <w:rFonts w:ascii="仿宋_GB2312" w:eastAsia="仿宋_GB2312" w:hAnsi="宋体"/>
                <w:sz w:val="22"/>
                <w:szCs w:val="22"/>
              </w:rPr>
              <w:t>灌装、包装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过程是否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涉及VOCs的投料口</w:t>
            </w:r>
            <w:r>
              <w:rPr>
                <w:rFonts w:ascii="仿宋_GB2312" w:eastAsia="仿宋_GB2312" w:hAnsi="宋体"/>
                <w:sz w:val="22"/>
                <w:szCs w:val="22"/>
              </w:rPr>
              <w:t>、卸料口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、</w:t>
            </w:r>
            <w:r>
              <w:rPr>
                <w:rFonts w:ascii="仿宋_GB2312" w:eastAsia="仿宋_GB2312" w:hAnsi="宋体"/>
                <w:sz w:val="22"/>
                <w:szCs w:val="22"/>
              </w:rPr>
              <w:t>灌装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接口</w:t>
            </w:r>
            <w:r>
              <w:rPr>
                <w:rFonts w:ascii="仿宋_GB2312" w:eastAsia="仿宋_GB2312" w:hAnsi="宋体"/>
                <w:sz w:val="22"/>
                <w:szCs w:val="22"/>
              </w:rPr>
              <w:t>、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包装设施在</w:t>
            </w:r>
            <w:r>
              <w:rPr>
                <w:rFonts w:ascii="仿宋_GB2312" w:eastAsia="仿宋_GB2312" w:hAnsi="宋体"/>
                <w:sz w:val="22"/>
                <w:szCs w:val="22"/>
              </w:rPr>
              <w:t>未使用时是否密闭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005CFA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005CFA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载有气（液）态VOCs物料的设备与管线组件密封点大于等于2000个时，是否按照规定的时间、频次进行VOCs的泄漏检测与修复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含VOCs的危险废物产生后是否马上密闭（包括漆渣、更换的VOCs吸附剂、</w:t>
            </w:r>
            <w:r>
              <w:rPr>
                <w:rFonts w:ascii="仿宋_GB2312" w:eastAsia="仿宋_GB2312" w:hAnsi="宋体"/>
                <w:sz w:val="22"/>
                <w:szCs w:val="22"/>
              </w:rPr>
              <w:t>过滤棉、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以及含油墨、有机溶剂、清洗剂的包装物、污水</w:t>
            </w:r>
            <w:r>
              <w:rPr>
                <w:rFonts w:ascii="仿宋_GB2312" w:eastAsia="仿宋_GB2312" w:hAnsi="宋体"/>
                <w:sz w:val="22"/>
                <w:szCs w:val="22"/>
              </w:rPr>
              <w:t>处理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废弃物等</w:t>
            </w:r>
            <w:r>
              <w:rPr>
                <w:rFonts w:ascii="仿宋_GB2312" w:eastAsia="仿宋_GB2312" w:hAnsi="宋体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含VOCs的危险废物贮存期间是否密闭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含VOCs的危险废物输送、</w:t>
            </w:r>
            <w:r>
              <w:rPr>
                <w:rFonts w:ascii="仿宋_GB2312" w:eastAsia="仿宋_GB2312" w:hAnsi="宋体"/>
                <w:sz w:val="22"/>
                <w:szCs w:val="22"/>
              </w:rPr>
              <w:t>转移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产生VOCs的生产车间（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或生产设施）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是否密闭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产生VOCs的生产车间（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或生产设施）车间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门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窗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是否设置</w:t>
            </w:r>
            <w:r>
              <w:rPr>
                <w:rFonts w:ascii="仿宋_GB2312" w:eastAsia="仿宋_GB2312" w:hAnsi="宋体"/>
                <w:sz w:val="22"/>
                <w:szCs w:val="22"/>
              </w:rPr>
              <w:t>常闭警示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标识或</w:t>
            </w:r>
            <w:r>
              <w:rPr>
                <w:rFonts w:ascii="仿宋_GB2312" w:eastAsia="仿宋_GB2312" w:hAnsi="宋体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所有产生VOCs的生产车间是否有未</w:t>
            </w:r>
            <w:r>
              <w:rPr>
                <w:rFonts w:ascii="仿宋_GB2312" w:eastAsia="仿宋_GB2312" w:hAnsi="宋体"/>
                <w:sz w:val="22"/>
                <w:szCs w:val="22"/>
              </w:rPr>
              <w:t>收集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处理废气的排气风扇（或</w:t>
            </w:r>
            <w:r>
              <w:rPr>
                <w:rFonts w:ascii="仿宋_GB2312" w:eastAsia="仿宋_GB2312" w:hAnsi="宋体"/>
                <w:sz w:val="22"/>
                <w:szCs w:val="22"/>
              </w:rPr>
              <w:t>换气风扇）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所有产生VOCs的生产车间门是否设置阻隔设施（双重门</w:t>
            </w:r>
            <w:r>
              <w:rPr>
                <w:rFonts w:ascii="仿宋_GB2312" w:eastAsia="仿宋_GB2312" w:hAnsi="宋体"/>
                <w:sz w:val="22"/>
                <w:szCs w:val="22"/>
              </w:rPr>
              <w:t>等）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产生VOCs的密闭空间是否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为微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负压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所有产生VOCs的生产车间（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或生产设施）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是否</w:t>
            </w:r>
            <w:r>
              <w:rPr>
                <w:rFonts w:ascii="仿宋_GB2312" w:eastAsia="仿宋_GB2312" w:hAnsi="宋体"/>
                <w:sz w:val="22"/>
                <w:szCs w:val="22"/>
              </w:rPr>
              <w:t>存在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漏气</w:t>
            </w:r>
            <w:r>
              <w:rPr>
                <w:rFonts w:ascii="仿宋_GB2312" w:eastAsia="仿宋_GB2312" w:hAnsi="宋体"/>
                <w:sz w:val="22"/>
                <w:szCs w:val="22"/>
              </w:rPr>
              <w:t>点位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int="eastAsia"/>
              </w:rPr>
              <w:t>含VOCs的污水处理站的处理构筑物是否加盖密封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int="eastAsia"/>
              </w:rPr>
              <w:t>含VOCs的污水处理站的废气是否收集处理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不涉及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VOCs集气管路是否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标明废气走向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（现有标识</w:t>
            </w:r>
            <w:r>
              <w:rPr>
                <w:rFonts w:ascii="仿宋_GB2312" w:eastAsia="仿宋_GB2312" w:hAnsi="宋体"/>
                <w:sz w:val="22"/>
                <w:szCs w:val="22"/>
              </w:rPr>
              <w:t>总个数：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18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  </w:t>
            </w:r>
            <w:r>
              <w:rPr>
                <w:rFonts w:ascii="仿宋_GB2312" w:eastAsia="仿宋_GB2312" w:hAnsi="宋体"/>
                <w:sz w:val="22"/>
                <w:szCs w:val="22"/>
              </w:rPr>
              <w:t>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542BC3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542BC3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DF54B8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所有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产生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VOCs的生产场所和工段是否设置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废气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收集系统，将废气收集到位并导入废气治理设施。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4B8" w:rsidRDefault="004F57F0" w:rsidP="00DF54B8">
            <w:r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DF54B8" w:rsidTr="00B528F6">
        <w:trPr>
          <w:trHeight w:val="258"/>
        </w:trPr>
        <w:tc>
          <w:tcPr>
            <w:tcW w:w="1424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54B8" w:rsidRDefault="00DF54B8" w:rsidP="00DF54B8">
            <w:pPr>
              <w:adjustRightInd w:val="0"/>
              <w:snapToGrid w:val="0"/>
              <w:jc w:val="left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四</w:t>
            </w:r>
            <w:r>
              <w:rPr>
                <w:rFonts w:ascii="仿宋_GB2312" w:eastAsia="仿宋_GB2312" w:hAnsi="宋体"/>
                <w:sz w:val="22"/>
                <w:szCs w:val="22"/>
              </w:rPr>
              <w:t>、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治理</w:t>
            </w:r>
            <w:r>
              <w:rPr>
                <w:rFonts w:ascii="仿宋_GB2312" w:eastAsia="仿宋_GB2312" w:hAnsi="宋体"/>
                <w:sz w:val="22"/>
                <w:szCs w:val="22"/>
              </w:rPr>
              <w:t>设施</w:t>
            </w: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rPr>
                <w:rFonts w:ascii="仿宋_GB2312" w:eastAsia="仿宋_GB231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废气收集系统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、治理设施和生产设备的开、关时间是否记录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设施设备的开关时间是否写入操作规程并明示公布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610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废气收集系统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、治理设施和生产设备的开、关时间是否符合要求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密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闭设施外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任意一点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非甲烷总烃、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苯、甲苯、二甲苯中的任一种污染物瞬时排放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浓度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值是否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低于无组织排放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监控浓度限值</w:t>
            </w:r>
          </w:p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检查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最大可能点位包括：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原料仓库（储罐）、危废仓库及无组织排放最大可能点至少三点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/>
                <w:sz w:val="22"/>
                <w:szCs w:val="22"/>
              </w:rPr>
              <w:t>VOCs治理设施是否设正常运行，治理设施去除效率是否高于50%；收集的废气中NMHC初始排放速率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≥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2kg/h的，治理设施去除效率是否高于80%。（2020年8月25日前建成的低温等离子体法或光催化氧化法设施净化效率是否高于50%）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是否公示VOCs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治理设施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的处理工艺及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流程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是否公示VOCs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治理设施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的主要技术参数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是否公示VOCs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治理设施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的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操作规程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是否公示VOCs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治理设施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的保养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维护制度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公示的位置是否为治理设施</w:t>
            </w:r>
            <w:r>
              <w:rPr>
                <w:rFonts w:ascii="仿宋_GB2312" w:eastAsia="仿宋_GB2312" w:hAnsi="宋体"/>
                <w:sz w:val="22"/>
                <w:szCs w:val="22"/>
              </w:rPr>
              <w:t>场所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的显著位置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公示的</w:t>
            </w:r>
            <w:r>
              <w:rPr>
                <w:rFonts w:ascii="仿宋_GB2312" w:eastAsia="仿宋_GB2312" w:hAnsi="宋体"/>
                <w:sz w:val="22"/>
                <w:szCs w:val="22"/>
              </w:rPr>
              <w:t>场所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一共</w:t>
            </w:r>
            <w:r>
              <w:rPr>
                <w:rFonts w:ascii="仿宋_GB2312" w:eastAsia="仿宋_GB2312" w:hAnsi="宋体"/>
                <w:sz w:val="22"/>
                <w:szCs w:val="22"/>
              </w:rPr>
              <w:t>几个位置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？</w:t>
            </w:r>
            <w:r>
              <w:rPr>
                <w:rFonts w:ascii="仿宋_GB2312" w:eastAsia="仿宋_GB2312" w:hAnsi="宋体"/>
                <w:sz w:val="22"/>
                <w:szCs w:val="22"/>
              </w:rPr>
              <w:t>（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一共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1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个</w:t>
            </w:r>
            <w:r>
              <w:rPr>
                <w:rFonts w:ascii="仿宋_GB2312" w:eastAsia="仿宋_GB2312" w:hAnsi="宋体"/>
                <w:sz w:val="22"/>
                <w:szCs w:val="22"/>
              </w:rPr>
              <w:t>位置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）</w:t>
            </w:r>
          </w:p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公示场所</w:t>
            </w:r>
            <w:r>
              <w:rPr>
                <w:rFonts w:ascii="仿宋_GB2312" w:eastAsia="仿宋_GB2312" w:hAnsi="宋体"/>
                <w:sz w:val="22"/>
                <w:szCs w:val="22"/>
              </w:rPr>
              <w:t>具体位置：</w:t>
            </w:r>
          </w:p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1、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  危废处理设施开关旁 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2、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     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3、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          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所有公示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内容是否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包含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公示环保举报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投诉</w:t>
            </w:r>
            <w:r>
              <w:rPr>
                <w:rFonts w:ascii="仿宋_GB2312" w:eastAsia="仿宋_GB2312" w:hAnsi="宋体" w:cs="宋体"/>
                <w:sz w:val="22"/>
                <w:szCs w:val="22"/>
              </w:rPr>
              <w:t>电话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12369或各驻区生态环境局公布的环保举报热线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 w:cs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是否记录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VOCs治理设施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的关键技术指标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，如焚烧（含热氧化）要记录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燃烧温度。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 w:cs="宋体"/>
                <w:kern w:val="0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需定期更换吸附剂、催化剂或吸收液的，是否有详细的购买及更换台账，包括装填量、更换周期、采购发票及转移处置记录</w:t>
            </w:r>
          </w:p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最新更</w:t>
            </w:r>
            <w:r>
              <w:rPr>
                <w:rFonts w:ascii="仿宋_GB2312" w:eastAsia="仿宋_GB2312" w:hAnsi="宋体"/>
                <w:sz w:val="22"/>
                <w:szCs w:val="22"/>
              </w:rPr>
              <w:t>新的日期：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2024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年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8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月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17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日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排气筒数量是否符合要求：</w:t>
            </w:r>
          </w:p>
          <w:p w:rsidR="004F57F0" w:rsidRDefault="004F57F0" w:rsidP="004F57F0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采用燃烧法（含直接燃烧、催化燃烧和蓄热燃烧法等）治理VOCs废气的，每套燃烧设施允许设置一根VOCs排气筒，</w:t>
            </w:r>
          </w:p>
          <w:p w:rsidR="004F57F0" w:rsidRDefault="004F57F0" w:rsidP="004F57F0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采用其他方法治理VOCs废气的，一个企业一栋建筑只允许设置一根VOCs排气筒。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涉及使用活性炭吸附工艺的企业：设施前端应配置干燥工艺，除湿剂更换周期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一年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，装填量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3㎡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，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最后一次更换日期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仿宋_GB2312" w:eastAsia="仿宋_GB2312" w:hAnsi="宋体"/>
                <w:sz w:val="22"/>
                <w:szCs w:val="22"/>
                <w:u w:val="single"/>
              </w:rPr>
              <w:t>2023.6.24</w:t>
            </w:r>
            <w:r>
              <w:rPr>
                <w:rFonts w:ascii="仿宋_GB2312" w:eastAsia="仿宋_GB2312" w:hAnsi="宋体" w:hint="eastAsia"/>
                <w:sz w:val="22"/>
                <w:szCs w:val="22"/>
                <w:u w:val="single"/>
              </w:rPr>
              <w:t xml:space="preserve"> 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喷漆工艺废气有应用活性炭吸附工艺的企业：进入活性炭处理设施前是否有去除颗粒物，记录并公示去除装置的装填量、装填日期、更换周期。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是否还有设置其他任何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VOCs废气的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排放口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及出风口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CA0B38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CA0B38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按《固定源监测技术规范》（HJ／T397）要求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设置采样口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排气筒采样</w:t>
            </w:r>
            <w:r>
              <w:rPr>
                <w:rFonts w:ascii="仿宋_GB2312" w:eastAsia="仿宋_GB2312" w:hAnsi="宋体"/>
                <w:sz w:val="22"/>
                <w:szCs w:val="22"/>
              </w:rPr>
              <w:t>口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是否按规范设置采样平台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排气筒采样</w:t>
            </w:r>
            <w:r>
              <w:rPr>
                <w:rFonts w:ascii="仿宋_GB2312" w:eastAsia="仿宋_GB2312" w:hAnsi="宋体"/>
                <w:sz w:val="22"/>
                <w:szCs w:val="22"/>
              </w:rPr>
              <w:t>口附近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配备固定电源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排气筒采样</w:t>
            </w:r>
            <w:r>
              <w:rPr>
                <w:rFonts w:ascii="仿宋_GB2312" w:eastAsia="仿宋_GB2312" w:hAnsi="宋体"/>
                <w:sz w:val="22"/>
                <w:szCs w:val="22"/>
              </w:rPr>
              <w:t>口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是否按规范设置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固定</w:t>
            </w:r>
            <w:r>
              <w:rPr>
                <w:rFonts w:ascii="仿宋_GB2312" w:eastAsia="仿宋_GB2312" w:hAnsi="宋体" w:cs="宋体" w:hint="eastAsia"/>
                <w:sz w:val="22"/>
                <w:szCs w:val="22"/>
              </w:rPr>
              <w:t>安全的人员通道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排气筒</w:t>
            </w:r>
            <w:r>
              <w:rPr>
                <w:rFonts w:ascii="仿宋_GB2312" w:eastAsia="仿宋_GB2312" w:hAnsi="宋体"/>
                <w:sz w:val="22"/>
                <w:szCs w:val="22"/>
              </w:rPr>
              <w:t>采样口后是否还有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其他</w:t>
            </w:r>
            <w:r>
              <w:rPr>
                <w:rFonts w:ascii="仿宋_GB2312" w:eastAsia="仿宋_GB2312" w:hAnsi="宋体"/>
                <w:sz w:val="22"/>
                <w:szCs w:val="22"/>
              </w:rPr>
              <w:t>废气接入排气筒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  <w:tr w:rsidR="004F57F0" w:rsidTr="00DF54B8">
        <w:trPr>
          <w:trHeight w:val="567"/>
        </w:trPr>
        <w:tc>
          <w:tcPr>
            <w:tcW w:w="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numPr>
                <w:ilvl w:val="0"/>
                <w:numId w:val="1"/>
              </w:num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4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 w:hint="eastAsia"/>
                <w:sz w:val="22"/>
                <w:szCs w:val="22"/>
              </w:rPr>
              <w:t>本</w:t>
            </w:r>
            <w:r>
              <w:rPr>
                <w:rFonts w:ascii="仿宋_GB2312" w:eastAsia="仿宋_GB2312" w:hAnsi="宋体"/>
                <w:sz w:val="22"/>
                <w:szCs w:val="22"/>
              </w:rPr>
              <w:t>自查表是否在互联网公开</w:t>
            </w:r>
            <w:r>
              <w:rPr>
                <w:rFonts w:ascii="仿宋_GB2312" w:eastAsia="仿宋_GB2312" w:hAnsi="宋体" w:hint="eastAsia"/>
                <w:sz w:val="22"/>
                <w:szCs w:val="22"/>
              </w:rPr>
              <w:t>公示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符合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57F0" w:rsidRDefault="004F57F0" w:rsidP="004F57F0">
            <w:r w:rsidRPr="00952CD5">
              <w:rPr>
                <w:rFonts w:ascii="仿宋_GB2312" w:eastAsia="仿宋_GB2312" w:hAnsi="宋体" w:hint="eastAsia"/>
                <w:sz w:val="22"/>
                <w:szCs w:val="22"/>
              </w:rPr>
              <w:t>2</w:t>
            </w:r>
            <w:r w:rsidRPr="00952CD5">
              <w:rPr>
                <w:rFonts w:ascii="仿宋_GB2312" w:eastAsia="仿宋_GB2312" w:hAnsi="宋体"/>
                <w:sz w:val="22"/>
                <w:szCs w:val="22"/>
              </w:rPr>
              <w:t>024.9.19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  <w:r>
              <w:rPr>
                <w:rFonts w:ascii="仿宋_GB2312" w:eastAsia="仿宋_GB2312" w:hAnsi="宋体"/>
                <w:sz w:val="22"/>
                <w:szCs w:val="22"/>
              </w:rPr>
              <w:t>徐佳龙</w:t>
            </w:r>
          </w:p>
        </w:tc>
        <w:tc>
          <w:tcPr>
            <w:tcW w:w="1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57F0" w:rsidRDefault="004F57F0" w:rsidP="004F57F0">
            <w:pPr>
              <w:adjustRightInd w:val="0"/>
              <w:snapToGrid w:val="0"/>
              <w:jc w:val="center"/>
              <w:rPr>
                <w:rFonts w:ascii="仿宋_GB2312" w:eastAsia="仿宋_GB2312" w:hAnsi="宋体"/>
                <w:sz w:val="22"/>
                <w:szCs w:val="22"/>
              </w:rPr>
            </w:pPr>
          </w:p>
        </w:tc>
      </w:tr>
    </w:tbl>
    <w:p w:rsidR="001A62B3" w:rsidRDefault="001A62B3">
      <w:pPr>
        <w:rPr>
          <w:rFonts w:ascii="仿宋_GB2312" w:eastAsia="仿宋_GB2312"/>
        </w:rPr>
      </w:pPr>
    </w:p>
    <w:p w:rsidR="001A62B3" w:rsidRDefault="001A62B3">
      <w:pPr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1A62B3" w:rsidRDefault="001A62B3"/>
    <w:sectPr w:rsidR="001A62B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913047"/>
    <w:multiLevelType w:val="multilevel"/>
    <w:tmpl w:val="39913047"/>
    <w:lvl w:ilvl="0">
      <w:start w:val="1"/>
      <w:numFmt w:val="decimal"/>
      <w:lvlText w:val="%1"/>
      <w:lvlJc w:val="left"/>
      <w:pPr>
        <w:ind w:left="0" w:firstLine="57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AB82C6D"/>
    <w:multiLevelType w:val="multilevel"/>
    <w:tmpl w:val="7AB82C6D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B3"/>
    <w:rsid w:val="000F341D"/>
    <w:rsid w:val="00155172"/>
    <w:rsid w:val="001A62B3"/>
    <w:rsid w:val="003946B2"/>
    <w:rsid w:val="00396E2B"/>
    <w:rsid w:val="004F57F0"/>
    <w:rsid w:val="005E1156"/>
    <w:rsid w:val="007D3D92"/>
    <w:rsid w:val="00B528F6"/>
    <w:rsid w:val="00B60DBA"/>
    <w:rsid w:val="00B76A0B"/>
    <w:rsid w:val="00C40252"/>
    <w:rsid w:val="00DF54B8"/>
    <w:rsid w:val="00E4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4F295DD-AFCE-4D7F-8ECE-C32662EE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outlineLvl w:val="0"/>
    </w:pPr>
    <w:rPr>
      <w:rFonts w:ascii="Times New Roman" w:hAnsi="Times New Roman"/>
      <w:b/>
      <w:bCs/>
      <w:kern w:val="44"/>
      <w:sz w:val="32"/>
      <w:szCs w:val="44"/>
    </w:rPr>
  </w:style>
  <w:style w:type="paragraph" w:styleId="2">
    <w:name w:val="heading 2"/>
    <w:basedOn w:val="a"/>
    <w:next w:val="a0"/>
    <w:link w:val="2Char"/>
    <w:unhideWhenUsed/>
    <w:qFormat/>
    <w:pPr>
      <w:keepNext/>
      <w:keepLines/>
      <w:outlineLvl w:val="1"/>
    </w:pPr>
    <w:rPr>
      <w:rFonts w:ascii="Times New Roman" w:hAnsi="Times New Roman"/>
      <w:b/>
      <w:bCs/>
      <w:sz w:val="30"/>
      <w:szCs w:val="32"/>
    </w:rPr>
  </w:style>
  <w:style w:type="paragraph" w:styleId="3">
    <w:name w:val="heading 3"/>
    <w:basedOn w:val="a"/>
    <w:next w:val="a0"/>
    <w:link w:val="3Char"/>
    <w:unhideWhenUsed/>
    <w:qFormat/>
    <w:pPr>
      <w:keepNext/>
      <w:keepLines/>
      <w:adjustRightInd w:val="0"/>
      <w:snapToGrid w:val="0"/>
      <w:outlineLvl w:val="2"/>
    </w:pPr>
    <w:rPr>
      <w:rFonts w:ascii="Times New Roman" w:hAnsi="Times New Roman"/>
      <w:b/>
      <w:bCs/>
      <w:sz w:val="28"/>
      <w:szCs w:val="32"/>
    </w:rPr>
  </w:style>
  <w:style w:type="paragraph" w:styleId="4">
    <w:name w:val="heading 4"/>
    <w:basedOn w:val="a"/>
    <w:next w:val="a"/>
    <w:link w:val="4Char"/>
    <w:unhideWhenUsed/>
    <w:qFormat/>
    <w:pPr>
      <w:keepNext/>
      <w:keepLines/>
      <w:outlineLvl w:val="3"/>
    </w:pPr>
    <w:rPr>
      <w:rFonts w:ascii="Times New Roman" w:hAnsi="Times New Roman" w:cstheme="majorBidi"/>
      <w:b/>
      <w:bCs/>
      <w:sz w:val="24"/>
      <w:szCs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rFonts w:ascii="Times New Roman" w:hAnsi="Times New Roman"/>
      <w:b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ind w:firstLineChars="200" w:firstLine="4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5">
    <w:name w:val="page number"/>
    <w:qFormat/>
  </w:style>
  <w:style w:type="character" w:customStyle="1" w:styleId="1Char">
    <w:name w:val="标题 1 Char"/>
    <w:basedOn w:val="a1"/>
    <w:link w:val="1"/>
    <w:qFormat/>
    <w:rPr>
      <w:rFonts w:ascii="Times New Roman" w:eastAsia="宋体" w:hAnsi="Times New Roman" w:cstheme="minorBidi"/>
      <w:b/>
      <w:bCs/>
      <w:kern w:val="44"/>
      <w:sz w:val="32"/>
      <w:szCs w:val="44"/>
    </w:rPr>
  </w:style>
  <w:style w:type="character" w:customStyle="1" w:styleId="2Char">
    <w:name w:val="标题 2 Char"/>
    <w:basedOn w:val="a1"/>
    <w:link w:val="2"/>
    <w:qFormat/>
    <w:rPr>
      <w:rFonts w:ascii="Times New Roman" w:eastAsia="宋体" w:hAnsi="Times New Roman" w:cstheme="minorBidi"/>
      <w:b/>
      <w:bCs/>
      <w:sz w:val="30"/>
      <w:szCs w:val="32"/>
    </w:rPr>
  </w:style>
  <w:style w:type="character" w:customStyle="1" w:styleId="3Char">
    <w:name w:val="标题 3 Char"/>
    <w:basedOn w:val="a1"/>
    <w:link w:val="3"/>
    <w:qFormat/>
    <w:rPr>
      <w:rFonts w:ascii="Times New Roman" w:eastAsia="宋体" w:hAnsi="Times New Roman" w:cstheme="minorBidi"/>
      <w:b/>
      <w:bCs/>
      <w:sz w:val="28"/>
      <w:szCs w:val="32"/>
    </w:rPr>
  </w:style>
  <w:style w:type="character" w:customStyle="1" w:styleId="4Char">
    <w:name w:val="标题 4 Char"/>
    <w:basedOn w:val="a1"/>
    <w:link w:val="4"/>
    <w:qFormat/>
    <w:rPr>
      <w:rFonts w:ascii="Times New Roman" w:eastAsia="宋体" w:hAnsi="Times New Roman" w:cstheme="majorBidi"/>
      <w:b/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543</Words>
  <Characters>3101</Characters>
  <Application>Microsoft Office Word</Application>
  <DocSecurity>0</DocSecurity>
  <Lines>25</Lines>
  <Paragraphs>7</Paragraphs>
  <ScaleCrop>false</ScaleCrop>
  <Company>P R C</Company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inconceivable</dc:creator>
  <cp:keywords/>
  <cp:lastModifiedBy>徐佳龙</cp:lastModifiedBy>
  <cp:revision>20</cp:revision>
  <dcterms:created xsi:type="dcterms:W3CDTF">2023-03-21T02:33:00Z</dcterms:created>
  <dcterms:modified xsi:type="dcterms:W3CDTF">2024-09-19T05:03:00Z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2052-11.28.1</vt:lpwstr>
  </property>
  <property fmtid="{D5CDD505-2E9C-101B-9397-08002B2CF9AE}" pid="3" name="ICV">
    <vt:lpwstr>B1D0E5522B83D9C800F00663F6EB92EE</vt:lpwstr>
  </property>
</Properties>
</file>