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365059">
      <w:pPr>
        <w:jc w:val="center"/>
        <w:outlineLvl w:val="0"/>
        <w:rPr>
          <w:rFonts w:hint="default" w:ascii="黑体" w:hAnsi="黑体" w:eastAsia="黑体" w:cs="黑体"/>
          <w:sz w:val="32"/>
          <w:szCs w:val="32"/>
          <w:lang w:eastAsia="zh-CN"/>
        </w:rPr>
      </w:pPr>
      <w:r>
        <w:rPr>
          <w:rFonts w:hint="eastAsia" w:ascii="黑体" w:hAnsi="黑体" w:eastAsia="黑体" w:cs="黑体"/>
          <w:sz w:val="32"/>
          <w:szCs w:val="32"/>
          <w:lang w:val="en-US" w:eastAsia="zh-CN"/>
        </w:rPr>
        <w:t>新乡博凯生物技术</w:t>
      </w:r>
      <w:r>
        <w:rPr>
          <w:rFonts w:hint="default" w:ascii="黑体" w:hAnsi="黑体" w:eastAsia="黑体" w:cs="黑体"/>
          <w:sz w:val="32"/>
          <w:szCs w:val="32"/>
          <w:lang w:val="en-US" w:eastAsia="zh-CN"/>
        </w:rPr>
        <w:t>有限公司</w:t>
      </w:r>
    </w:p>
    <w:p w14:paraId="27F67E76">
      <w:pPr>
        <w:jc w:val="center"/>
        <w:outlineLvl w:val="0"/>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金银花深加工产业改扩建</w:t>
      </w:r>
      <w:r>
        <w:rPr>
          <w:rFonts w:hint="default" w:ascii="黑体" w:hAnsi="黑体" w:eastAsia="黑体" w:cs="黑体"/>
          <w:sz w:val="32"/>
          <w:szCs w:val="32"/>
          <w:lang w:val="en-US" w:eastAsia="zh-CN"/>
        </w:rPr>
        <w:t>项目</w:t>
      </w:r>
    </w:p>
    <w:p w14:paraId="4CC56066">
      <w:pPr>
        <w:jc w:val="center"/>
        <w:outlineLvl w:val="0"/>
        <w:rPr>
          <w:rFonts w:hint="eastAsia" w:ascii="黑体" w:hAnsi="黑体" w:eastAsia="黑体" w:cs="黑体"/>
          <w:sz w:val="32"/>
          <w:szCs w:val="32"/>
        </w:rPr>
      </w:pPr>
      <w:r>
        <w:rPr>
          <w:rFonts w:hint="eastAsia" w:ascii="黑体" w:hAnsi="黑体" w:eastAsia="黑体" w:cs="黑体"/>
          <w:sz w:val="32"/>
          <w:szCs w:val="32"/>
        </w:rPr>
        <w:t>竣工环境保护验收意见</w:t>
      </w:r>
    </w:p>
    <w:p w14:paraId="6F638981">
      <w:pPr>
        <w:jc w:val="center"/>
        <w:outlineLvl w:val="0"/>
        <w:rPr>
          <w:rFonts w:hint="eastAsia" w:ascii="黑体" w:hAnsi="黑体" w:eastAsia="黑体" w:cs="黑体"/>
          <w:sz w:val="32"/>
          <w:szCs w:val="32"/>
        </w:rPr>
      </w:pPr>
    </w:p>
    <w:p w14:paraId="3F6AE018">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2024年</w:t>
      </w:r>
      <w:r>
        <w:rPr>
          <w:rFonts w:hint="eastAsia" w:ascii="Times New Roman" w:hAnsi="Times New Roman" w:eastAsia="宋体" w:cs="Times New Roman"/>
          <w:color w:val="171717"/>
          <w:sz w:val="24"/>
          <w:szCs w:val="24"/>
          <w:lang w:val="en-US" w:eastAsia="zh-CN"/>
        </w:rPr>
        <w:t>10</w:t>
      </w:r>
      <w:r>
        <w:rPr>
          <w:rFonts w:hint="default" w:ascii="Times New Roman" w:hAnsi="Times New Roman" w:eastAsia="宋体" w:cs="Times New Roman"/>
          <w:color w:val="171717"/>
          <w:sz w:val="24"/>
          <w:szCs w:val="24"/>
          <w:lang w:val="en-US" w:eastAsia="zh-CN"/>
        </w:rPr>
        <w:t>月</w:t>
      </w:r>
      <w:r>
        <w:rPr>
          <w:rFonts w:hint="eastAsia" w:ascii="Times New Roman" w:hAnsi="Times New Roman" w:eastAsia="宋体" w:cs="Times New Roman"/>
          <w:color w:val="171717"/>
          <w:sz w:val="24"/>
          <w:szCs w:val="24"/>
          <w:lang w:val="en-US" w:eastAsia="zh-CN"/>
        </w:rPr>
        <w:t>25</w:t>
      </w:r>
      <w:r>
        <w:rPr>
          <w:rFonts w:hint="default" w:ascii="Times New Roman" w:hAnsi="Times New Roman" w:eastAsia="宋体" w:cs="Times New Roman"/>
          <w:color w:val="171717"/>
          <w:sz w:val="24"/>
          <w:szCs w:val="24"/>
          <w:lang w:val="en-US" w:eastAsia="zh-CN"/>
        </w:rPr>
        <w:t>日，</w:t>
      </w:r>
      <w:r>
        <w:rPr>
          <w:rFonts w:hint="eastAsia" w:ascii="Times New Roman" w:hAnsi="Times New Roman" w:eastAsia="宋体" w:cs="Times New Roman"/>
          <w:color w:val="171717"/>
          <w:sz w:val="24"/>
          <w:szCs w:val="24"/>
          <w:lang w:val="en-US" w:eastAsia="zh-CN"/>
        </w:rPr>
        <w:t>新乡博凯生物技术</w:t>
      </w:r>
      <w:r>
        <w:rPr>
          <w:rFonts w:hint="default" w:ascii="Times New Roman" w:hAnsi="Times New Roman" w:eastAsia="宋体" w:cs="Times New Roman"/>
          <w:color w:val="171717"/>
          <w:sz w:val="24"/>
          <w:szCs w:val="24"/>
          <w:lang w:val="en-US" w:eastAsia="zh-CN"/>
        </w:rPr>
        <w:t>有限公司</w:t>
      </w:r>
      <w:r>
        <w:rPr>
          <w:rFonts w:hint="eastAsia" w:ascii="Times New Roman" w:hAnsi="Times New Roman" w:eastAsia="宋体" w:cs="Times New Roman"/>
          <w:color w:val="171717"/>
          <w:sz w:val="24"/>
          <w:szCs w:val="24"/>
          <w:lang w:val="en-US" w:eastAsia="zh-CN"/>
        </w:rPr>
        <w:t>金银花深加工产业改扩建</w:t>
      </w:r>
      <w:r>
        <w:rPr>
          <w:rFonts w:hint="default" w:ascii="Times New Roman" w:hAnsi="Times New Roman" w:eastAsia="宋体" w:cs="Times New Roman"/>
          <w:color w:val="171717"/>
          <w:sz w:val="24"/>
          <w:szCs w:val="24"/>
          <w:lang w:val="en-US" w:eastAsia="zh-CN"/>
        </w:rPr>
        <w:t>项目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14:paraId="313E5245">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一、工程建设基本情况</w:t>
      </w:r>
    </w:p>
    <w:p w14:paraId="2DEC1D39">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（一）建设地点、规模、主要建设内容</w:t>
      </w:r>
    </w:p>
    <w:p w14:paraId="2BA8882F">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建设地点：</w:t>
      </w:r>
      <w:r>
        <w:rPr>
          <w:rFonts w:hint="eastAsia" w:ascii="Times New Roman" w:hAnsi="Times New Roman" w:eastAsia="宋体" w:cs="Times New Roman"/>
          <w:color w:val="171717"/>
          <w:sz w:val="24"/>
          <w:szCs w:val="24"/>
          <w:lang w:val="en-US" w:eastAsia="zh-CN"/>
        </w:rPr>
        <w:t>河南省新乡市封丘县工业路132号</w:t>
      </w:r>
    </w:p>
    <w:p w14:paraId="41CC275B">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建设性质：</w:t>
      </w:r>
      <w:r>
        <w:rPr>
          <w:rFonts w:hint="eastAsia" w:ascii="Times New Roman" w:hAnsi="Times New Roman" w:eastAsia="宋体" w:cs="Times New Roman"/>
          <w:color w:val="171717"/>
          <w:sz w:val="24"/>
          <w:szCs w:val="24"/>
          <w:lang w:val="en-US" w:eastAsia="zh-CN"/>
        </w:rPr>
        <w:t>改建</w:t>
      </w:r>
    </w:p>
    <w:p w14:paraId="73DAF51C">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产品、规模：</w:t>
      </w:r>
      <w:r>
        <w:rPr>
          <w:rFonts w:hint="eastAsia" w:ascii="Times New Roman" w:hAnsi="Times New Roman" w:eastAsia="宋体" w:cs="Times New Roman"/>
          <w:color w:val="171717"/>
          <w:sz w:val="24"/>
          <w:szCs w:val="24"/>
          <w:lang w:val="en-US" w:eastAsia="zh-CN"/>
        </w:rPr>
        <w:t>年产200万吨</w:t>
      </w:r>
      <w:r>
        <w:rPr>
          <w:rFonts w:hint="default" w:ascii="Times New Roman" w:hAnsi="Times New Roman" w:eastAsia="宋体" w:cs="Times New Roman"/>
          <w:color w:val="171717"/>
          <w:sz w:val="24"/>
          <w:szCs w:val="24"/>
          <w:lang w:val="en-US" w:eastAsia="zh-CN"/>
        </w:rPr>
        <w:t>中药提取物</w:t>
      </w:r>
      <w:r>
        <w:rPr>
          <w:rFonts w:hint="eastAsia" w:ascii="Times New Roman" w:hAnsi="Times New Roman" w:eastAsia="宋体" w:cs="Times New Roman"/>
          <w:color w:val="171717"/>
          <w:sz w:val="24"/>
          <w:szCs w:val="24"/>
          <w:lang w:val="en-US" w:eastAsia="zh-CN"/>
        </w:rPr>
        <w:t>（</w:t>
      </w:r>
      <w:r>
        <w:rPr>
          <w:rFonts w:hint="default" w:ascii="Times New Roman" w:hAnsi="Times New Roman" w:eastAsia="宋体" w:cs="Times New Roman"/>
          <w:color w:val="171717"/>
          <w:sz w:val="24"/>
          <w:szCs w:val="24"/>
          <w:lang w:val="en-US" w:eastAsia="zh-CN"/>
        </w:rPr>
        <w:t>其中金银花提取物125t/a，忍冬藤提取物40t/a，其他提取物35t/a</w:t>
      </w:r>
      <w:r>
        <w:rPr>
          <w:rFonts w:hint="eastAsia" w:ascii="Times New Roman" w:hAnsi="Times New Roman" w:eastAsia="宋体" w:cs="Times New Roman"/>
          <w:color w:val="171717"/>
          <w:sz w:val="24"/>
          <w:szCs w:val="24"/>
          <w:lang w:val="en-US" w:eastAsia="zh-CN"/>
        </w:rPr>
        <w:t>）</w:t>
      </w:r>
    </w:p>
    <w:p w14:paraId="07B425C8">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（二）建设过程及环保审批情况</w:t>
      </w:r>
    </w:p>
    <w:p w14:paraId="34A84BEB">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新乡博凯生物技术</w:t>
      </w:r>
      <w:r>
        <w:rPr>
          <w:rFonts w:hint="default" w:ascii="Times New Roman" w:hAnsi="Times New Roman" w:eastAsia="宋体" w:cs="Times New Roman"/>
          <w:color w:val="171717"/>
          <w:sz w:val="24"/>
          <w:szCs w:val="24"/>
          <w:lang w:val="en-US" w:eastAsia="zh-CN"/>
        </w:rPr>
        <w:t>有限公司</w:t>
      </w:r>
      <w:r>
        <w:rPr>
          <w:rFonts w:hint="eastAsia" w:ascii="Times New Roman" w:hAnsi="Times New Roman" w:eastAsia="宋体" w:cs="Times New Roman"/>
          <w:color w:val="171717"/>
          <w:sz w:val="24"/>
          <w:szCs w:val="24"/>
          <w:lang w:val="en-US" w:eastAsia="zh-CN"/>
        </w:rPr>
        <w:t>金银花深加工产业改扩建</w:t>
      </w:r>
      <w:r>
        <w:rPr>
          <w:rFonts w:hint="default" w:ascii="Times New Roman" w:hAnsi="Times New Roman" w:eastAsia="宋体" w:cs="Times New Roman"/>
          <w:color w:val="171717"/>
          <w:sz w:val="24"/>
          <w:szCs w:val="24"/>
          <w:lang w:val="en-US" w:eastAsia="zh-CN"/>
        </w:rPr>
        <w:t>项目位于</w:t>
      </w:r>
      <w:r>
        <w:rPr>
          <w:rFonts w:hint="eastAsia" w:ascii="Times New Roman" w:hAnsi="Times New Roman" w:eastAsia="宋体" w:cs="Times New Roman"/>
          <w:color w:val="171717"/>
          <w:sz w:val="24"/>
          <w:szCs w:val="24"/>
          <w:lang w:val="en-US" w:eastAsia="zh-CN"/>
        </w:rPr>
        <w:t>河南省新乡市封丘县工业路132号</w:t>
      </w:r>
      <w:r>
        <w:rPr>
          <w:rFonts w:hint="default" w:ascii="Times New Roman" w:hAnsi="Times New Roman" w:eastAsia="宋体" w:cs="Times New Roman"/>
          <w:color w:val="171717"/>
          <w:sz w:val="24"/>
          <w:szCs w:val="24"/>
          <w:lang w:val="en-US" w:eastAsia="zh-CN"/>
        </w:rPr>
        <w:t>，</w:t>
      </w:r>
      <w:r>
        <w:rPr>
          <w:rFonts w:hint="eastAsia" w:ascii="Times New Roman" w:hAnsi="Times New Roman" w:eastAsia="宋体" w:cs="Times New Roman"/>
          <w:color w:val="171717"/>
          <w:sz w:val="24"/>
          <w:szCs w:val="24"/>
          <w:lang w:val="en-US" w:eastAsia="zh-CN"/>
        </w:rPr>
        <w:t>全厂占地面积为27412m2，</w:t>
      </w:r>
      <w:r>
        <w:rPr>
          <w:rFonts w:hint="default" w:ascii="Times New Roman" w:hAnsi="Times New Roman" w:eastAsia="宋体" w:cs="Times New Roman"/>
          <w:color w:val="171717"/>
          <w:sz w:val="24"/>
          <w:szCs w:val="24"/>
          <w:lang w:val="en-US" w:eastAsia="zh-CN"/>
        </w:rPr>
        <w:t>该项目于202</w:t>
      </w:r>
      <w:r>
        <w:rPr>
          <w:rFonts w:hint="eastAsia" w:ascii="Times New Roman" w:hAnsi="Times New Roman" w:eastAsia="宋体" w:cs="Times New Roman"/>
          <w:color w:val="171717"/>
          <w:sz w:val="24"/>
          <w:szCs w:val="24"/>
          <w:lang w:val="en-US" w:eastAsia="zh-CN"/>
        </w:rPr>
        <w:t>2</w:t>
      </w:r>
      <w:r>
        <w:rPr>
          <w:rFonts w:hint="default" w:ascii="Times New Roman" w:hAnsi="Times New Roman" w:eastAsia="宋体" w:cs="Times New Roman"/>
          <w:color w:val="171717"/>
          <w:sz w:val="24"/>
          <w:szCs w:val="24"/>
          <w:lang w:val="en-US" w:eastAsia="zh-CN"/>
        </w:rPr>
        <w:t>年</w:t>
      </w:r>
      <w:r>
        <w:rPr>
          <w:rFonts w:hint="eastAsia" w:ascii="Times New Roman" w:hAnsi="Times New Roman" w:eastAsia="宋体" w:cs="Times New Roman"/>
          <w:color w:val="171717"/>
          <w:sz w:val="24"/>
          <w:szCs w:val="24"/>
          <w:lang w:val="en-US" w:eastAsia="zh-CN"/>
        </w:rPr>
        <w:t>03</w:t>
      </w:r>
      <w:r>
        <w:rPr>
          <w:rFonts w:hint="default" w:ascii="Times New Roman" w:hAnsi="Times New Roman" w:eastAsia="宋体" w:cs="Times New Roman"/>
          <w:color w:val="171717"/>
          <w:sz w:val="24"/>
          <w:szCs w:val="24"/>
          <w:lang w:val="en-US" w:eastAsia="zh-CN"/>
        </w:rPr>
        <w:t>月2</w:t>
      </w:r>
      <w:r>
        <w:rPr>
          <w:rFonts w:hint="eastAsia" w:ascii="Times New Roman" w:hAnsi="Times New Roman" w:eastAsia="宋体" w:cs="Times New Roman"/>
          <w:color w:val="171717"/>
          <w:sz w:val="24"/>
          <w:szCs w:val="24"/>
          <w:lang w:val="en-US" w:eastAsia="zh-CN"/>
        </w:rPr>
        <w:t>2</w:t>
      </w:r>
      <w:r>
        <w:rPr>
          <w:rFonts w:hint="default" w:ascii="Times New Roman" w:hAnsi="Times New Roman" w:eastAsia="宋体" w:cs="Times New Roman"/>
          <w:color w:val="171717"/>
          <w:sz w:val="24"/>
          <w:szCs w:val="24"/>
          <w:lang w:val="en-US" w:eastAsia="zh-CN"/>
        </w:rPr>
        <w:t>日得到封丘县环境保护局的批复，批复文号为</w:t>
      </w:r>
      <w:r>
        <w:rPr>
          <w:rFonts w:hint="eastAsia" w:ascii="Times New Roman" w:hAnsi="Times New Roman" w:eastAsia="宋体" w:cs="Times New Roman"/>
          <w:color w:val="171717"/>
          <w:sz w:val="24"/>
          <w:szCs w:val="24"/>
          <w:lang w:val="en-US" w:eastAsia="zh-CN"/>
        </w:rPr>
        <w:t>封环表审〔2022〕06号</w:t>
      </w:r>
      <w:r>
        <w:rPr>
          <w:rFonts w:hint="default" w:ascii="Times New Roman" w:hAnsi="Times New Roman" w:eastAsia="宋体" w:cs="Times New Roman"/>
          <w:color w:val="171717"/>
          <w:sz w:val="24"/>
          <w:szCs w:val="24"/>
          <w:lang w:val="en-US" w:eastAsia="zh-CN"/>
        </w:rPr>
        <w:t>。</w:t>
      </w:r>
    </w:p>
    <w:p w14:paraId="74689F2C">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（三）投资情况</w:t>
      </w:r>
    </w:p>
    <w:p w14:paraId="1C0AD6FC">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新乡博凯生物技术</w:t>
      </w:r>
      <w:r>
        <w:rPr>
          <w:rFonts w:hint="default" w:ascii="Times New Roman" w:hAnsi="Times New Roman" w:eastAsia="宋体" w:cs="Times New Roman"/>
          <w:color w:val="171717"/>
          <w:sz w:val="24"/>
          <w:szCs w:val="24"/>
          <w:lang w:val="en-US" w:eastAsia="zh-CN"/>
        </w:rPr>
        <w:t>有限公司</w:t>
      </w:r>
      <w:r>
        <w:rPr>
          <w:rFonts w:hint="eastAsia" w:ascii="Times New Roman" w:hAnsi="Times New Roman" w:eastAsia="宋体" w:cs="Times New Roman"/>
          <w:color w:val="171717"/>
          <w:sz w:val="24"/>
          <w:szCs w:val="24"/>
          <w:lang w:val="en-US" w:eastAsia="zh-CN"/>
        </w:rPr>
        <w:t>金银花深加工产业改扩建</w:t>
      </w:r>
      <w:r>
        <w:rPr>
          <w:rFonts w:hint="default" w:ascii="Times New Roman" w:hAnsi="Times New Roman" w:eastAsia="宋体" w:cs="Times New Roman"/>
          <w:color w:val="171717"/>
          <w:sz w:val="24"/>
          <w:szCs w:val="24"/>
          <w:lang w:val="en-US" w:eastAsia="zh-CN"/>
        </w:rPr>
        <w:t>项目总投资为</w:t>
      </w:r>
      <w:r>
        <w:rPr>
          <w:rFonts w:hint="eastAsia" w:ascii="Times New Roman" w:hAnsi="Times New Roman" w:eastAsia="宋体" w:cs="Times New Roman"/>
          <w:color w:val="171717"/>
          <w:sz w:val="24"/>
          <w:szCs w:val="24"/>
          <w:lang w:val="en-US" w:eastAsia="zh-CN"/>
        </w:rPr>
        <w:t>3</w:t>
      </w:r>
      <w:r>
        <w:rPr>
          <w:rFonts w:hint="default" w:ascii="Times New Roman" w:hAnsi="Times New Roman" w:eastAsia="宋体" w:cs="Times New Roman"/>
          <w:color w:val="171717"/>
          <w:sz w:val="24"/>
          <w:szCs w:val="24"/>
          <w:lang w:val="en-US" w:eastAsia="zh-CN"/>
        </w:rPr>
        <w:t>000万元，环保投资为15万元，占总投资的0.</w:t>
      </w:r>
      <w:r>
        <w:rPr>
          <w:rFonts w:hint="eastAsia" w:ascii="Times New Roman" w:hAnsi="Times New Roman" w:eastAsia="宋体" w:cs="Times New Roman"/>
          <w:color w:val="171717"/>
          <w:sz w:val="24"/>
          <w:szCs w:val="24"/>
          <w:lang w:val="en-US" w:eastAsia="zh-CN"/>
        </w:rPr>
        <w:t>5</w:t>
      </w:r>
      <w:r>
        <w:rPr>
          <w:rFonts w:hint="default" w:ascii="Times New Roman" w:hAnsi="Times New Roman" w:eastAsia="宋体" w:cs="Times New Roman"/>
          <w:color w:val="171717"/>
          <w:sz w:val="24"/>
          <w:szCs w:val="24"/>
          <w:lang w:val="en-US" w:eastAsia="zh-CN"/>
        </w:rPr>
        <w:t>％。</w:t>
      </w:r>
    </w:p>
    <w:p w14:paraId="2E7D5FF4">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（四）验收范围</w:t>
      </w:r>
    </w:p>
    <w:p w14:paraId="5F3F3FF9">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本次验收范围为</w:t>
      </w:r>
      <w:r>
        <w:rPr>
          <w:rFonts w:hint="eastAsia" w:ascii="Times New Roman" w:hAnsi="Times New Roman" w:eastAsia="宋体" w:cs="Times New Roman"/>
          <w:color w:val="171717"/>
          <w:sz w:val="24"/>
          <w:szCs w:val="24"/>
          <w:lang w:val="en-US" w:eastAsia="zh-CN"/>
        </w:rPr>
        <w:t>新乡博凯生物技术</w:t>
      </w:r>
      <w:r>
        <w:rPr>
          <w:rFonts w:hint="default" w:ascii="Times New Roman" w:hAnsi="Times New Roman" w:eastAsia="宋体" w:cs="Times New Roman"/>
          <w:color w:val="171717"/>
          <w:sz w:val="24"/>
          <w:szCs w:val="24"/>
          <w:lang w:val="en-US" w:eastAsia="zh-CN"/>
        </w:rPr>
        <w:t>有限公司</w:t>
      </w:r>
      <w:r>
        <w:rPr>
          <w:rFonts w:hint="eastAsia" w:ascii="Times New Roman" w:hAnsi="Times New Roman" w:eastAsia="宋体" w:cs="Times New Roman"/>
          <w:color w:val="171717"/>
          <w:sz w:val="24"/>
          <w:szCs w:val="24"/>
          <w:lang w:val="en-US" w:eastAsia="zh-CN"/>
        </w:rPr>
        <w:t>金银花深加工产业改扩建</w:t>
      </w:r>
      <w:r>
        <w:rPr>
          <w:rFonts w:hint="default" w:ascii="Times New Roman" w:hAnsi="Times New Roman" w:eastAsia="宋体" w:cs="Times New Roman"/>
          <w:color w:val="171717"/>
          <w:sz w:val="24"/>
          <w:szCs w:val="24"/>
          <w:lang w:val="en-US" w:eastAsia="zh-CN"/>
        </w:rPr>
        <w:t>项目的项目主体工程、储运工程、辅助公用工程、应采取的环保措施，以及项目所涉及的环境影响、管理制度等环境保护措施的落实情况。</w:t>
      </w:r>
    </w:p>
    <w:p w14:paraId="0EC0F6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二、工程变更情况</w:t>
      </w:r>
    </w:p>
    <w:p w14:paraId="41B7E833">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根据现场勘查，本项目无重大变动。</w:t>
      </w:r>
    </w:p>
    <w:p w14:paraId="4D1B3D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三、环境保护设施建设情况</w:t>
      </w:r>
    </w:p>
    <w:p w14:paraId="3B1FCB5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废气</w:t>
      </w:r>
    </w:p>
    <w:p w14:paraId="1B3C81A9">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本项目废气主要为喷雾干燥废气、污水处理站废气及固废暂存废气。</w:t>
      </w:r>
    </w:p>
    <w:p w14:paraId="03B0FF1A">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经验收现场勘踏检查：</w:t>
      </w:r>
    </w:p>
    <w:p w14:paraId="4662642B">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1）喷雾干燥废气</w:t>
      </w:r>
    </w:p>
    <w:p w14:paraId="58FE1A81">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default"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本项目提取物浓缩液进入喷雾干燥塔内，大部分浓缩液干燥成粉末从喷雾干燥塔底部排出成为成品，上行热风中含有部分产品，该部分废气（主要为水蒸气和颗粒物）经两级旋风除尘器+水喷淋塔处理后由15m高排气筒（DA004）排放，少部分产品未能被收集，作为颗粒物排放到大气环境中。</w:t>
      </w:r>
    </w:p>
    <w:p w14:paraId="0B46DE49">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扩建工程包括金银花提取物、忍冬藤提取物等，根据企业提供资料，新增提取物合计200t/a。技改扩建后，较现有工程仅取消醇沉工序，取消醇沉工序后，不再产生多糖，则原醇沉工序中与乙醇结合成为多糖的产品变为大部分干燥成粉状从喷雾干燥塔底部排出，小部分进入上行热风中，后者与热风中的产品总量相比较少，因此取消醇沉后污染物排放浓度变化不大。</w:t>
      </w:r>
    </w:p>
    <w:p w14:paraId="51B951EB">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2）污水处理站废气</w:t>
      </w:r>
    </w:p>
    <w:p w14:paraId="1327020A">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本项目废水依托厂内污水处理站处理，</w:t>
      </w:r>
      <w:r>
        <w:rPr>
          <w:rFonts w:hint="default" w:ascii="Times New Roman" w:hAnsi="Times New Roman" w:cs="Times New Roman"/>
          <w:color w:val="171717"/>
          <w:sz w:val="24"/>
          <w:szCs w:val="24"/>
          <w:lang w:val="en-US" w:eastAsia="zh-CN"/>
        </w:rPr>
        <w:t>主要设备构筑物均为密闭，污水处理站运营过程中恶臭气体产生量很小，</w:t>
      </w:r>
      <w:r>
        <w:rPr>
          <w:rFonts w:hint="eastAsia" w:ascii="Times New Roman" w:hAnsi="Times New Roman" w:cs="Times New Roman"/>
          <w:color w:val="171717"/>
          <w:sz w:val="24"/>
          <w:szCs w:val="24"/>
          <w:lang w:val="en-US" w:eastAsia="zh-CN"/>
        </w:rPr>
        <w:t>现有工程污水处理站废气于2021年8月进行技术改造，</w:t>
      </w:r>
      <w:r>
        <w:rPr>
          <w:rFonts w:hint="default" w:ascii="Times New Roman" w:hAnsi="Times New Roman" w:cs="Times New Roman"/>
          <w:color w:val="171717"/>
          <w:sz w:val="24"/>
          <w:szCs w:val="24"/>
          <w:lang w:val="en-US" w:eastAsia="zh-CN"/>
        </w:rPr>
        <w:t>投放除臭剂</w:t>
      </w:r>
      <w:r>
        <w:rPr>
          <w:rFonts w:hint="eastAsia" w:ascii="Times New Roman" w:hAnsi="Times New Roman" w:cs="Times New Roman"/>
          <w:color w:val="171717"/>
          <w:sz w:val="24"/>
          <w:szCs w:val="24"/>
          <w:lang w:val="en-US" w:eastAsia="zh-CN"/>
        </w:rPr>
        <w:t>，废气经水喷淋处理后由15m高排气筒排出</w:t>
      </w:r>
      <w:r>
        <w:rPr>
          <w:rFonts w:hint="default" w:ascii="Times New Roman" w:hAnsi="Times New Roman" w:cs="Times New Roman"/>
          <w:color w:val="171717"/>
          <w:sz w:val="24"/>
          <w:szCs w:val="24"/>
          <w:lang w:val="en-US" w:eastAsia="zh-CN"/>
        </w:rPr>
        <w:t>。</w:t>
      </w:r>
    </w:p>
    <w:p w14:paraId="4E52810A">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3）固废暂存废气</w:t>
      </w:r>
    </w:p>
    <w:p w14:paraId="46E230B1">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本项目过滤药渣存放于固废暂存间中，存放过程会产生恶臭气体，现有工程采用投放除臭剂，废气经水喷淋处理后由15m高排气筒排放。固废暂存间的废气主要为过滤药渣产生的恶臭气体，废气处理设施正常运行的情况下，过滤药渣增多时臭气浓度基本不发生变化。</w:t>
      </w:r>
    </w:p>
    <w:p w14:paraId="1F44E3D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废水</w:t>
      </w:r>
    </w:p>
    <w:p w14:paraId="64499DA1">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default" w:ascii="Times New Roman" w:hAnsi="Times New Roman" w:cs="Times New Roman"/>
          <w:color w:val="171717"/>
          <w:sz w:val="24"/>
          <w:szCs w:val="24"/>
          <w:lang w:val="en-US" w:eastAsia="zh-CN"/>
        </w:rPr>
        <w:t>本项目废水主要为</w:t>
      </w:r>
      <w:r>
        <w:rPr>
          <w:rFonts w:hint="eastAsia" w:ascii="Times New Roman" w:hAnsi="Times New Roman" w:cs="Times New Roman"/>
          <w:color w:val="171717"/>
          <w:sz w:val="24"/>
          <w:szCs w:val="24"/>
          <w:lang w:val="en-US" w:eastAsia="zh-CN"/>
        </w:rPr>
        <w:t>生活污水、蒸发冷凝水、设备清洗废水和地面清洗废水</w:t>
      </w:r>
      <w:r>
        <w:rPr>
          <w:rFonts w:hint="default" w:ascii="Times New Roman" w:hAnsi="Times New Roman" w:cs="Times New Roman"/>
          <w:color w:val="171717"/>
          <w:sz w:val="24"/>
          <w:szCs w:val="24"/>
          <w:lang w:val="en-US" w:eastAsia="zh-CN"/>
        </w:rPr>
        <w:t>。</w:t>
      </w:r>
    </w:p>
    <w:p w14:paraId="7EC10D12">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经过验收现场踏勘检查：</w:t>
      </w:r>
    </w:p>
    <w:p w14:paraId="1863C87D">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cs="Times New Roman"/>
          <w:color w:val="171717"/>
          <w:sz w:val="24"/>
          <w:szCs w:val="24"/>
          <w:lang w:val="en-US" w:eastAsia="zh-CN"/>
        </w:rPr>
        <w:t>1）</w:t>
      </w:r>
      <w:r>
        <w:rPr>
          <w:rFonts w:hint="eastAsia" w:ascii="Times New Roman" w:hAnsi="Times New Roman" w:cs="Times New Roman"/>
          <w:color w:val="171717"/>
          <w:sz w:val="24"/>
          <w:szCs w:val="24"/>
          <w:lang w:val="en-US" w:eastAsia="zh-CN"/>
        </w:rPr>
        <w:t>生活污水</w:t>
      </w:r>
    </w:p>
    <w:p w14:paraId="2451D02A">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本项目不新增员工，从现有工程调配，不新增生活污水。</w:t>
      </w:r>
    </w:p>
    <w:p w14:paraId="296AAEB7">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cs="Times New Roman"/>
          <w:color w:val="171717"/>
          <w:sz w:val="24"/>
          <w:szCs w:val="24"/>
          <w:lang w:val="en-US" w:eastAsia="zh-CN"/>
        </w:rPr>
        <w:t>2）</w:t>
      </w:r>
      <w:r>
        <w:rPr>
          <w:rFonts w:hint="eastAsia" w:ascii="Times New Roman" w:hAnsi="Times New Roman" w:cs="Times New Roman"/>
          <w:color w:val="171717"/>
          <w:sz w:val="24"/>
          <w:szCs w:val="24"/>
          <w:lang w:val="en-US" w:eastAsia="zh-CN"/>
        </w:rPr>
        <w:t>设备清洗废水</w:t>
      </w:r>
    </w:p>
    <w:p w14:paraId="3F6111D1">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根据企业提供资料，设备每天清洗1次，每次清洗用水量约3t，则设备清洗用水量为900t/a，清洗废水排放系数按0.9计，则设备清洗废水产生量为810t/a。类比现有工程及同行业企业，主要污染物浓度为COD 2000mg/L、SS 1000mg/L、BOD5 1000mg/L、氨氮180mg/L。</w:t>
      </w:r>
    </w:p>
    <w:p w14:paraId="420C5D82">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cs="Times New Roman"/>
          <w:color w:val="171717"/>
          <w:sz w:val="24"/>
          <w:szCs w:val="24"/>
          <w:lang w:val="en-US" w:eastAsia="zh-CN"/>
        </w:rPr>
        <w:t>3）</w:t>
      </w:r>
      <w:r>
        <w:rPr>
          <w:rFonts w:hint="eastAsia" w:ascii="Times New Roman" w:hAnsi="Times New Roman" w:cs="Times New Roman"/>
          <w:color w:val="171717"/>
          <w:sz w:val="24"/>
          <w:szCs w:val="24"/>
          <w:lang w:val="en-US" w:eastAsia="zh-CN"/>
        </w:rPr>
        <w:t>地面清洗废水</w:t>
      </w:r>
    </w:p>
    <w:p w14:paraId="0F5601E3">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本项目为中药饮片生产，对卫生要求相对较高，需每天对地面进行拖洗，本项目扩建生产车间面积为3300m</w:t>
      </w:r>
      <w:r>
        <w:rPr>
          <w:rFonts w:hint="eastAsia" w:ascii="Times New Roman" w:hAnsi="Times New Roman" w:cs="Times New Roman"/>
          <w:color w:val="171717"/>
          <w:sz w:val="24"/>
          <w:szCs w:val="24"/>
          <w:vertAlign w:val="superscript"/>
          <w:lang w:val="en-US" w:eastAsia="zh-CN"/>
        </w:rPr>
        <w:t>2</w:t>
      </w:r>
      <w:r>
        <w:rPr>
          <w:rFonts w:hint="eastAsia" w:ascii="Times New Roman" w:hAnsi="Times New Roman" w:cs="Times New Roman"/>
          <w:color w:val="171717"/>
          <w:sz w:val="24"/>
          <w:szCs w:val="24"/>
          <w:lang w:val="en-US" w:eastAsia="zh-CN"/>
        </w:rPr>
        <w:t>，类比现有工程，地面清洗废水产生量为360t/a。清洗废水排放系数按0.9计，车间地面清洗废水排放量324t/a。类比现有工程及同行业企业，主要污染物浓度为COD 200mg/L、SS 300mg/L、BOD5 80mg/L、氨氮50mg/L。</w:t>
      </w:r>
    </w:p>
    <w:p w14:paraId="057F8759">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cs="Times New Roman"/>
          <w:color w:val="171717"/>
          <w:sz w:val="24"/>
          <w:szCs w:val="24"/>
          <w:lang w:val="en-US" w:eastAsia="zh-CN"/>
        </w:rPr>
        <w:t>4）</w:t>
      </w:r>
      <w:r>
        <w:rPr>
          <w:rFonts w:hint="eastAsia" w:ascii="Times New Roman" w:hAnsi="Times New Roman" w:cs="Times New Roman"/>
          <w:color w:val="171717"/>
          <w:sz w:val="24"/>
          <w:szCs w:val="24"/>
          <w:lang w:val="en-US" w:eastAsia="zh-CN"/>
        </w:rPr>
        <w:t>蒸发冷凝水</w:t>
      </w:r>
    </w:p>
    <w:p w14:paraId="1DBC1334">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根据物料平衡分析，蒸发冷凝水产生量为13306t/a，因蒸发冷凝水相对洁净，回用于提取工序。</w:t>
      </w:r>
    </w:p>
    <w:p w14:paraId="28FEE5E4">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cs="Times New Roman"/>
          <w:color w:val="171717"/>
          <w:sz w:val="24"/>
          <w:szCs w:val="24"/>
          <w:lang w:val="en-US" w:eastAsia="zh-CN"/>
        </w:rPr>
      </w:pPr>
      <w:r>
        <w:rPr>
          <w:rFonts w:hint="eastAsia" w:cs="Times New Roman"/>
          <w:color w:val="171717"/>
          <w:sz w:val="24"/>
          <w:szCs w:val="24"/>
          <w:lang w:val="en-US" w:eastAsia="zh-CN"/>
        </w:rPr>
        <w:t>5）污水处理站</w:t>
      </w:r>
    </w:p>
    <w:p w14:paraId="173BF3AB">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现有工程设备清洗废水、地面清洗废水、生活污水经厂内污水处理站处理后，经管网排入封丘县污水处理厂。本项目地面清洗废水、设备清洗废水依托现有工程污水处理站，经管网排入封丘县污水处理厂。</w:t>
      </w:r>
    </w:p>
    <w:p w14:paraId="4E5606CD">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cs="Times New Roman"/>
          <w:color w:val="171717"/>
          <w:sz w:val="24"/>
          <w:szCs w:val="24"/>
          <w:lang w:val="en-US" w:eastAsia="zh-CN"/>
        </w:rPr>
      </w:pPr>
      <w:r>
        <w:rPr>
          <w:rFonts w:hint="eastAsia" w:ascii="Times New Roman" w:hAnsi="Times New Roman" w:cs="Times New Roman"/>
          <w:color w:val="171717"/>
          <w:sz w:val="24"/>
          <w:szCs w:val="24"/>
          <w:lang w:val="en-US" w:eastAsia="zh-CN"/>
        </w:rPr>
        <w:t>项目污水处理站仅供本公司使用，根据现有工程环评报告及实际情况，现有工程实际废水产生量为9t/d，扩建工程废水产生量为1134t/a（3.78t/d），即本公司废水总产生量为12.78t/d，本公司污水处理站设计处理规模为50t/d，依托处理可行。</w:t>
      </w:r>
    </w:p>
    <w:p w14:paraId="408233E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噪声</w:t>
      </w:r>
    </w:p>
    <w:p w14:paraId="655BAB1A">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eastAsia="宋体" w:cs="Times New Roman"/>
          <w:color w:val="171717"/>
          <w:sz w:val="24"/>
          <w:szCs w:val="24"/>
          <w:lang w:val="en-US" w:eastAsia="zh-CN"/>
        </w:rPr>
      </w:pPr>
      <w:r>
        <w:rPr>
          <w:rFonts w:hint="default" w:ascii="Times New Roman" w:hAnsi="Times New Roman" w:cs="Times New Roman"/>
          <w:color w:val="171717"/>
          <w:sz w:val="24"/>
          <w:szCs w:val="24"/>
          <w:lang w:val="en-US" w:eastAsia="zh-CN"/>
        </w:rPr>
        <w:t>本项目</w:t>
      </w:r>
      <w:r>
        <w:rPr>
          <w:rFonts w:hint="eastAsia" w:ascii="Times New Roman" w:hAnsi="Times New Roman" w:cs="Times New Roman"/>
          <w:color w:val="171717"/>
          <w:sz w:val="24"/>
          <w:szCs w:val="24"/>
          <w:lang w:val="en-US" w:eastAsia="zh-CN"/>
        </w:rPr>
        <w:t>噪声</w:t>
      </w:r>
      <w:r>
        <w:rPr>
          <w:rFonts w:hint="eastAsia" w:ascii="Times New Roman" w:hAnsi="Times New Roman" w:eastAsia="宋体" w:cs="Times New Roman"/>
          <w:color w:val="171717"/>
          <w:sz w:val="24"/>
          <w:szCs w:val="24"/>
          <w:lang w:val="en-US" w:eastAsia="zh-CN"/>
        </w:rPr>
        <w:t>主要为</w:t>
      </w:r>
      <w:r>
        <w:rPr>
          <w:rFonts w:hint="default" w:ascii="Times New Roman" w:hAnsi="Times New Roman" w:eastAsia="宋体" w:cs="Times New Roman"/>
          <w:sz w:val="24"/>
          <w:szCs w:val="24"/>
          <w:lang w:val="en-US" w:eastAsia="zh-CN"/>
        </w:rPr>
        <w:t>设备运行噪声</w:t>
      </w:r>
      <w:r>
        <w:rPr>
          <w:rFonts w:hint="eastAsia" w:ascii="Times New Roman" w:hAnsi="Times New Roman" w:eastAsia="宋体" w:cs="Times New Roman"/>
          <w:color w:val="171717"/>
          <w:sz w:val="24"/>
          <w:szCs w:val="24"/>
          <w:lang w:val="en-US" w:eastAsia="zh-CN"/>
        </w:rPr>
        <w:t>。</w:t>
      </w:r>
    </w:p>
    <w:p w14:paraId="6D927F9C">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经验收现场勘踏检查：</w:t>
      </w:r>
    </w:p>
    <w:p w14:paraId="5425B755">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1）</w:t>
      </w:r>
      <w:r>
        <w:rPr>
          <w:rFonts w:hint="default" w:ascii="Times New Roman" w:hAnsi="Times New Roman" w:eastAsia="宋体" w:cs="Times New Roman"/>
          <w:color w:val="171717"/>
          <w:sz w:val="24"/>
          <w:szCs w:val="24"/>
          <w:lang w:val="en-US" w:eastAsia="zh-CN"/>
        </w:rPr>
        <w:t>选用低噪声设备，厂房密闭隔声</w:t>
      </w:r>
      <w:r>
        <w:rPr>
          <w:rFonts w:hint="eastAsia" w:ascii="Times New Roman" w:hAnsi="Times New Roman" w:eastAsia="宋体" w:cs="Times New Roman"/>
          <w:color w:val="171717"/>
          <w:sz w:val="24"/>
          <w:szCs w:val="24"/>
          <w:lang w:val="en-US" w:eastAsia="zh-CN"/>
        </w:rPr>
        <w:t>；</w:t>
      </w:r>
    </w:p>
    <w:p w14:paraId="4E53A967">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2</w:t>
      </w:r>
      <w:r>
        <w:rPr>
          <w:rFonts w:hint="default" w:ascii="Times New Roman" w:hAnsi="Times New Roman" w:eastAsia="宋体" w:cs="Times New Roman"/>
          <w:color w:val="171717"/>
          <w:sz w:val="24"/>
          <w:szCs w:val="24"/>
          <w:lang w:val="en-US" w:eastAsia="zh-CN"/>
        </w:rPr>
        <w:t>）针对噪声较高的设备安装</w:t>
      </w:r>
      <w:r>
        <w:rPr>
          <w:rFonts w:hint="eastAsia" w:cs="Times New Roman"/>
          <w:color w:val="171717"/>
          <w:sz w:val="24"/>
          <w:szCs w:val="24"/>
          <w:lang w:val="en-US" w:eastAsia="zh-CN"/>
        </w:rPr>
        <w:t>减振</w:t>
      </w:r>
      <w:r>
        <w:rPr>
          <w:rFonts w:hint="default" w:ascii="Times New Roman" w:hAnsi="Times New Roman" w:eastAsia="宋体" w:cs="Times New Roman"/>
          <w:color w:val="171717"/>
          <w:sz w:val="24"/>
          <w:szCs w:val="24"/>
          <w:lang w:val="en-US" w:eastAsia="zh-CN"/>
        </w:rPr>
        <w:t>垫，合理布置设备；</w:t>
      </w:r>
    </w:p>
    <w:p w14:paraId="4284DB5C">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3</w:t>
      </w:r>
      <w:r>
        <w:rPr>
          <w:rFonts w:hint="default" w:ascii="Times New Roman" w:hAnsi="Times New Roman" w:eastAsia="宋体" w:cs="Times New Roman"/>
          <w:color w:val="171717"/>
          <w:sz w:val="24"/>
          <w:szCs w:val="24"/>
          <w:lang w:val="en-US" w:eastAsia="zh-CN"/>
        </w:rPr>
        <w:t>）定期维护设备，避免老化引起的噪声，使其处于良好运行状态</w:t>
      </w:r>
      <w:r>
        <w:rPr>
          <w:rFonts w:hint="eastAsia" w:ascii="Times New Roman" w:hAnsi="Times New Roman" w:eastAsia="宋体" w:cs="Times New Roman"/>
          <w:color w:val="171717"/>
          <w:sz w:val="24"/>
          <w:szCs w:val="24"/>
          <w:lang w:val="en-US" w:eastAsia="zh-CN"/>
        </w:rPr>
        <w:t>。</w:t>
      </w:r>
    </w:p>
    <w:p w14:paraId="5000EF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固体废物</w:t>
      </w:r>
    </w:p>
    <w:p w14:paraId="1BC53BD4">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本次改建项目固体废物主要包括</w:t>
      </w:r>
      <w:r>
        <w:rPr>
          <w:rFonts w:hint="eastAsia" w:ascii="Times New Roman" w:hAnsi="Times New Roman" w:eastAsia="宋体" w:cs="Times New Roman"/>
          <w:color w:val="171717"/>
          <w:sz w:val="24"/>
          <w:szCs w:val="24"/>
          <w:lang w:val="en-US" w:eastAsia="zh-CN"/>
        </w:rPr>
        <w:t>过滤药渣、污水处理站污泥</w:t>
      </w:r>
      <w:r>
        <w:rPr>
          <w:rFonts w:hint="default" w:ascii="Times New Roman" w:hAnsi="Times New Roman" w:eastAsia="宋体" w:cs="Times New Roman"/>
          <w:color w:val="171717"/>
          <w:sz w:val="24"/>
          <w:szCs w:val="24"/>
          <w:lang w:val="en-US" w:eastAsia="zh-CN"/>
        </w:rPr>
        <w:t>。</w:t>
      </w:r>
    </w:p>
    <w:p w14:paraId="28F50B73">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经验收现场勘踏检查：</w:t>
      </w:r>
    </w:p>
    <w:p w14:paraId="17AAB642">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（1）</w:t>
      </w:r>
      <w:r>
        <w:rPr>
          <w:rFonts w:hint="eastAsia" w:ascii="Times New Roman" w:hAnsi="Times New Roman" w:eastAsia="宋体" w:cs="Times New Roman"/>
          <w:color w:val="171717"/>
          <w:sz w:val="24"/>
          <w:szCs w:val="24"/>
          <w:lang w:val="en-US" w:eastAsia="zh-CN"/>
        </w:rPr>
        <w:t>过滤药渣</w:t>
      </w:r>
    </w:p>
    <w:p w14:paraId="72C4EEA0">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本项目过滤工序会产生一定量的药渣，根据物料平衡，药渣产生量为2625t/a，近期存放于固废间，远期用于金银花生产基地施肥，含水率约66.7%，如果存放得当不会产生渗滤液。依托现有晒场临时堆放，场地四周已设置围堰，并设置防雨、防渗设施，远期用于金银花生产基地施肥。</w:t>
      </w:r>
    </w:p>
    <w:p w14:paraId="112D4023">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（2）污水处理站污泥：</w:t>
      </w:r>
    </w:p>
    <w:p w14:paraId="47278C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本项目污水处理站会产生一定量的污泥，类比现有工程，产生量约0.2t/a，于固废间暂存后外运用于施肥</w:t>
      </w:r>
      <w:r>
        <w:rPr>
          <w:rFonts w:hint="default" w:ascii="Times New Roman" w:hAnsi="Times New Roman" w:eastAsia="宋体" w:cs="Times New Roman"/>
          <w:sz w:val="24"/>
          <w:szCs w:val="24"/>
          <w:lang w:val="en-US" w:eastAsia="zh-CN"/>
        </w:rPr>
        <w:t>。</w:t>
      </w:r>
    </w:p>
    <w:p w14:paraId="6EE907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根据《</w:t>
      </w:r>
      <w:r>
        <w:rPr>
          <w:rFonts w:hint="eastAsia" w:ascii="Times New Roman" w:hAnsi="Times New Roman" w:eastAsia="宋体" w:cs="Times New Roman"/>
          <w:sz w:val="24"/>
          <w:szCs w:val="24"/>
          <w:lang w:val="en-US" w:eastAsia="zh-CN"/>
        </w:rPr>
        <w:t>新乡博凯生物技术</w:t>
      </w:r>
      <w:r>
        <w:rPr>
          <w:rFonts w:hint="default" w:ascii="Times New Roman" w:hAnsi="Times New Roman" w:eastAsia="宋体" w:cs="Times New Roman"/>
          <w:sz w:val="24"/>
          <w:szCs w:val="24"/>
          <w:lang w:val="en-US" w:eastAsia="zh-CN"/>
        </w:rPr>
        <w:t>有限公司</w:t>
      </w:r>
      <w:r>
        <w:rPr>
          <w:rFonts w:hint="eastAsia" w:ascii="Times New Roman" w:hAnsi="Times New Roman" w:eastAsia="宋体" w:cs="Times New Roman"/>
          <w:sz w:val="24"/>
          <w:szCs w:val="24"/>
          <w:lang w:val="en-US" w:eastAsia="zh-CN"/>
        </w:rPr>
        <w:t>金银花深加工产业改扩建</w:t>
      </w:r>
      <w:r>
        <w:rPr>
          <w:rFonts w:hint="default" w:ascii="Times New Roman" w:hAnsi="Times New Roman" w:eastAsia="宋体" w:cs="Times New Roman"/>
          <w:sz w:val="24"/>
          <w:szCs w:val="24"/>
          <w:lang w:val="en-US" w:eastAsia="zh-CN"/>
        </w:rPr>
        <w:t>项目</w:t>
      </w:r>
      <w:r>
        <w:rPr>
          <w:rFonts w:hint="default" w:ascii="Times New Roman" w:hAnsi="Times New Roman" w:eastAsia="宋体" w:cs="Times New Roman"/>
          <w:sz w:val="24"/>
          <w:szCs w:val="24"/>
          <w:lang w:val="en-US" w:eastAsia="zh-CN"/>
        </w:rPr>
        <w:t>竣工环境保护验收监测报告》，</w:t>
      </w:r>
      <w:r>
        <w:rPr>
          <w:rFonts w:hint="eastAsia" w:ascii="Times New Roman" w:hAnsi="Times New Roman" w:eastAsia="宋体" w:cs="Times New Roman"/>
          <w:sz w:val="24"/>
          <w:szCs w:val="24"/>
          <w:lang w:val="en-US" w:eastAsia="zh-CN"/>
        </w:rPr>
        <w:t>在</w:t>
      </w:r>
      <w:r>
        <w:rPr>
          <w:rFonts w:hint="default" w:ascii="Times New Roman" w:hAnsi="Times New Roman" w:eastAsia="宋体" w:cs="Times New Roman"/>
          <w:sz w:val="24"/>
          <w:szCs w:val="24"/>
          <w:lang w:val="en-US" w:eastAsia="zh-CN"/>
        </w:rPr>
        <w:t>监测期间，</w:t>
      </w:r>
      <w:r>
        <w:rPr>
          <w:rFonts w:hint="eastAsia" w:ascii="Times New Roman" w:hAnsi="Times New Roman" w:eastAsia="宋体" w:cs="Times New Roman"/>
          <w:sz w:val="24"/>
          <w:szCs w:val="24"/>
          <w:lang w:val="en-US" w:eastAsia="zh-CN"/>
        </w:rPr>
        <w:t>企业</w:t>
      </w:r>
      <w:r>
        <w:rPr>
          <w:rFonts w:hint="default" w:ascii="Times New Roman" w:hAnsi="Times New Roman" w:eastAsia="宋体" w:cs="Times New Roman"/>
          <w:sz w:val="24"/>
          <w:szCs w:val="24"/>
          <w:lang w:val="en-US" w:eastAsia="zh-CN"/>
        </w:rPr>
        <w:t>各环保设施运行正常，符合监测期间的工况要求。</w:t>
      </w:r>
    </w:p>
    <w:p w14:paraId="3E8BD2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（1）废气：</w:t>
      </w:r>
      <w:r>
        <w:rPr>
          <w:rFonts w:hint="eastAsia" w:ascii="Times New Roman" w:hAnsi="Times New Roman" w:eastAsia="宋体" w:cs="Times New Roman"/>
          <w:sz w:val="24"/>
          <w:szCs w:val="24"/>
          <w:lang w:val="en-US" w:eastAsia="zh-CN"/>
        </w:rPr>
        <w:t>验收监测期间，该公司</w:t>
      </w:r>
      <w:r>
        <w:rPr>
          <w:rFonts w:hint="default" w:ascii="Times New Roman" w:hAnsi="Times New Roman" w:eastAsia="宋体" w:cs="Times New Roman"/>
          <w:sz w:val="24"/>
          <w:szCs w:val="24"/>
          <w:lang w:val="en-US" w:eastAsia="zh-CN"/>
        </w:rPr>
        <w:t>干燥工序废气排气筒出口</w:t>
      </w:r>
      <w:r>
        <w:rPr>
          <w:rFonts w:hint="eastAsia" w:ascii="Times New Roman" w:hAnsi="Times New Roman" w:eastAsia="宋体" w:cs="Times New Roman"/>
          <w:sz w:val="24"/>
          <w:szCs w:val="24"/>
          <w:lang w:val="en-US" w:eastAsia="zh-CN"/>
        </w:rPr>
        <w:t>废气污染物颗粒物的有组织排放浓度在2.5-3.7mg/m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之间，能够达到</w:t>
      </w:r>
      <w:r>
        <w:rPr>
          <w:rFonts w:hint="default" w:ascii="Times New Roman" w:hAnsi="Times New Roman" w:eastAsia="宋体" w:cs="Times New Roman"/>
          <w:sz w:val="24"/>
          <w:szCs w:val="24"/>
          <w:lang w:val="en-US" w:eastAsia="zh-CN"/>
        </w:rPr>
        <w:t>《新乡市生态环境局关于进一步规范工业企业颗粒物放限值的通知》涉气工业企业排放口颗粒物排放浓度不高于10mg/m</w:t>
      </w:r>
      <w:r>
        <w:rPr>
          <w:rFonts w:hint="default"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的标准要求；该公司</w:t>
      </w:r>
      <w:r>
        <w:rPr>
          <w:rFonts w:hint="default" w:ascii="Times New Roman" w:hAnsi="Times New Roman" w:eastAsia="宋体" w:cs="Times New Roman"/>
          <w:sz w:val="24"/>
          <w:szCs w:val="24"/>
          <w:lang w:val="en-US" w:eastAsia="zh-CN"/>
        </w:rPr>
        <w:t>污水处理站废气排气筒进口</w:t>
      </w:r>
      <w:r>
        <w:rPr>
          <w:rFonts w:hint="eastAsia" w:ascii="Times New Roman" w:hAnsi="Times New Roman" w:eastAsia="宋体" w:cs="Times New Roman"/>
          <w:sz w:val="24"/>
          <w:szCs w:val="24"/>
          <w:lang w:val="en-US" w:eastAsia="zh-CN"/>
        </w:rPr>
        <w:t>废气污染物NH</w:t>
      </w:r>
      <w:r>
        <w:rPr>
          <w:rFonts w:hint="eastAsia" w:ascii="Times New Roman" w:hAnsi="Times New Roman" w:eastAsia="宋体" w:cs="Times New Roman"/>
          <w:sz w:val="24"/>
          <w:szCs w:val="24"/>
          <w:vertAlign w:val="subscript"/>
          <w:lang w:val="en-US" w:eastAsia="zh-CN"/>
        </w:rPr>
        <w:t>3</w:t>
      </w:r>
      <w:r>
        <w:rPr>
          <w:rFonts w:hint="eastAsia" w:ascii="Times New Roman" w:hAnsi="Times New Roman" w:eastAsia="宋体" w:cs="Times New Roman"/>
          <w:sz w:val="24"/>
          <w:szCs w:val="24"/>
          <w:lang w:val="en-US" w:eastAsia="zh-CN"/>
        </w:rPr>
        <w:t>的有组织排放浓度在0.051-0.055kg/h之间，能够达到《恶臭污染物综合排放标准》（</w:t>
      </w:r>
      <w:r>
        <w:rPr>
          <w:rFonts w:hint="default" w:ascii="Times New Roman" w:hAnsi="Times New Roman" w:eastAsia="宋体" w:cs="Times New Roman"/>
          <w:sz w:val="24"/>
          <w:szCs w:val="24"/>
          <w:lang w:val="en-US" w:eastAsia="zh-CN"/>
        </w:rPr>
        <w:t>GB14554-93</w:t>
      </w:r>
      <w:r>
        <w:rPr>
          <w:rFonts w:hint="eastAsia" w:ascii="Times New Roman" w:hAnsi="Times New Roman" w:eastAsia="宋体" w:cs="Times New Roman"/>
          <w:sz w:val="24"/>
          <w:szCs w:val="24"/>
          <w:lang w:val="en-US" w:eastAsia="zh-CN"/>
        </w:rPr>
        <w:t>）（15m高排气筒）NH</w:t>
      </w:r>
      <w:r>
        <w:rPr>
          <w:rFonts w:hint="eastAsia" w:ascii="Times New Roman" w:hAnsi="Times New Roman" w:eastAsia="宋体" w:cs="Times New Roman"/>
          <w:sz w:val="24"/>
          <w:szCs w:val="24"/>
          <w:vertAlign w:val="subscript"/>
          <w:lang w:val="en-US" w:eastAsia="zh-CN"/>
        </w:rPr>
        <w:t>3</w:t>
      </w:r>
      <w:r>
        <w:rPr>
          <w:rFonts w:hint="eastAsia" w:ascii="Times New Roman" w:hAnsi="Times New Roman" w:eastAsia="宋体" w:cs="Times New Roman"/>
          <w:sz w:val="24"/>
          <w:szCs w:val="24"/>
          <w:lang w:val="en-US" w:eastAsia="zh-CN"/>
        </w:rPr>
        <w:t>有组织排放速率</w:t>
      </w:r>
      <w:r>
        <w:rPr>
          <w:rFonts w:hint="default" w:ascii="Times New Roman" w:hAnsi="Times New Roman" w:eastAsia="宋体" w:cs="Times New Roman"/>
          <w:sz w:val="24"/>
          <w:szCs w:val="24"/>
          <w:lang w:val="en-US" w:eastAsia="zh-CN"/>
        </w:rPr>
        <w:t>4.9kg/h</w:t>
      </w:r>
      <w:r>
        <w:rPr>
          <w:rFonts w:hint="eastAsia" w:ascii="Times New Roman" w:hAnsi="Times New Roman" w:eastAsia="宋体" w:cs="Times New Roman"/>
          <w:sz w:val="24"/>
          <w:szCs w:val="24"/>
          <w:lang w:val="en-US" w:eastAsia="zh-CN"/>
        </w:rPr>
        <w:t>的标准要求；该公司</w:t>
      </w:r>
      <w:r>
        <w:rPr>
          <w:rFonts w:hint="default" w:ascii="Times New Roman" w:hAnsi="Times New Roman" w:eastAsia="宋体" w:cs="Times New Roman"/>
          <w:sz w:val="24"/>
          <w:szCs w:val="24"/>
          <w:lang w:val="en-US" w:eastAsia="zh-CN"/>
        </w:rPr>
        <w:t>污水处理站废气排气筒进口</w:t>
      </w:r>
      <w:r>
        <w:rPr>
          <w:rFonts w:hint="eastAsia" w:ascii="Times New Roman" w:hAnsi="Times New Roman" w:eastAsia="宋体" w:cs="Times New Roman"/>
          <w:sz w:val="24"/>
          <w:szCs w:val="24"/>
          <w:lang w:val="en-US" w:eastAsia="zh-CN"/>
        </w:rPr>
        <w:t>废气污染物硫化氢的有组织排放浓度在0.00879-0.011kg/h之间，能够达到《恶臭污染物综合排放标准》（</w:t>
      </w:r>
      <w:r>
        <w:rPr>
          <w:rFonts w:hint="default" w:ascii="Times New Roman" w:hAnsi="Times New Roman" w:eastAsia="宋体" w:cs="Times New Roman"/>
          <w:sz w:val="24"/>
          <w:szCs w:val="24"/>
          <w:lang w:val="en-US" w:eastAsia="zh-CN"/>
        </w:rPr>
        <w:t>GB14554-93</w:t>
      </w:r>
      <w:r>
        <w:rPr>
          <w:rFonts w:hint="eastAsia" w:ascii="Times New Roman" w:hAnsi="Times New Roman" w:eastAsia="宋体" w:cs="Times New Roman"/>
          <w:sz w:val="24"/>
          <w:szCs w:val="24"/>
          <w:lang w:val="en-US" w:eastAsia="zh-CN"/>
        </w:rPr>
        <w:t>）（15m高排气筒）硫化氢有组织排放速率0.33</w:t>
      </w:r>
      <w:r>
        <w:rPr>
          <w:rFonts w:hint="default" w:ascii="Times New Roman" w:hAnsi="Times New Roman" w:eastAsia="宋体" w:cs="Times New Roman"/>
          <w:sz w:val="24"/>
          <w:szCs w:val="24"/>
          <w:lang w:val="en-US" w:eastAsia="zh-CN"/>
        </w:rPr>
        <w:t>kg/h</w:t>
      </w:r>
      <w:r>
        <w:rPr>
          <w:rFonts w:hint="eastAsia" w:ascii="Times New Roman" w:hAnsi="Times New Roman" w:eastAsia="宋体" w:cs="Times New Roman"/>
          <w:sz w:val="24"/>
          <w:szCs w:val="24"/>
          <w:lang w:val="en-US" w:eastAsia="zh-CN"/>
        </w:rPr>
        <w:t>的标准要求；该公司</w:t>
      </w:r>
      <w:r>
        <w:rPr>
          <w:rFonts w:hint="default" w:ascii="Times New Roman" w:hAnsi="Times New Roman" w:eastAsia="宋体" w:cs="Times New Roman"/>
          <w:sz w:val="24"/>
          <w:szCs w:val="24"/>
          <w:lang w:val="en-US" w:eastAsia="zh-CN"/>
        </w:rPr>
        <w:t>污水处理站废气排气筒</w:t>
      </w:r>
      <w:r>
        <w:rPr>
          <w:rFonts w:hint="eastAsia" w:ascii="Times New Roman" w:hAnsi="Times New Roman" w:eastAsia="宋体" w:cs="Times New Roman"/>
          <w:sz w:val="24"/>
          <w:szCs w:val="24"/>
          <w:lang w:val="en-US" w:eastAsia="zh-CN"/>
        </w:rPr>
        <w:t>出</w:t>
      </w:r>
      <w:r>
        <w:rPr>
          <w:rFonts w:hint="default" w:ascii="Times New Roman" w:hAnsi="Times New Roman" w:eastAsia="宋体" w:cs="Times New Roman"/>
          <w:sz w:val="24"/>
          <w:szCs w:val="24"/>
          <w:lang w:val="en-US" w:eastAsia="zh-CN"/>
        </w:rPr>
        <w:t>口</w:t>
      </w:r>
      <w:r>
        <w:rPr>
          <w:rFonts w:hint="eastAsia" w:ascii="Times New Roman" w:hAnsi="Times New Roman" w:eastAsia="宋体" w:cs="Times New Roman"/>
          <w:sz w:val="24"/>
          <w:szCs w:val="24"/>
          <w:lang w:val="en-US" w:eastAsia="zh-CN"/>
        </w:rPr>
        <w:t>废气污染物NH</w:t>
      </w:r>
      <w:r>
        <w:rPr>
          <w:rFonts w:hint="eastAsia" w:ascii="Times New Roman" w:hAnsi="Times New Roman" w:eastAsia="宋体" w:cs="Times New Roman"/>
          <w:sz w:val="24"/>
          <w:szCs w:val="24"/>
          <w:vertAlign w:val="subscript"/>
          <w:lang w:val="en-US" w:eastAsia="zh-CN"/>
        </w:rPr>
        <w:t>3</w:t>
      </w:r>
      <w:r>
        <w:rPr>
          <w:rFonts w:hint="eastAsia" w:ascii="Times New Roman" w:hAnsi="Times New Roman" w:eastAsia="宋体" w:cs="Times New Roman"/>
          <w:sz w:val="24"/>
          <w:szCs w:val="24"/>
          <w:lang w:val="en-US" w:eastAsia="zh-CN"/>
        </w:rPr>
        <w:t>的有组织排放浓度在0.00807-0.00916kg/h之间，能够达到《恶臭污染物综合排放标准》（</w:t>
      </w:r>
      <w:r>
        <w:rPr>
          <w:rFonts w:hint="default" w:ascii="Times New Roman" w:hAnsi="Times New Roman" w:eastAsia="宋体" w:cs="Times New Roman"/>
          <w:sz w:val="24"/>
          <w:szCs w:val="24"/>
          <w:lang w:val="en-US" w:eastAsia="zh-CN"/>
        </w:rPr>
        <w:t>GB14554-93</w:t>
      </w:r>
      <w:r>
        <w:rPr>
          <w:rFonts w:hint="eastAsia" w:ascii="Times New Roman" w:hAnsi="Times New Roman" w:eastAsia="宋体" w:cs="Times New Roman"/>
          <w:sz w:val="24"/>
          <w:szCs w:val="24"/>
          <w:lang w:val="en-US" w:eastAsia="zh-CN"/>
        </w:rPr>
        <w:t>）（15m高排气筒）NH</w:t>
      </w:r>
      <w:r>
        <w:rPr>
          <w:rFonts w:hint="eastAsia" w:ascii="Times New Roman" w:hAnsi="Times New Roman" w:eastAsia="宋体" w:cs="Times New Roman"/>
          <w:sz w:val="24"/>
          <w:szCs w:val="24"/>
          <w:vertAlign w:val="subscript"/>
          <w:lang w:val="en-US" w:eastAsia="zh-CN"/>
        </w:rPr>
        <w:t>3</w:t>
      </w:r>
      <w:r>
        <w:rPr>
          <w:rFonts w:hint="eastAsia" w:ascii="Times New Roman" w:hAnsi="Times New Roman" w:eastAsia="宋体" w:cs="Times New Roman"/>
          <w:sz w:val="24"/>
          <w:szCs w:val="24"/>
          <w:lang w:val="en-US" w:eastAsia="zh-CN"/>
        </w:rPr>
        <w:t>有组织排放速率</w:t>
      </w:r>
      <w:r>
        <w:rPr>
          <w:rFonts w:hint="default" w:ascii="Times New Roman" w:hAnsi="Times New Roman" w:eastAsia="宋体" w:cs="Times New Roman"/>
          <w:sz w:val="24"/>
          <w:szCs w:val="24"/>
          <w:lang w:val="en-US" w:eastAsia="zh-CN"/>
        </w:rPr>
        <w:t>4.9kg/h</w:t>
      </w:r>
      <w:r>
        <w:rPr>
          <w:rFonts w:hint="eastAsia" w:ascii="Times New Roman" w:hAnsi="Times New Roman" w:eastAsia="宋体" w:cs="Times New Roman"/>
          <w:sz w:val="24"/>
          <w:szCs w:val="24"/>
          <w:lang w:val="en-US" w:eastAsia="zh-CN"/>
        </w:rPr>
        <w:t>的标准要求；该公司</w:t>
      </w:r>
      <w:r>
        <w:rPr>
          <w:rFonts w:hint="default" w:ascii="Times New Roman" w:hAnsi="Times New Roman" w:eastAsia="宋体" w:cs="Times New Roman"/>
          <w:sz w:val="24"/>
          <w:szCs w:val="24"/>
          <w:lang w:val="en-US" w:eastAsia="zh-CN"/>
        </w:rPr>
        <w:t>污水处理站废气排气筒</w:t>
      </w:r>
      <w:r>
        <w:rPr>
          <w:rFonts w:hint="eastAsia" w:ascii="Times New Roman" w:hAnsi="Times New Roman" w:eastAsia="宋体" w:cs="Times New Roman"/>
          <w:sz w:val="24"/>
          <w:szCs w:val="24"/>
          <w:lang w:val="en-US" w:eastAsia="zh-CN"/>
        </w:rPr>
        <w:t>出</w:t>
      </w:r>
      <w:r>
        <w:rPr>
          <w:rFonts w:hint="default" w:ascii="Times New Roman" w:hAnsi="Times New Roman" w:eastAsia="宋体" w:cs="Times New Roman"/>
          <w:sz w:val="24"/>
          <w:szCs w:val="24"/>
          <w:lang w:val="en-US" w:eastAsia="zh-CN"/>
        </w:rPr>
        <w:t>口</w:t>
      </w:r>
      <w:r>
        <w:rPr>
          <w:rFonts w:hint="eastAsia" w:ascii="Times New Roman" w:hAnsi="Times New Roman" w:eastAsia="宋体" w:cs="Times New Roman"/>
          <w:sz w:val="24"/>
          <w:szCs w:val="24"/>
          <w:lang w:val="en-US" w:eastAsia="zh-CN"/>
        </w:rPr>
        <w:t>废气污染物硫化氢的有组织排放浓度在0.00147-0.00189kg/h之间，能够达到《恶臭污染物综合排放标准》（</w:t>
      </w:r>
      <w:r>
        <w:rPr>
          <w:rFonts w:hint="default" w:ascii="Times New Roman" w:hAnsi="Times New Roman" w:eastAsia="宋体" w:cs="Times New Roman"/>
          <w:sz w:val="24"/>
          <w:szCs w:val="24"/>
          <w:lang w:val="en-US" w:eastAsia="zh-CN"/>
        </w:rPr>
        <w:t>GB14554-93</w:t>
      </w:r>
      <w:r>
        <w:rPr>
          <w:rFonts w:hint="eastAsia" w:ascii="Times New Roman" w:hAnsi="Times New Roman" w:eastAsia="宋体" w:cs="Times New Roman"/>
          <w:sz w:val="24"/>
          <w:szCs w:val="24"/>
          <w:lang w:val="en-US" w:eastAsia="zh-CN"/>
        </w:rPr>
        <w:t>）（15m高排气筒）硫化氢有组织排放速率0.33</w:t>
      </w:r>
      <w:r>
        <w:rPr>
          <w:rFonts w:hint="default" w:ascii="Times New Roman" w:hAnsi="Times New Roman" w:eastAsia="宋体" w:cs="Times New Roman"/>
          <w:sz w:val="24"/>
          <w:szCs w:val="24"/>
          <w:lang w:val="en-US" w:eastAsia="zh-CN"/>
        </w:rPr>
        <w:t>kg/h</w:t>
      </w:r>
      <w:r>
        <w:rPr>
          <w:rFonts w:hint="eastAsia" w:ascii="Times New Roman" w:hAnsi="Times New Roman" w:eastAsia="宋体" w:cs="Times New Roman"/>
          <w:sz w:val="24"/>
          <w:szCs w:val="24"/>
          <w:lang w:val="en-US" w:eastAsia="zh-CN"/>
        </w:rPr>
        <w:t>的标准要求。</w:t>
      </w:r>
    </w:p>
    <w:p w14:paraId="5D145F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该公司颗粒物无组织排放浓度在263-393</w:t>
      </w:r>
      <w:r>
        <w:rPr>
          <w:rFonts w:hint="default" w:ascii="Times New Roman" w:hAnsi="Times New Roman" w:eastAsia="宋体" w:cs="Times New Roman"/>
          <w:sz w:val="24"/>
          <w:szCs w:val="24"/>
          <w:lang w:val="en-US" w:eastAsia="zh-CN"/>
        </w:rPr>
        <w:t>µg/m</w:t>
      </w:r>
      <w:r>
        <w:rPr>
          <w:rFonts w:hint="default"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之间，能够满足</w:t>
      </w:r>
      <w:r>
        <w:rPr>
          <w:rFonts w:hint="default" w:ascii="Times New Roman" w:hAnsi="Times New Roman" w:eastAsia="宋体" w:cs="Times New Roman"/>
          <w:sz w:val="24"/>
          <w:szCs w:val="24"/>
          <w:lang w:val="en-US" w:eastAsia="zh-CN"/>
        </w:rPr>
        <w:t>《新乡市生态环境局关于进一步规范工业企业颗粒物放限值的通知》厂界颗粒物排放浓度不高于0.5mg/m3</w:t>
      </w:r>
      <w:r>
        <w:rPr>
          <w:rFonts w:hint="eastAsia" w:ascii="Times New Roman" w:hAnsi="Times New Roman" w:eastAsia="宋体" w:cs="Times New Roman"/>
          <w:sz w:val="24"/>
          <w:szCs w:val="24"/>
          <w:lang w:val="en-US" w:eastAsia="zh-CN"/>
        </w:rPr>
        <w:t>的标准要求；NH3无组织排放浓度在0.02-0.15mg/m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之间，能够满足《恶臭污染物综合排放标准》（GB14554-93）NH3无组织排放浓度1.5mg/m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的标准要求；硫化氢无组织排放浓度在0.007-0.02</w:t>
      </w:r>
      <w:r>
        <w:rPr>
          <w:rFonts w:hint="eastAsia" w:ascii="Times New Roman" w:hAnsi="Times New Roman" w:eastAsia="宋体" w:cs="Times New Roman"/>
          <w:sz w:val="24"/>
          <w:szCs w:val="24"/>
          <w:lang w:val="en-US" w:eastAsia="zh-CN"/>
        </w:rPr>
        <w:t>1mg/m3之间，能够达到《恶臭污染物综合排放标准》（GB14554-93）硫化氢无组织排放浓度0.06mg/m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的标准要求；臭气浓度均小于</w:t>
      </w:r>
      <w:r>
        <w:rPr>
          <w:rFonts w:hint="eastAsia" w:ascii="Times New Roman" w:hAnsi="Times New Roman" w:eastAsia="宋体" w:cs="Times New Roman"/>
          <w:sz w:val="24"/>
          <w:szCs w:val="24"/>
          <w:lang w:val="en-US" w:eastAsia="zh-CN"/>
        </w:rPr>
        <w:t>10，能够达到《恶臭污染物综合排放标准》（GB14554-93）臭气浓度2000的标准要求。</w:t>
      </w:r>
    </w:p>
    <w:p w14:paraId="30E1FC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（2）废水：</w:t>
      </w:r>
      <w:r>
        <w:rPr>
          <w:rFonts w:hint="eastAsia" w:ascii="Times New Roman" w:hAnsi="Times New Roman" w:eastAsia="宋体" w:cs="Times New Roman"/>
          <w:sz w:val="24"/>
          <w:szCs w:val="24"/>
          <w:lang w:val="en-US" w:eastAsia="zh-CN"/>
        </w:rPr>
        <w:t>验收监测期间，该公司废水污染物</w:t>
      </w:r>
      <w:r>
        <w:rPr>
          <w:rFonts w:hint="default" w:ascii="Times New Roman" w:hAnsi="Times New Roman" w:eastAsia="宋体" w:cs="Times New Roman"/>
          <w:sz w:val="24"/>
          <w:szCs w:val="24"/>
          <w:lang w:val="en-US" w:eastAsia="zh-CN"/>
        </w:rPr>
        <w:t>化学需氧量</w:t>
      </w:r>
      <w:r>
        <w:rPr>
          <w:rFonts w:hint="eastAsia" w:ascii="Times New Roman" w:hAnsi="Times New Roman" w:eastAsia="宋体" w:cs="Times New Roman"/>
          <w:sz w:val="24"/>
          <w:szCs w:val="24"/>
          <w:lang w:val="en-US" w:eastAsia="zh-CN"/>
        </w:rPr>
        <w:t>的排放浓度在27-35mg/L之间，悬浮物的浓度9-13mg/L之间，氨氮的排放浓度在2.90-3.39mg/L之间，总磷的排放浓度在0.24-0.34mg/L之间，总氮的排放浓度在5.08-6.30mg/L之间，能够</w:t>
      </w:r>
      <w:r>
        <w:rPr>
          <w:rFonts w:hint="default" w:ascii="Times New Roman" w:hAnsi="Times New Roman" w:eastAsia="宋体" w:cs="Times New Roman"/>
          <w:sz w:val="24"/>
          <w:szCs w:val="24"/>
          <w:lang w:val="en-US" w:eastAsia="zh-CN"/>
        </w:rPr>
        <w:t>满足封丘县污水处理厂收水</w:t>
      </w:r>
      <w:r>
        <w:rPr>
          <w:rFonts w:hint="eastAsia" w:ascii="Times New Roman" w:hAnsi="Times New Roman" w:eastAsia="宋体" w:cs="Times New Roman"/>
          <w:sz w:val="24"/>
          <w:szCs w:val="24"/>
          <w:lang w:val="en-US" w:eastAsia="zh-CN"/>
        </w:rPr>
        <w:t>水质</w:t>
      </w:r>
      <w:r>
        <w:rPr>
          <w:rFonts w:hint="default" w:ascii="Times New Roman" w:hAnsi="Times New Roman" w:eastAsia="宋体" w:cs="Times New Roman"/>
          <w:sz w:val="24"/>
          <w:szCs w:val="24"/>
          <w:lang w:val="en-US" w:eastAsia="zh-CN"/>
        </w:rPr>
        <w:t>要求</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化学需氧量</w:t>
      </w:r>
      <w:r>
        <w:rPr>
          <w:rFonts w:hint="eastAsia" w:ascii="Times New Roman" w:hAnsi="Times New Roman" w:eastAsia="宋体" w:cs="Times New Roman"/>
          <w:sz w:val="24"/>
          <w:szCs w:val="24"/>
          <w:lang w:val="en-US" w:eastAsia="zh-CN"/>
        </w:rPr>
        <w:t>350</w:t>
      </w:r>
      <w:r>
        <w:rPr>
          <w:rFonts w:hint="default" w:ascii="Times New Roman" w:hAnsi="Times New Roman" w:eastAsia="宋体" w:cs="Times New Roman"/>
          <w:sz w:val="24"/>
          <w:szCs w:val="24"/>
          <w:lang w:val="en-US" w:eastAsia="zh-CN"/>
        </w:rPr>
        <w:t>mg/L</w:t>
      </w:r>
      <w:r>
        <w:rPr>
          <w:rFonts w:hint="eastAsia" w:ascii="Times New Roman" w:hAnsi="Times New Roman" w:eastAsia="宋体" w:cs="Times New Roman"/>
          <w:sz w:val="24"/>
          <w:szCs w:val="24"/>
          <w:lang w:val="en-US" w:eastAsia="zh-CN"/>
        </w:rPr>
        <w:t>、悬浮物浓度200mg/L、</w:t>
      </w:r>
      <w:r>
        <w:rPr>
          <w:rFonts w:hint="default" w:ascii="Times New Roman" w:hAnsi="Times New Roman" w:eastAsia="宋体" w:cs="Times New Roman"/>
          <w:sz w:val="24"/>
          <w:szCs w:val="24"/>
          <w:lang w:val="en-US" w:eastAsia="zh-CN"/>
        </w:rPr>
        <w:t>氨氮</w:t>
      </w:r>
      <w:r>
        <w:rPr>
          <w:rFonts w:hint="eastAsia" w:ascii="Times New Roman" w:hAnsi="Times New Roman" w:eastAsia="宋体" w:cs="Times New Roman"/>
          <w:sz w:val="24"/>
          <w:szCs w:val="24"/>
          <w:lang w:val="en-US" w:eastAsia="zh-CN"/>
        </w:rPr>
        <w:t>30</w:t>
      </w:r>
      <w:r>
        <w:rPr>
          <w:rFonts w:hint="default" w:ascii="Times New Roman" w:hAnsi="Times New Roman" w:eastAsia="宋体" w:cs="Times New Roman"/>
          <w:sz w:val="24"/>
          <w:szCs w:val="24"/>
          <w:lang w:val="en-US" w:eastAsia="zh-CN"/>
        </w:rPr>
        <w:t>mg/L</w:t>
      </w:r>
      <w:r>
        <w:rPr>
          <w:rFonts w:hint="eastAsia" w:ascii="Times New Roman" w:hAnsi="Times New Roman" w:eastAsia="宋体" w:cs="Times New Roman"/>
          <w:sz w:val="24"/>
          <w:szCs w:val="24"/>
          <w:lang w:val="en-US" w:eastAsia="zh-CN"/>
        </w:rPr>
        <w:t>、五日生化需氧量170</w:t>
      </w:r>
      <w:r>
        <w:rPr>
          <w:rFonts w:hint="default" w:ascii="Times New Roman" w:hAnsi="Times New Roman" w:eastAsia="宋体" w:cs="Times New Roman"/>
          <w:sz w:val="24"/>
          <w:szCs w:val="24"/>
          <w:lang w:val="en-US" w:eastAsia="zh-CN"/>
        </w:rPr>
        <w:t>mg/L</w:t>
      </w:r>
      <w:r>
        <w:rPr>
          <w:rFonts w:hint="eastAsia" w:ascii="Times New Roman" w:hAnsi="Times New Roman" w:eastAsia="宋体" w:cs="Times New Roman"/>
          <w:sz w:val="24"/>
          <w:szCs w:val="24"/>
          <w:lang w:val="en-US" w:eastAsia="zh-CN"/>
        </w:rPr>
        <w:t>、总磷0.4</w:t>
      </w:r>
      <w:r>
        <w:rPr>
          <w:rFonts w:hint="default" w:ascii="Times New Roman" w:hAnsi="Times New Roman" w:eastAsia="宋体" w:cs="Times New Roman"/>
          <w:sz w:val="24"/>
          <w:szCs w:val="24"/>
          <w:lang w:val="en-US" w:eastAsia="zh-CN"/>
        </w:rPr>
        <w:t>mg/L</w:t>
      </w:r>
      <w:r>
        <w:rPr>
          <w:rFonts w:hint="eastAsia" w:ascii="Times New Roman" w:hAnsi="Times New Roman" w:eastAsia="宋体" w:cs="Times New Roman"/>
          <w:sz w:val="24"/>
          <w:szCs w:val="24"/>
          <w:lang w:val="en-US" w:eastAsia="zh-CN"/>
        </w:rPr>
        <w:t>、总氮15</w:t>
      </w:r>
      <w:r>
        <w:rPr>
          <w:rFonts w:hint="default" w:ascii="Times New Roman" w:hAnsi="Times New Roman" w:eastAsia="宋体" w:cs="Times New Roman"/>
          <w:sz w:val="24"/>
          <w:szCs w:val="24"/>
          <w:lang w:val="en-US" w:eastAsia="zh-CN"/>
        </w:rPr>
        <w:t>mg/L</w:t>
      </w:r>
      <w:r>
        <w:rPr>
          <w:rFonts w:hint="eastAsia" w:ascii="Times New Roman" w:hAnsi="Times New Roman" w:eastAsia="宋体" w:cs="Times New Roman"/>
          <w:sz w:val="24"/>
          <w:szCs w:val="24"/>
          <w:lang w:val="en-US" w:eastAsia="zh-CN"/>
        </w:rPr>
        <w:t>）。</w:t>
      </w:r>
    </w:p>
    <w:p w14:paraId="3B08DA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（3）噪声：</w:t>
      </w:r>
      <w:r>
        <w:rPr>
          <w:rFonts w:hint="eastAsia" w:ascii="Times New Roman" w:hAnsi="Times New Roman" w:eastAsia="宋体" w:cs="Times New Roman"/>
          <w:sz w:val="24"/>
          <w:szCs w:val="24"/>
          <w:lang w:val="en-US" w:eastAsia="zh-CN"/>
        </w:rPr>
        <w:t>验收监测期间，该公司四周厂界环境昼间噪声值在54-58dB（A）之间，能够达到《工业企业厂界环境噪声排放标准》（GB12348-2008）2类标准限值：昼间≤60dB（A）的要求。</w:t>
      </w:r>
    </w:p>
    <w:p w14:paraId="797403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（4）固废：本项目产生的固体废物有：</w:t>
      </w:r>
      <w:r>
        <w:rPr>
          <w:rFonts w:hint="eastAsia" w:ascii="Times New Roman" w:hAnsi="Times New Roman" w:eastAsia="宋体" w:cs="Times New Roman"/>
          <w:sz w:val="24"/>
          <w:szCs w:val="24"/>
          <w:lang w:val="en-US" w:eastAsia="zh-CN"/>
        </w:rPr>
        <w:t>过滤药渣、污水处理站污泥</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本项目过滤工序会产生一定量的药渣，根据物料平衡，药渣的产生量为2625t/a，近期存放于固废间内，远期用于金银花生产基地施肥，含水率约为66.7%，如果存放得当不会产生渗滤液。目前依托现有的晒场进行临时堆放，场地四周已设置围堰，并设置防雨、防渗设施，远期用于金银花生产基地施肥。本项目污水处理站会产生一定量的污泥，类比现有工程，产生量约0.2t/a，于固废间暂存后外运用于施肥</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综上所述，本项目在固体废弃物处理方面采取了有效措施，确保不会对环境造成污染。通过分类、资源化和无害化处理，最大限度地减少了废弃物对环境的影响，并定期进行监测和评估，确保所有措施符合环保标准，保障了环境的安全。</w:t>
      </w:r>
    </w:p>
    <w:p w14:paraId="14D5D8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五、验收结论</w:t>
      </w:r>
    </w:p>
    <w:p w14:paraId="686463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根据该项目竣工环境保护验收监测报告及现场核查，该项目环保手续完备，执行了环境影响评价及三同时管理制度，基本落实了环评报告及其批复规定的各项环境污染防治措施。各项污染物能够实现达标排放或合理处理处置。</w:t>
      </w:r>
    </w:p>
    <w:p w14:paraId="7CC40F3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综上所述，</w:t>
      </w:r>
      <w:r>
        <w:rPr>
          <w:rFonts w:hint="eastAsia" w:ascii="Times New Roman" w:hAnsi="Times New Roman" w:eastAsia="宋体" w:cs="Times New Roman"/>
          <w:sz w:val="24"/>
          <w:szCs w:val="24"/>
          <w:lang w:val="en-US" w:eastAsia="zh-CN"/>
        </w:rPr>
        <w:t>新乡博凯生物技术</w:t>
      </w:r>
      <w:r>
        <w:rPr>
          <w:rFonts w:hint="default" w:ascii="Times New Roman" w:hAnsi="Times New Roman" w:eastAsia="宋体" w:cs="Times New Roman"/>
          <w:sz w:val="24"/>
          <w:szCs w:val="24"/>
          <w:lang w:val="en-US" w:eastAsia="zh-CN"/>
        </w:rPr>
        <w:t>有限公司</w:t>
      </w:r>
      <w:r>
        <w:rPr>
          <w:rFonts w:hint="eastAsia" w:ascii="Times New Roman" w:hAnsi="Times New Roman" w:eastAsia="宋体" w:cs="Times New Roman"/>
          <w:sz w:val="24"/>
          <w:szCs w:val="24"/>
          <w:lang w:val="en-US" w:eastAsia="zh-CN"/>
        </w:rPr>
        <w:t>金银花深加工产业改扩建</w:t>
      </w:r>
      <w:r>
        <w:rPr>
          <w:rFonts w:hint="default" w:ascii="Times New Roman" w:hAnsi="Times New Roman" w:eastAsia="宋体" w:cs="Times New Roman"/>
          <w:sz w:val="24"/>
          <w:szCs w:val="24"/>
          <w:lang w:val="en-US" w:eastAsia="zh-CN"/>
        </w:rPr>
        <w:t>项目</w:t>
      </w:r>
      <w:r>
        <w:rPr>
          <w:rFonts w:hint="default" w:ascii="Times New Roman" w:hAnsi="Times New Roman" w:eastAsia="宋体" w:cs="Times New Roman"/>
          <w:sz w:val="24"/>
          <w:szCs w:val="24"/>
          <w:lang w:val="en-US" w:eastAsia="zh-CN"/>
        </w:rPr>
        <w:t>不存在《建设项目竣工环境保护暂行办法》中所规定的验收不合格情形，验收组一致同意本项目通过项目竣工环境保护验收。</w:t>
      </w:r>
    </w:p>
    <w:p w14:paraId="23FCDB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建议：</w:t>
      </w:r>
    </w:p>
    <w:p w14:paraId="39EA2EA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1.企业对各种污染防治措施加强管理，发现问题及时采取措施解决，确保污染治理设施能够长期稳定运行，做到污染物稳定达标排放。</w:t>
      </w:r>
    </w:p>
    <w:p w14:paraId="3DF65A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sz w:val="24"/>
          <w:szCs w:val="24"/>
          <w:lang w:val="en-US" w:eastAsia="zh-CN"/>
        </w:rPr>
        <w:t>2.完善排污口管理，规范环保标识。</w:t>
      </w:r>
    </w:p>
    <w:p w14:paraId="43FD5360">
      <w:pPr>
        <w:pStyle w:val="2"/>
        <w:jc w:val="center"/>
        <w:rPr>
          <w:rFonts w:hint="default"/>
          <w:b/>
          <w:bCs/>
          <w:sz w:val="32"/>
          <w:szCs w:val="32"/>
          <w:lang w:eastAsia="zh-CN"/>
        </w:rPr>
      </w:pPr>
      <w:r>
        <w:rPr>
          <w:rFonts w:hint="eastAsia"/>
          <w:b/>
          <w:bCs/>
          <w:sz w:val="32"/>
          <w:szCs w:val="32"/>
          <w:lang w:val="en-US" w:eastAsia="zh-CN"/>
        </w:rPr>
        <w:t>新乡博凯生物技术</w:t>
      </w:r>
      <w:r>
        <w:rPr>
          <w:rFonts w:hint="default"/>
          <w:b/>
          <w:bCs/>
          <w:sz w:val="32"/>
          <w:szCs w:val="32"/>
          <w:lang w:val="en-US" w:eastAsia="zh-CN"/>
        </w:rPr>
        <w:t>有限公司</w:t>
      </w:r>
      <w:r>
        <w:rPr>
          <w:rFonts w:hint="eastAsia"/>
          <w:b/>
          <w:bCs/>
          <w:sz w:val="32"/>
          <w:szCs w:val="32"/>
          <w:lang w:val="en-US" w:eastAsia="zh-CN"/>
        </w:rPr>
        <w:t>金银花深加工产业改扩建</w:t>
      </w:r>
      <w:r>
        <w:rPr>
          <w:rFonts w:hint="default"/>
          <w:b/>
          <w:bCs/>
          <w:sz w:val="32"/>
          <w:szCs w:val="32"/>
          <w:lang w:val="en-US" w:eastAsia="zh-CN"/>
        </w:rPr>
        <w:t>项目</w:t>
      </w:r>
      <w:r>
        <w:rPr>
          <w:rFonts w:hint="default"/>
          <w:b/>
          <w:bCs/>
          <w:sz w:val="32"/>
          <w:szCs w:val="32"/>
          <w:lang w:eastAsia="zh-CN"/>
        </w:rPr>
        <w:t>竣工环境保护验收组名单</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672"/>
        <w:gridCol w:w="1425"/>
        <w:gridCol w:w="4462"/>
        <w:gridCol w:w="1650"/>
        <w:gridCol w:w="2119"/>
        <w:gridCol w:w="1846"/>
      </w:tblGrid>
      <w:tr w14:paraId="65D2A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72" w:type="dxa"/>
          </w:tcPr>
          <w:p w14:paraId="20327B67">
            <w:pPr>
              <w:pStyle w:val="3"/>
              <w:spacing w:line="240" w:lineRule="auto"/>
              <w:jc w:val="center"/>
              <w:rPr>
                <w:rFonts w:hint="default" w:ascii="Times New Roman" w:hAnsi="Times New Roman" w:eastAsia="宋体" w:cs="Times New Roman"/>
                <w:b w:val="0"/>
                <w:bCs w:val="0"/>
                <w:sz w:val="28"/>
                <w:szCs w:val="28"/>
                <w:vertAlign w:val="baseline"/>
                <w:lang w:eastAsia="zh-CN"/>
              </w:rPr>
            </w:pPr>
            <w:r>
              <w:rPr>
                <w:rFonts w:hint="default" w:ascii="Times New Roman" w:hAnsi="Times New Roman" w:eastAsia="宋体" w:cs="Times New Roman"/>
                <w:b w:val="0"/>
                <w:bCs w:val="0"/>
                <w:sz w:val="28"/>
                <w:szCs w:val="28"/>
                <w:lang w:eastAsia="zh-CN"/>
              </w:rPr>
              <w:t>组成</w:t>
            </w:r>
          </w:p>
        </w:tc>
        <w:tc>
          <w:tcPr>
            <w:tcW w:w="1425" w:type="dxa"/>
          </w:tcPr>
          <w:p w14:paraId="29131A2C">
            <w:pPr>
              <w:pStyle w:val="3"/>
              <w:spacing w:line="240" w:lineRule="auto"/>
              <w:jc w:val="center"/>
              <w:rPr>
                <w:rFonts w:hint="default" w:ascii="Times New Roman" w:hAnsi="Times New Roman" w:eastAsia="宋体" w:cs="Times New Roman"/>
                <w:b w:val="0"/>
                <w:bCs w:val="0"/>
                <w:sz w:val="28"/>
                <w:szCs w:val="28"/>
                <w:vertAlign w:val="baseline"/>
                <w:lang w:eastAsia="zh-CN"/>
              </w:rPr>
            </w:pPr>
            <w:r>
              <w:rPr>
                <w:rFonts w:hint="default" w:ascii="Times New Roman" w:hAnsi="Times New Roman" w:eastAsia="宋体" w:cs="Times New Roman"/>
                <w:b w:val="0"/>
                <w:bCs w:val="0"/>
                <w:sz w:val="28"/>
                <w:szCs w:val="28"/>
                <w:lang w:eastAsia="zh-CN"/>
              </w:rPr>
              <w:t>姓名</w:t>
            </w:r>
          </w:p>
        </w:tc>
        <w:tc>
          <w:tcPr>
            <w:tcW w:w="4462" w:type="dxa"/>
          </w:tcPr>
          <w:p w14:paraId="2DEDB056">
            <w:pPr>
              <w:pStyle w:val="3"/>
              <w:spacing w:line="240" w:lineRule="auto"/>
              <w:jc w:val="center"/>
              <w:rPr>
                <w:rFonts w:hint="default" w:ascii="Times New Roman" w:hAnsi="Times New Roman" w:eastAsia="宋体" w:cs="Times New Roman"/>
                <w:b w:val="0"/>
                <w:bCs w:val="0"/>
                <w:sz w:val="28"/>
                <w:szCs w:val="28"/>
                <w:vertAlign w:val="baseline"/>
                <w:lang w:eastAsia="zh-CN"/>
              </w:rPr>
            </w:pPr>
            <w:r>
              <w:rPr>
                <w:rFonts w:hint="default" w:ascii="Times New Roman" w:hAnsi="Times New Roman" w:eastAsia="宋体" w:cs="Times New Roman"/>
                <w:b w:val="0"/>
                <w:bCs w:val="0"/>
                <w:sz w:val="28"/>
                <w:szCs w:val="28"/>
                <w:lang w:eastAsia="zh-CN"/>
              </w:rPr>
              <w:t>单位</w:t>
            </w:r>
          </w:p>
        </w:tc>
        <w:tc>
          <w:tcPr>
            <w:tcW w:w="1650" w:type="dxa"/>
          </w:tcPr>
          <w:p w14:paraId="7F134407">
            <w:pPr>
              <w:pStyle w:val="3"/>
              <w:spacing w:line="240" w:lineRule="auto"/>
              <w:jc w:val="center"/>
              <w:rPr>
                <w:rFonts w:hint="default" w:ascii="Times New Roman" w:hAnsi="Times New Roman" w:eastAsia="宋体" w:cs="Times New Roman"/>
                <w:b w:val="0"/>
                <w:bCs w:val="0"/>
                <w:sz w:val="28"/>
                <w:szCs w:val="28"/>
                <w:vertAlign w:val="baseline"/>
                <w:lang w:eastAsia="zh-CN"/>
              </w:rPr>
            </w:pPr>
            <w:r>
              <w:rPr>
                <w:rFonts w:hint="default" w:ascii="Times New Roman" w:hAnsi="Times New Roman" w:eastAsia="宋体" w:cs="Times New Roman"/>
                <w:b w:val="0"/>
                <w:bCs w:val="0"/>
                <w:sz w:val="28"/>
                <w:szCs w:val="28"/>
                <w:lang w:eastAsia="zh-CN"/>
              </w:rPr>
              <w:t>职称/职务</w:t>
            </w:r>
          </w:p>
        </w:tc>
        <w:tc>
          <w:tcPr>
            <w:tcW w:w="2119" w:type="dxa"/>
          </w:tcPr>
          <w:p w14:paraId="4A670FCB">
            <w:pPr>
              <w:pStyle w:val="3"/>
              <w:spacing w:line="240" w:lineRule="auto"/>
              <w:jc w:val="center"/>
              <w:rPr>
                <w:rFonts w:hint="default" w:ascii="Times New Roman" w:hAnsi="Times New Roman" w:eastAsia="宋体" w:cs="Times New Roman"/>
                <w:b w:val="0"/>
                <w:bCs w:val="0"/>
                <w:sz w:val="28"/>
                <w:szCs w:val="28"/>
                <w:vertAlign w:val="baseline"/>
                <w:lang w:eastAsia="zh-CN"/>
              </w:rPr>
            </w:pPr>
            <w:r>
              <w:rPr>
                <w:rFonts w:hint="default" w:ascii="Times New Roman" w:hAnsi="Times New Roman" w:eastAsia="宋体" w:cs="Times New Roman"/>
                <w:b w:val="0"/>
                <w:bCs w:val="0"/>
                <w:sz w:val="28"/>
                <w:szCs w:val="28"/>
                <w:lang w:eastAsia="zh-CN"/>
              </w:rPr>
              <w:t>电话</w:t>
            </w:r>
          </w:p>
        </w:tc>
        <w:tc>
          <w:tcPr>
            <w:tcW w:w="1846" w:type="dxa"/>
          </w:tcPr>
          <w:p w14:paraId="6BFEE6CE">
            <w:pPr>
              <w:pStyle w:val="3"/>
              <w:spacing w:line="240" w:lineRule="auto"/>
              <w:jc w:val="center"/>
              <w:rPr>
                <w:rFonts w:hint="default" w:ascii="Times New Roman" w:hAnsi="Times New Roman" w:eastAsia="宋体" w:cs="Times New Roman"/>
                <w:b w:val="0"/>
                <w:bCs w:val="0"/>
                <w:sz w:val="28"/>
                <w:szCs w:val="28"/>
                <w:vertAlign w:val="baseline"/>
                <w:lang w:eastAsia="zh-CN"/>
              </w:rPr>
            </w:pPr>
            <w:r>
              <w:rPr>
                <w:rFonts w:hint="default" w:ascii="Times New Roman" w:hAnsi="Times New Roman" w:eastAsia="宋体" w:cs="Times New Roman"/>
                <w:b w:val="0"/>
                <w:bCs w:val="0"/>
                <w:sz w:val="28"/>
                <w:szCs w:val="28"/>
                <w:lang w:eastAsia="zh-CN"/>
              </w:rPr>
              <w:t>签名</w:t>
            </w:r>
          </w:p>
        </w:tc>
      </w:tr>
      <w:tr w14:paraId="0BFE3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72" w:type="dxa"/>
          </w:tcPr>
          <w:p w14:paraId="3069341A">
            <w:pPr>
              <w:pStyle w:val="3"/>
              <w:spacing w:line="240" w:lineRule="auto"/>
              <w:jc w:val="center"/>
              <w:rPr>
                <w:rFonts w:hint="default" w:ascii="Times New Roman" w:hAnsi="Times New Roman" w:eastAsia="宋体" w:cs="Times New Roman"/>
                <w:b w:val="0"/>
                <w:bCs w:val="0"/>
                <w:sz w:val="28"/>
                <w:szCs w:val="28"/>
                <w:vertAlign w:val="baseline"/>
                <w:lang w:eastAsia="zh-CN"/>
              </w:rPr>
            </w:pPr>
            <w:r>
              <w:rPr>
                <w:rFonts w:hint="default" w:ascii="Times New Roman" w:hAnsi="Times New Roman" w:eastAsia="宋体" w:cs="Times New Roman"/>
                <w:b w:val="0"/>
                <w:bCs w:val="0"/>
                <w:sz w:val="28"/>
                <w:szCs w:val="28"/>
                <w:lang w:eastAsia="zh-CN"/>
              </w:rPr>
              <w:t>负责人(建设单位)</w:t>
            </w:r>
          </w:p>
        </w:tc>
        <w:tc>
          <w:tcPr>
            <w:tcW w:w="1425" w:type="dxa"/>
          </w:tcPr>
          <w:p w14:paraId="692A165F">
            <w:pPr>
              <w:spacing w:line="240" w:lineRule="auto"/>
              <w:jc w:val="center"/>
              <w:rPr>
                <w:rFonts w:hint="default" w:ascii="Times New Roman" w:hAnsi="Times New Roman" w:eastAsia="宋体" w:cs="Times New Roman"/>
                <w:b w:val="0"/>
                <w:bCs w:val="0"/>
                <w:sz w:val="28"/>
                <w:szCs w:val="28"/>
                <w:lang w:eastAsia="zh-CN"/>
              </w:rPr>
            </w:pPr>
            <w:r>
              <w:rPr>
                <w:rFonts w:hint="eastAsia" w:ascii="Times New Roman" w:hAnsi="Times New Roman" w:cs="Times New Roman"/>
                <w:color w:val="171717"/>
                <w:sz w:val="30"/>
                <w:szCs w:val="30"/>
              </w:rPr>
              <w:t>臧淑峰</w:t>
            </w:r>
          </w:p>
        </w:tc>
        <w:tc>
          <w:tcPr>
            <w:tcW w:w="4462" w:type="dxa"/>
          </w:tcPr>
          <w:p w14:paraId="4B7A6855">
            <w:pPr>
              <w:pStyle w:val="3"/>
              <w:spacing w:line="240" w:lineRule="auto"/>
              <w:jc w:val="center"/>
              <w:rPr>
                <w:rFonts w:hint="default" w:ascii="Times New Roman" w:hAnsi="Times New Roman" w:eastAsia="宋体" w:cs="Times New Roman"/>
                <w:b w:val="0"/>
                <w:bCs w:val="0"/>
                <w:sz w:val="28"/>
                <w:szCs w:val="28"/>
                <w:lang w:eastAsia="zh-CN"/>
              </w:rPr>
            </w:pPr>
            <w:r>
              <w:rPr>
                <w:rFonts w:hint="eastAsia" w:ascii="Times New Roman" w:hAnsi="Times New Roman" w:eastAsia="宋体" w:cs="Times New Roman"/>
                <w:b w:val="0"/>
                <w:bCs w:val="0"/>
                <w:sz w:val="28"/>
                <w:szCs w:val="28"/>
                <w:lang w:val="en-US" w:eastAsia="zh-CN"/>
              </w:rPr>
              <w:t>新乡博凯生物技术</w:t>
            </w:r>
            <w:r>
              <w:rPr>
                <w:rFonts w:hint="default" w:ascii="Times New Roman" w:hAnsi="Times New Roman" w:eastAsia="宋体" w:cs="Times New Roman"/>
                <w:b w:val="0"/>
                <w:bCs w:val="0"/>
                <w:sz w:val="28"/>
                <w:szCs w:val="28"/>
                <w:lang w:val="en-US" w:eastAsia="zh-CN"/>
              </w:rPr>
              <w:t>有限公司</w:t>
            </w:r>
          </w:p>
        </w:tc>
        <w:tc>
          <w:tcPr>
            <w:tcW w:w="1650" w:type="dxa"/>
          </w:tcPr>
          <w:p w14:paraId="2A461E81">
            <w:pPr>
              <w:pStyle w:val="3"/>
              <w:spacing w:line="240" w:lineRule="auto"/>
              <w:jc w:val="center"/>
              <w:rPr>
                <w:rFonts w:hint="default" w:ascii="Times New Roman" w:hAnsi="Times New Roman" w:eastAsia="宋体" w:cs="Times New Roman"/>
                <w:b w:val="0"/>
                <w:bCs w:val="0"/>
                <w:sz w:val="28"/>
                <w:szCs w:val="28"/>
                <w:vertAlign w:val="baseline"/>
                <w:lang w:val="en-US" w:eastAsia="zh-CN"/>
              </w:rPr>
            </w:pPr>
            <w:r>
              <w:rPr>
                <w:rFonts w:hint="eastAsia" w:ascii="Times New Roman" w:hAnsi="Times New Roman" w:eastAsia="宋体" w:cs="Times New Roman"/>
                <w:b w:val="0"/>
                <w:bCs w:val="0"/>
                <w:sz w:val="28"/>
                <w:szCs w:val="28"/>
                <w:vertAlign w:val="baseline"/>
                <w:lang w:val="en-US" w:eastAsia="zh-CN"/>
              </w:rPr>
              <w:t>经理</w:t>
            </w:r>
          </w:p>
        </w:tc>
        <w:tc>
          <w:tcPr>
            <w:tcW w:w="2119" w:type="dxa"/>
          </w:tcPr>
          <w:p w14:paraId="221983E6">
            <w:pPr>
              <w:spacing w:line="240" w:lineRule="auto"/>
              <w:jc w:val="center"/>
              <w:rPr>
                <w:rFonts w:hint="default" w:ascii="Times New Roman" w:hAnsi="Times New Roman" w:eastAsia="宋体" w:cs="Times New Roman"/>
                <w:b w:val="0"/>
                <w:bCs w:val="0"/>
                <w:sz w:val="28"/>
                <w:szCs w:val="28"/>
                <w:vertAlign w:val="baseline"/>
                <w:lang w:eastAsia="zh-CN"/>
              </w:rPr>
            </w:pPr>
            <w:r>
              <w:rPr>
                <w:rFonts w:hint="eastAsia" w:ascii="Times New Roman" w:hAnsi="Times New Roman" w:cs="Times New Roman"/>
                <w:color w:val="171717"/>
                <w:sz w:val="30"/>
                <w:szCs w:val="30"/>
                <w:lang w:val="en-US" w:eastAsia="zh-CN"/>
              </w:rPr>
              <w:t>15090319528</w:t>
            </w:r>
          </w:p>
        </w:tc>
        <w:tc>
          <w:tcPr>
            <w:tcW w:w="1846" w:type="dxa"/>
          </w:tcPr>
          <w:p w14:paraId="56422BF1">
            <w:pPr>
              <w:pStyle w:val="3"/>
              <w:spacing w:line="240" w:lineRule="auto"/>
              <w:jc w:val="center"/>
              <w:rPr>
                <w:rFonts w:hint="default" w:ascii="Times New Roman" w:hAnsi="Times New Roman" w:eastAsia="宋体" w:cs="Times New Roman"/>
                <w:b w:val="0"/>
                <w:bCs w:val="0"/>
                <w:sz w:val="28"/>
                <w:szCs w:val="28"/>
                <w:vertAlign w:val="baseline"/>
                <w:lang w:eastAsia="zh-CN"/>
              </w:rPr>
            </w:pPr>
          </w:p>
        </w:tc>
      </w:tr>
      <w:tr w14:paraId="312C9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72" w:type="dxa"/>
          </w:tcPr>
          <w:p w14:paraId="64ACF265">
            <w:pPr>
              <w:pStyle w:val="3"/>
              <w:spacing w:line="240" w:lineRule="auto"/>
              <w:jc w:val="center"/>
              <w:rPr>
                <w:rFonts w:hint="default" w:ascii="Times New Roman" w:hAnsi="Times New Roman" w:eastAsia="宋体" w:cs="Times New Roman"/>
                <w:b w:val="0"/>
                <w:bCs w:val="0"/>
                <w:sz w:val="28"/>
                <w:szCs w:val="28"/>
                <w:vertAlign w:val="baseline"/>
                <w:lang w:eastAsia="zh-CN"/>
              </w:rPr>
            </w:pPr>
            <w:r>
              <w:rPr>
                <w:rFonts w:hint="default" w:ascii="Times New Roman" w:hAnsi="Times New Roman" w:eastAsia="宋体" w:cs="Times New Roman"/>
                <w:b w:val="0"/>
                <w:bCs w:val="0"/>
                <w:sz w:val="28"/>
                <w:szCs w:val="28"/>
                <w:lang w:eastAsia="zh-CN"/>
              </w:rPr>
              <w:t>验收报告编制单位</w:t>
            </w:r>
          </w:p>
        </w:tc>
        <w:tc>
          <w:tcPr>
            <w:tcW w:w="1425" w:type="dxa"/>
          </w:tcPr>
          <w:p w14:paraId="149525CF">
            <w:pPr>
              <w:spacing w:line="240" w:lineRule="auto"/>
              <w:jc w:val="center"/>
              <w:rPr>
                <w:rFonts w:hint="default" w:ascii="Times New Roman" w:hAnsi="Times New Roman" w:eastAsia="宋体" w:cs="Times New Roman"/>
                <w:b w:val="0"/>
                <w:bCs w:val="0"/>
                <w:sz w:val="28"/>
                <w:szCs w:val="28"/>
                <w:lang w:eastAsia="zh-CN"/>
              </w:rPr>
            </w:pPr>
            <w:r>
              <w:rPr>
                <w:rFonts w:hint="eastAsia" w:ascii="Times New Roman" w:hAnsi="Times New Roman" w:cs="Times New Roman"/>
                <w:color w:val="171717"/>
                <w:sz w:val="30"/>
                <w:szCs w:val="30"/>
              </w:rPr>
              <w:t>臧淑峰</w:t>
            </w:r>
          </w:p>
        </w:tc>
        <w:tc>
          <w:tcPr>
            <w:tcW w:w="4462" w:type="dxa"/>
          </w:tcPr>
          <w:p w14:paraId="11EDFA0B">
            <w:pPr>
              <w:pStyle w:val="3"/>
              <w:spacing w:line="240" w:lineRule="auto"/>
              <w:jc w:val="center"/>
              <w:rPr>
                <w:rFonts w:hint="default" w:ascii="Times New Roman" w:hAnsi="Times New Roman" w:eastAsia="宋体" w:cs="Times New Roman"/>
                <w:b w:val="0"/>
                <w:bCs w:val="0"/>
                <w:sz w:val="28"/>
                <w:szCs w:val="28"/>
                <w:lang w:eastAsia="zh-CN"/>
              </w:rPr>
            </w:pPr>
            <w:r>
              <w:rPr>
                <w:rFonts w:hint="eastAsia" w:ascii="Times New Roman" w:hAnsi="Times New Roman" w:eastAsia="宋体" w:cs="Times New Roman"/>
                <w:b w:val="0"/>
                <w:bCs w:val="0"/>
                <w:sz w:val="28"/>
                <w:szCs w:val="28"/>
                <w:lang w:val="en-US" w:eastAsia="zh-CN"/>
              </w:rPr>
              <w:t>新乡博凯生物技术</w:t>
            </w:r>
            <w:r>
              <w:rPr>
                <w:rFonts w:hint="default" w:ascii="Times New Roman" w:hAnsi="Times New Roman" w:eastAsia="宋体" w:cs="Times New Roman"/>
                <w:b w:val="0"/>
                <w:bCs w:val="0"/>
                <w:sz w:val="28"/>
                <w:szCs w:val="28"/>
                <w:lang w:val="en-US" w:eastAsia="zh-CN"/>
              </w:rPr>
              <w:t>有限公司</w:t>
            </w:r>
          </w:p>
        </w:tc>
        <w:tc>
          <w:tcPr>
            <w:tcW w:w="1650" w:type="dxa"/>
          </w:tcPr>
          <w:p w14:paraId="3199E366">
            <w:pPr>
              <w:pStyle w:val="3"/>
              <w:spacing w:line="240" w:lineRule="auto"/>
              <w:jc w:val="center"/>
              <w:rPr>
                <w:rFonts w:hint="default" w:ascii="Times New Roman" w:hAnsi="Times New Roman" w:eastAsia="宋体" w:cs="Times New Roman"/>
                <w:b w:val="0"/>
                <w:bCs w:val="0"/>
                <w:sz w:val="28"/>
                <w:szCs w:val="28"/>
                <w:vertAlign w:val="baseline"/>
                <w:lang w:val="en-US" w:eastAsia="zh-CN"/>
              </w:rPr>
            </w:pPr>
            <w:r>
              <w:rPr>
                <w:rFonts w:hint="eastAsia" w:ascii="Times New Roman" w:hAnsi="Times New Roman" w:eastAsia="宋体" w:cs="Times New Roman"/>
                <w:b w:val="0"/>
                <w:bCs w:val="0"/>
                <w:sz w:val="28"/>
                <w:szCs w:val="28"/>
                <w:vertAlign w:val="baseline"/>
                <w:lang w:val="en-US" w:eastAsia="zh-CN"/>
              </w:rPr>
              <w:t>经理</w:t>
            </w:r>
          </w:p>
        </w:tc>
        <w:tc>
          <w:tcPr>
            <w:tcW w:w="2119" w:type="dxa"/>
          </w:tcPr>
          <w:p w14:paraId="33C2FB90">
            <w:pPr>
              <w:spacing w:line="240" w:lineRule="auto"/>
              <w:jc w:val="center"/>
              <w:rPr>
                <w:rFonts w:hint="default" w:ascii="Times New Roman" w:hAnsi="Times New Roman" w:eastAsia="宋体" w:cs="Times New Roman"/>
                <w:b w:val="0"/>
                <w:bCs w:val="0"/>
                <w:sz w:val="28"/>
                <w:szCs w:val="28"/>
                <w:vertAlign w:val="baseline"/>
                <w:lang w:eastAsia="zh-CN"/>
              </w:rPr>
            </w:pPr>
            <w:r>
              <w:rPr>
                <w:rFonts w:hint="eastAsia" w:ascii="Times New Roman" w:hAnsi="Times New Roman" w:cs="Times New Roman"/>
                <w:color w:val="171717"/>
                <w:sz w:val="30"/>
                <w:szCs w:val="30"/>
                <w:lang w:val="en-US" w:eastAsia="zh-CN"/>
              </w:rPr>
              <w:t>15090319528</w:t>
            </w:r>
          </w:p>
        </w:tc>
        <w:tc>
          <w:tcPr>
            <w:tcW w:w="1846" w:type="dxa"/>
          </w:tcPr>
          <w:p w14:paraId="4C46B6DC">
            <w:pPr>
              <w:pStyle w:val="3"/>
              <w:spacing w:line="240" w:lineRule="auto"/>
              <w:jc w:val="center"/>
              <w:rPr>
                <w:rFonts w:hint="default" w:ascii="Times New Roman" w:hAnsi="Times New Roman" w:eastAsia="宋体" w:cs="Times New Roman"/>
                <w:b w:val="0"/>
                <w:bCs w:val="0"/>
                <w:sz w:val="28"/>
                <w:szCs w:val="28"/>
                <w:vertAlign w:val="baseline"/>
                <w:lang w:eastAsia="zh-CN"/>
              </w:rPr>
            </w:pPr>
          </w:p>
        </w:tc>
      </w:tr>
      <w:tr w14:paraId="6391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72" w:type="dxa"/>
          </w:tcPr>
          <w:p w14:paraId="7C34E3C4">
            <w:pPr>
              <w:spacing w:line="240" w:lineRule="auto"/>
              <w:jc w:val="center"/>
              <w:rPr>
                <w:rFonts w:hint="default" w:ascii="Times New Roman" w:hAnsi="Times New Roman" w:cs="Times New Roman"/>
                <w:color w:val="171717"/>
                <w:sz w:val="30"/>
                <w:szCs w:val="30"/>
                <w:lang w:eastAsia="zh-CN"/>
              </w:rPr>
            </w:pPr>
            <w:r>
              <w:rPr>
                <w:rFonts w:hint="default" w:ascii="Times New Roman" w:hAnsi="Times New Roman" w:cs="Times New Roman"/>
                <w:color w:val="171717"/>
                <w:sz w:val="30"/>
                <w:szCs w:val="30"/>
                <w:lang w:eastAsia="zh-CN"/>
              </w:rPr>
              <w:t>验收监测单位</w:t>
            </w:r>
          </w:p>
        </w:tc>
        <w:tc>
          <w:tcPr>
            <w:tcW w:w="1425" w:type="dxa"/>
          </w:tcPr>
          <w:p w14:paraId="71B992AF">
            <w:pPr>
              <w:spacing w:line="240" w:lineRule="auto"/>
              <w:jc w:val="center"/>
              <w:rPr>
                <w:rFonts w:hint="default" w:ascii="Times New Roman" w:hAnsi="Times New Roman" w:cs="Times New Roman"/>
                <w:color w:val="171717"/>
                <w:sz w:val="30"/>
                <w:szCs w:val="30"/>
                <w:lang w:val="en-US" w:eastAsia="zh-CN"/>
              </w:rPr>
            </w:pPr>
            <w:r>
              <w:rPr>
                <w:rFonts w:hint="eastAsia" w:ascii="Times New Roman" w:hAnsi="Times New Roman" w:cs="Times New Roman"/>
                <w:color w:val="171717"/>
                <w:sz w:val="30"/>
                <w:szCs w:val="30"/>
              </w:rPr>
              <w:t>范麒</w:t>
            </w:r>
          </w:p>
        </w:tc>
        <w:tc>
          <w:tcPr>
            <w:tcW w:w="4462" w:type="dxa"/>
          </w:tcPr>
          <w:p w14:paraId="1B9188E8">
            <w:pPr>
              <w:spacing w:line="240" w:lineRule="auto"/>
              <w:jc w:val="center"/>
              <w:rPr>
                <w:rFonts w:hint="default" w:ascii="Times New Roman" w:hAnsi="Times New Roman" w:cs="Times New Roman"/>
                <w:color w:val="171717"/>
                <w:sz w:val="30"/>
                <w:szCs w:val="30"/>
                <w:lang w:val="en-US" w:eastAsia="zh-CN"/>
              </w:rPr>
            </w:pPr>
            <w:r>
              <w:rPr>
                <w:rFonts w:hint="eastAsia" w:ascii="Times New Roman" w:hAnsi="Times New Roman" w:cs="Times New Roman"/>
                <w:color w:val="171717"/>
                <w:sz w:val="30"/>
                <w:szCs w:val="30"/>
                <w:lang w:val="en-US" w:eastAsia="zh-CN"/>
              </w:rPr>
              <w:t>河南鑫成环测检测技术有限公司</w:t>
            </w:r>
          </w:p>
        </w:tc>
        <w:tc>
          <w:tcPr>
            <w:tcW w:w="1650" w:type="dxa"/>
          </w:tcPr>
          <w:p w14:paraId="50C7571D">
            <w:pPr>
              <w:pStyle w:val="3"/>
              <w:spacing w:line="240" w:lineRule="auto"/>
              <w:jc w:val="center"/>
              <w:rPr>
                <w:rFonts w:hint="default" w:ascii="Times New Roman" w:hAnsi="Times New Roman" w:eastAsia="宋体" w:cs="Times New Roman"/>
                <w:b w:val="0"/>
                <w:bCs w:val="0"/>
                <w:sz w:val="28"/>
                <w:szCs w:val="28"/>
                <w:lang w:val="en-US" w:eastAsia="zh-CN"/>
              </w:rPr>
            </w:pPr>
            <w:r>
              <w:rPr>
                <w:rFonts w:hint="eastAsia" w:ascii="Times New Roman" w:hAnsi="Times New Roman" w:eastAsia="宋体" w:cs="Times New Roman"/>
                <w:b w:val="0"/>
                <w:bCs w:val="0"/>
                <w:sz w:val="28"/>
                <w:szCs w:val="28"/>
                <w:lang w:val="en-US" w:eastAsia="zh-CN"/>
              </w:rPr>
              <w:t>业务经理</w:t>
            </w:r>
          </w:p>
        </w:tc>
        <w:tc>
          <w:tcPr>
            <w:tcW w:w="2119" w:type="dxa"/>
          </w:tcPr>
          <w:p w14:paraId="2A83A142">
            <w:pPr>
              <w:pStyle w:val="3"/>
              <w:spacing w:line="240" w:lineRule="auto"/>
              <w:jc w:val="center"/>
              <w:rPr>
                <w:rFonts w:hint="default" w:ascii="Times New Roman" w:hAnsi="Times New Roman" w:eastAsia="宋体" w:cs="Times New Roman"/>
                <w:b w:val="0"/>
                <w:bCs w:val="0"/>
                <w:sz w:val="28"/>
                <w:szCs w:val="28"/>
                <w:vertAlign w:val="baseline"/>
                <w:lang w:eastAsia="zh-CN"/>
              </w:rPr>
            </w:pPr>
            <w:r>
              <w:rPr>
                <w:rFonts w:hint="default" w:ascii="Times New Roman" w:hAnsi="Times New Roman" w:eastAsia="宋体" w:cs="Times New Roman"/>
                <w:b w:val="0"/>
                <w:bCs w:val="0"/>
                <w:sz w:val="28"/>
                <w:szCs w:val="28"/>
                <w:vertAlign w:val="baseline"/>
                <w:lang w:eastAsia="zh-CN"/>
              </w:rPr>
              <w:t>15637395521</w:t>
            </w:r>
          </w:p>
        </w:tc>
        <w:tc>
          <w:tcPr>
            <w:tcW w:w="1846" w:type="dxa"/>
          </w:tcPr>
          <w:p w14:paraId="131E0DFA">
            <w:pPr>
              <w:pStyle w:val="3"/>
              <w:spacing w:line="240" w:lineRule="auto"/>
              <w:jc w:val="center"/>
              <w:rPr>
                <w:rFonts w:hint="default" w:ascii="Times New Roman" w:hAnsi="Times New Roman" w:eastAsia="宋体" w:cs="Times New Roman"/>
                <w:b w:val="0"/>
                <w:bCs w:val="0"/>
                <w:sz w:val="28"/>
                <w:szCs w:val="28"/>
                <w:vertAlign w:val="baseline"/>
                <w:lang w:eastAsia="zh-CN"/>
              </w:rPr>
            </w:pPr>
          </w:p>
        </w:tc>
      </w:tr>
    </w:tbl>
    <w:p w14:paraId="23CA8BAC">
      <w:pPr>
        <w:pStyle w:val="3"/>
        <w:rPr>
          <w:rFonts w:hint="default"/>
          <w:lang w:eastAsia="zh-CN"/>
        </w:rPr>
      </w:pPr>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ZiODJkY2ZhOTliMDU4ZTg1NjZmMDRkYzExYjM5N2IifQ=="/>
  </w:docVars>
  <w:rsids>
    <w:rsidRoot w:val="151443E6"/>
    <w:rsid w:val="06A76277"/>
    <w:rsid w:val="151443E6"/>
    <w:rsid w:val="74525B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113"/>
    </w:pPr>
    <w:rPr>
      <w:rFonts w:ascii="Times New Roman" w:hAnsi="Times New Roman" w:eastAsia="宋体"/>
      <w:sz w:val="28"/>
      <w:szCs w:val="28"/>
    </w:rPr>
  </w:style>
  <w:style w:type="paragraph" w:styleId="3">
    <w:name w:val="Body Text"/>
    <w:basedOn w:val="1"/>
    <w:next w:val="4"/>
    <w:qFormat/>
    <w:uiPriority w:val="0"/>
    <w:pPr>
      <w:spacing w:line="480" w:lineRule="auto"/>
    </w:pPr>
    <w:rPr>
      <w:b/>
      <w:bCs/>
      <w:sz w:val="24"/>
    </w:rPr>
  </w:style>
  <w:style w:type="paragraph" w:styleId="4">
    <w:name w:val="Body Text First Indent"/>
    <w:basedOn w:val="3"/>
    <w:next w:val="5"/>
    <w:qFormat/>
    <w:uiPriority w:val="0"/>
    <w:pPr>
      <w:widowControl w:val="0"/>
      <w:snapToGrid/>
      <w:spacing w:before="0" w:after="120" w:line="240" w:lineRule="auto"/>
      <w:ind w:right="0" w:firstLine="420" w:firstLineChars="100"/>
    </w:pPr>
    <w:rPr>
      <w:rFonts w:ascii="Calibri" w:hAnsi="Calibri" w:eastAsia="等线"/>
      <w:kern w:val="2"/>
      <w:sz w:val="21"/>
      <w:szCs w:val="24"/>
      <w:lang w:val="en-US" w:eastAsia="zh-CN"/>
    </w:rPr>
  </w:style>
  <w:style w:type="paragraph" w:styleId="5">
    <w:name w:val="Body Text First Indent 2"/>
    <w:basedOn w:val="1"/>
    <w:next w:val="1"/>
    <w:qFormat/>
    <w:uiPriority w:val="0"/>
    <w:pPr>
      <w:spacing w:after="120"/>
      <w:ind w:left="420" w:leftChars="200" w:firstLine="420"/>
    </w:pPr>
    <w:rPr>
      <w:rFonts w:ascii="Times New Roman" w:hAnsi="Times New Roman" w:eastAsia="宋体"/>
    </w:rPr>
  </w:style>
  <w:style w:type="paragraph" w:styleId="6">
    <w:name w:val="Body Text 2"/>
    <w:basedOn w:val="1"/>
    <w:qFormat/>
    <w:uiPriority w:val="0"/>
    <w:pPr>
      <w:spacing w:line="312" w:lineRule="auto"/>
    </w:pPr>
    <w:rPr>
      <w:sz w:val="28"/>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3506</Words>
  <Characters>4089</Characters>
  <Lines>0</Lines>
  <Paragraphs>0</Paragraphs>
  <TotalTime>0</TotalTime>
  <ScaleCrop>false</ScaleCrop>
  <LinksUpToDate>false</LinksUpToDate>
  <CharactersWithSpaces>4095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2024-10-25T06:50:00Z</dcterms:created>
  <dc:creator>Chen</dc:creator>
  <cp:lastModifiedBy>Chen</cp:lastModifiedBy>
  <dcterms:modified xsi:type="dcterms:W3CDTF">2024-10-25T07:20:46Z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A5DCD89ECC494A558E8501BE794FE64B_13</vt:lpwstr>
  </property>
</Properties>
</file>